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D822">
      <w:pPr>
        <w:pStyle w:val="50"/>
        <w:spacing w:before="600" w:beforeAutospacing="0" w:after="0" w:afterAutospacing="0"/>
        <w:jc w:val="center"/>
        <w:textAlignment w:val="baseline"/>
        <w:rPr>
          <w:sz w:val="23"/>
          <w:szCs w:val="23"/>
          <w:u w:val="none"/>
        </w:rPr>
      </w:pPr>
      <w:r>
        <w:rPr>
          <w:rStyle w:val="53"/>
          <w:b/>
          <w:bCs/>
          <w:color w:val="000000"/>
          <w:sz w:val="23"/>
          <w:szCs w:val="23"/>
          <w:u w:val="none"/>
          <w:shd w:val="clear" w:fill="auto"/>
        </w:rPr>
        <w:t>EDITAL DO PREGÃO</w:t>
      </w:r>
      <w:r>
        <w:rPr>
          <w:rStyle w:val="53"/>
          <w:rFonts w:hint="default"/>
          <w:b/>
          <w:bCs/>
          <w:color w:val="000000"/>
          <w:sz w:val="23"/>
          <w:szCs w:val="23"/>
          <w:u w:val="none"/>
          <w:shd w:val="clear" w:fill="auto"/>
          <w:lang w:val="pt-BR"/>
        </w:rPr>
        <w:t xml:space="preserve"> ELETRÔNICO </w:t>
      </w:r>
      <w:r>
        <w:rPr>
          <w:rStyle w:val="53"/>
          <w:b/>
          <w:bCs/>
          <w:color w:val="000000"/>
          <w:sz w:val="23"/>
          <w:szCs w:val="23"/>
          <w:u w:val="none"/>
          <w:shd w:val="clear" w:fill="auto"/>
        </w:rPr>
        <w:t xml:space="preserve"> Nº </w:t>
      </w:r>
      <w:r>
        <w:rPr>
          <w:rStyle w:val="53"/>
          <w:rFonts w:hint="default"/>
          <w:b/>
          <w:bCs/>
          <w:color w:val="000000"/>
          <w:sz w:val="23"/>
          <w:szCs w:val="23"/>
          <w:u w:val="none"/>
          <w:shd w:val="clear" w:fill="auto"/>
          <w:lang w:val="pt-BR"/>
        </w:rPr>
        <w:t>19/</w:t>
      </w:r>
      <w:r>
        <w:rPr>
          <w:rStyle w:val="53"/>
          <w:b/>
          <w:bCs/>
          <w:color w:val="000000"/>
          <w:sz w:val="23"/>
          <w:szCs w:val="23"/>
          <w:u w:val="none"/>
          <w:shd w:val="clear" w:fill="auto"/>
        </w:rPr>
        <w:t>2024</w:t>
      </w:r>
    </w:p>
    <w:p w14:paraId="050B2F7A">
      <w:pPr>
        <w:pStyle w:val="50"/>
        <w:spacing w:before="0" w:beforeAutospacing="0" w:after="600" w:afterAutospacing="0"/>
        <w:jc w:val="center"/>
        <w:textAlignment w:val="baseline"/>
        <w:rPr>
          <w:rFonts w:hint="default"/>
          <w:sz w:val="23"/>
          <w:szCs w:val="23"/>
          <w:lang w:val="pt-BR"/>
        </w:rPr>
      </w:pPr>
      <w:r>
        <w:rPr>
          <w:rStyle w:val="53"/>
          <w:b/>
          <w:bCs/>
          <w:color w:val="000000"/>
          <w:sz w:val="23"/>
          <w:szCs w:val="23"/>
          <w:shd w:val="clear" w:fill="auto"/>
        </w:rPr>
        <w:t>PROCESSO ADMINISTRATIVO</w:t>
      </w:r>
      <w:r>
        <w:rPr>
          <w:rStyle w:val="53"/>
          <w:rFonts w:hint="default"/>
          <w:b/>
          <w:bCs/>
          <w:color w:val="000000"/>
          <w:sz w:val="23"/>
          <w:szCs w:val="23"/>
          <w:shd w:val="clear" w:fill="auto"/>
          <w:lang w:val="pt-BR"/>
        </w:rPr>
        <w:t xml:space="preserve"> Nº 49/</w:t>
      </w:r>
      <w:r>
        <w:rPr>
          <w:rStyle w:val="53"/>
          <w:b/>
          <w:bCs/>
          <w:color w:val="000000"/>
          <w:sz w:val="23"/>
          <w:szCs w:val="23"/>
          <w:shd w:val="clear" w:fill="auto"/>
        </w:rPr>
        <w:t>202</w:t>
      </w:r>
      <w:r>
        <w:rPr>
          <w:rStyle w:val="53"/>
          <w:rFonts w:hint="default"/>
          <w:b/>
          <w:bCs/>
          <w:color w:val="000000"/>
          <w:sz w:val="23"/>
          <w:szCs w:val="23"/>
          <w:shd w:val="clear" w:fill="auto"/>
          <w:lang w:val="pt-BR"/>
        </w:rPr>
        <w:t>4</w:t>
      </w:r>
    </w:p>
    <w:tbl>
      <w:tblPr>
        <w:tblStyle w:val="185"/>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2EB39B8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B1D6466">
            <w:pPr>
              <w:pStyle w:val="50"/>
              <w:widowControl/>
              <w:suppressAutoHyphens/>
              <w:spacing w:before="120" w:beforeAutospacing="0" w:after="120" w:afterAutospacing="0" w:line="240" w:lineRule="auto"/>
              <w:jc w:val="center"/>
              <w:textAlignment w:val="baseline"/>
              <w:rPr>
                <w:b/>
                <w:bCs/>
                <w:sz w:val="22"/>
                <w:szCs w:val="22"/>
              </w:rPr>
            </w:pPr>
            <w:r>
              <w:rPr>
                <w:rStyle w:val="53"/>
                <w:b/>
                <w:bCs/>
                <w:color w:val="000000"/>
                <w:kern w:val="0"/>
                <w:sz w:val="22"/>
                <w:szCs w:val="22"/>
                <w:u w:val="none"/>
                <w:lang w:val="pt-BR" w:bidi="ar-SA"/>
              </w:rPr>
              <w:t>Resumo do Certame Licitatório</w:t>
            </w:r>
          </w:p>
        </w:tc>
        <w:tc>
          <w:tcPr>
            <w:tcW w:w="53" w:type="dxa"/>
            <w:tcBorders>
              <w:top w:val="nil"/>
              <w:bottom w:val="nil"/>
            </w:tcBorders>
            <w:vAlign w:val="center"/>
          </w:tcPr>
          <w:p w14:paraId="57017AB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EF7A7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1782AB66">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Órgão Gerenciador:</w:t>
            </w:r>
          </w:p>
          <w:p w14:paraId="29EEEA9B">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kern w:val="0"/>
                <w:sz w:val="22"/>
                <w:szCs w:val="22"/>
                <w:lang w:val="pt-BR" w:bidi="ar-SA"/>
              </w:rPr>
              <w:t>Câmara Municipal de Primavera do Leste - MT</w:t>
            </w:r>
          </w:p>
        </w:tc>
        <w:tc>
          <w:tcPr>
            <w:tcW w:w="2347" w:type="dxa"/>
            <w:gridSpan w:val="2"/>
            <w:shd w:val="clear" w:color="auto" w:fill="DDDDDD"/>
            <w:vAlign w:val="center"/>
          </w:tcPr>
          <w:p w14:paraId="5C2172A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CNPJ:</w:t>
            </w:r>
          </w:p>
          <w:p w14:paraId="4894B84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u w:val="none"/>
                <w:lang w:val="pt-BR"/>
              </w:rPr>
              <w:t>24.672.727/0001-83</w:t>
            </w:r>
          </w:p>
        </w:tc>
      </w:tr>
      <w:tr w14:paraId="57865B7C">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2A711690">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Modalidade:</w:t>
            </w:r>
          </w:p>
          <w:p w14:paraId="74EC3D7F">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kern w:val="0"/>
                <w:sz w:val="22"/>
                <w:szCs w:val="22"/>
                <w:lang w:val="pt-BR" w:bidi="ar-SA"/>
              </w:rPr>
              <w:t>Pregão</w:t>
            </w:r>
          </w:p>
        </w:tc>
        <w:tc>
          <w:tcPr>
            <w:tcW w:w="1703" w:type="dxa"/>
            <w:vAlign w:val="center"/>
          </w:tcPr>
          <w:p w14:paraId="3EA45CA7">
            <w:pPr>
              <w:pStyle w:val="50"/>
              <w:widowControl/>
              <w:suppressAutoHyphens/>
              <w:spacing w:before="0" w:beforeAutospacing="0" w:after="0" w:afterAutospacing="0" w:line="240" w:lineRule="auto"/>
              <w:jc w:val="left"/>
              <w:textAlignment w:val="baseline"/>
              <w:rPr>
                <w:sz w:val="22"/>
                <w:szCs w:val="22"/>
              </w:rPr>
            </w:pPr>
            <w:r>
              <w:rPr>
                <w:rStyle w:val="53"/>
                <w:color w:val="000000"/>
                <w:kern w:val="0"/>
                <w:sz w:val="22"/>
                <w:szCs w:val="22"/>
                <w:lang w:val="pt-BR" w:bidi="ar-SA"/>
              </w:rPr>
              <w:t>Forma:</w:t>
            </w:r>
          </w:p>
          <w:p w14:paraId="7350433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lang w:val="pt-BR" w:bidi="ar-SA"/>
              </w:rPr>
              <w:t>Eletrônica</w:t>
            </w:r>
          </w:p>
        </w:tc>
        <w:tc>
          <w:tcPr>
            <w:tcW w:w="2743" w:type="dxa"/>
            <w:gridSpan w:val="2"/>
            <w:vAlign w:val="center"/>
          </w:tcPr>
          <w:p w14:paraId="278C5754">
            <w:pPr>
              <w:pStyle w:val="50"/>
              <w:widowControl/>
              <w:suppressAutoHyphens/>
              <w:spacing w:before="0" w:beforeAutospacing="0" w:after="0" w:afterAutospacing="0" w:line="240" w:lineRule="auto"/>
              <w:jc w:val="left"/>
              <w:textAlignment w:val="baseline"/>
              <w:rPr>
                <w:sz w:val="22"/>
                <w:szCs w:val="22"/>
              </w:rPr>
            </w:pPr>
            <w:r>
              <w:rPr>
                <w:rStyle w:val="55"/>
                <w:color w:val="000000"/>
                <w:kern w:val="0"/>
                <w:sz w:val="22"/>
                <w:szCs w:val="22"/>
                <w:lang w:val="pt-BR" w:bidi="ar-SA"/>
              </w:rPr>
              <w:t>Modo de Disputa:</w:t>
            </w:r>
          </w:p>
          <w:p w14:paraId="2C417CA8">
            <w:pPr>
              <w:pStyle w:val="50"/>
              <w:widowControl/>
              <w:suppressAutoHyphens/>
              <w:spacing w:before="0" w:beforeAutospacing="0" w:after="0" w:afterAutospacing="0" w:line="240" w:lineRule="auto"/>
              <w:jc w:val="left"/>
              <w:textAlignment w:val="baseline"/>
              <w:rPr>
                <w:sz w:val="22"/>
                <w:szCs w:val="22"/>
              </w:rPr>
            </w:pPr>
            <w:r>
              <w:rPr>
                <w:rStyle w:val="55"/>
                <w:b/>
                <w:bCs/>
                <w:color w:val="000000"/>
                <w:kern w:val="0"/>
                <w:sz w:val="22"/>
                <w:szCs w:val="22"/>
                <w:shd w:val="clear" w:fill="auto"/>
                <w:lang w:val="pt-BR" w:bidi="ar-SA"/>
              </w:rPr>
              <w:t>Aberto</w:t>
            </w:r>
          </w:p>
        </w:tc>
        <w:tc>
          <w:tcPr>
            <w:tcW w:w="2367" w:type="dxa"/>
            <w:gridSpan w:val="2"/>
            <w:vAlign w:val="center"/>
          </w:tcPr>
          <w:p w14:paraId="466E201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Critério de Julgamento:</w:t>
            </w:r>
          </w:p>
          <w:p w14:paraId="0631A28E">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b/>
                <w:bCs/>
                <w:color w:val="000000" w:themeColor="text1"/>
                <w:kern w:val="0"/>
                <w:sz w:val="22"/>
                <w:szCs w:val="22"/>
                <w:lang w:val="pt-BR" w:bidi="ar-SA"/>
                <w14:textFill>
                  <w14:solidFill>
                    <w14:schemeClr w14:val="tx1"/>
                  </w14:solidFill>
                </w14:textFill>
              </w:rPr>
              <w:t xml:space="preserve">MENOR PREÇO POR </w:t>
            </w:r>
            <w:r>
              <w:rPr>
                <w:rStyle w:val="53"/>
                <w:rFonts w:hint="default"/>
                <w:b/>
                <w:bCs/>
                <w:color w:val="000000" w:themeColor="text1"/>
                <w:kern w:val="0"/>
                <w:sz w:val="22"/>
                <w:szCs w:val="22"/>
                <w:lang w:val="pt-BR" w:bidi="ar-SA"/>
                <w14:textFill>
                  <w14:solidFill>
                    <w14:schemeClr w14:val="tx1"/>
                  </w14:solidFill>
                </w14:textFill>
              </w:rPr>
              <w:t>LOTE</w:t>
            </w:r>
          </w:p>
        </w:tc>
        <w:tc>
          <w:tcPr>
            <w:tcW w:w="53" w:type="dxa"/>
            <w:tcBorders>
              <w:top w:val="nil"/>
              <w:bottom w:val="nil"/>
            </w:tcBorders>
            <w:vAlign w:val="center"/>
          </w:tcPr>
          <w:p w14:paraId="72627EC5">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B4EDA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C142D4A">
            <w:pPr>
              <w:pStyle w:val="50"/>
              <w:widowControl/>
              <w:suppressAutoHyphens/>
              <w:spacing w:before="0" w:beforeAutospacing="0" w:after="0" w:afterAutospacing="0" w:line="240" w:lineRule="auto"/>
              <w:jc w:val="left"/>
              <w:textAlignment w:val="baseline"/>
              <w:rPr>
                <w:rStyle w:val="53"/>
                <w:b w:val="0"/>
                <w:bCs w:val="0"/>
                <w:color w:val="000000" w:themeColor="text1"/>
                <w:kern w:val="0"/>
                <w:sz w:val="22"/>
                <w:szCs w:val="22"/>
                <w:lang w:val="pt-BR" w:bidi="ar-SA"/>
                <w14:textFill>
                  <w14:solidFill>
                    <w14:schemeClr w14:val="tx1"/>
                  </w14:solidFill>
                </w14:textFill>
              </w:rPr>
            </w:pPr>
            <w:r>
              <w:rPr>
                <w:rStyle w:val="53"/>
                <w:b w:val="0"/>
                <w:bCs w:val="0"/>
                <w:color w:val="000000" w:themeColor="text1"/>
                <w:kern w:val="0"/>
                <w:sz w:val="22"/>
                <w:szCs w:val="22"/>
                <w:lang w:val="pt-BR" w:bidi="ar-SA"/>
                <w14:textFill>
                  <w14:solidFill>
                    <w14:schemeClr w14:val="tx1"/>
                  </w14:solidFill>
                </w14:textFill>
              </w:rPr>
              <w:t>Data:</w:t>
            </w:r>
          </w:p>
          <w:p w14:paraId="673E28E5">
            <w:pPr>
              <w:pStyle w:val="50"/>
              <w:widowControl/>
              <w:suppressAutoHyphens/>
              <w:spacing w:before="0" w:beforeAutospacing="0" w:after="0" w:afterAutospacing="0" w:line="240" w:lineRule="auto"/>
              <w:jc w:val="left"/>
              <w:textAlignment w:val="baseline"/>
              <w:rPr>
                <w:b/>
                <w:bCs/>
                <w:sz w:val="22"/>
                <w:szCs w:val="22"/>
              </w:rPr>
            </w:pPr>
            <w:r>
              <w:rPr>
                <w:rStyle w:val="53"/>
                <w:rFonts w:hint="default"/>
                <w:b/>
                <w:bCs/>
                <w:color w:val="000000" w:themeColor="text1"/>
                <w:kern w:val="0"/>
                <w:sz w:val="22"/>
                <w:szCs w:val="22"/>
                <w:lang w:val="pt-BR" w:bidi="ar-SA"/>
                <w14:textFill>
                  <w14:solidFill>
                    <w14:schemeClr w14:val="tx1"/>
                  </w14:solidFill>
                </w14:textFill>
              </w:rPr>
              <w:t>06/11/2024</w:t>
            </w:r>
          </w:p>
        </w:tc>
        <w:tc>
          <w:tcPr>
            <w:tcW w:w="1839" w:type="dxa"/>
            <w:gridSpan w:val="2"/>
            <w:shd w:val="clear" w:color="auto" w:fill="DDDDDD"/>
            <w:vAlign w:val="center"/>
          </w:tcPr>
          <w:p w14:paraId="6B90F830">
            <w:pPr>
              <w:pStyle w:val="50"/>
              <w:widowControl/>
              <w:suppressAutoHyphens/>
              <w:spacing w:before="0" w:beforeAutospacing="0" w:after="0" w:afterAutospacing="0" w:line="240" w:lineRule="auto"/>
              <w:jc w:val="left"/>
              <w:textAlignment w:val="baseline"/>
              <w:rPr>
                <w:rStyle w:val="53"/>
                <w:rFonts w:hint="default"/>
                <w:color w:val="000000" w:themeColor="text1"/>
                <w:kern w:val="0"/>
                <w:sz w:val="22"/>
                <w:szCs w:val="22"/>
                <w:lang w:val="pt-BR" w:bidi="ar-SA"/>
                <w14:textFill>
                  <w14:solidFill>
                    <w14:schemeClr w14:val="tx1"/>
                  </w14:solidFill>
                </w14:textFill>
              </w:rPr>
            </w:pPr>
            <w:r>
              <w:rPr>
                <w:rStyle w:val="53"/>
                <w:color w:val="000000" w:themeColor="text1"/>
                <w:kern w:val="0"/>
                <w:sz w:val="22"/>
                <w:szCs w:val="22"/>
                <w:lang w:val="pt-BR" w:bidi="ar-SA"/>
                <w14:textFill>
                  <w14:solidFill>
                    <w14:schemeClr w14:val="tx1"/>
                  </w14:solidFill>
                </w14:textFill>
              </w:rPr>
              <w:t>Horário:</w:t>
            </w:r>
          </w:p>
          <w:p w14:paraId="380D1983">
            <w:pPr>
              <w:pStyle w:val="50"/>
              <w:widowControl/>
              <w:suppressAutoHyphens/>
              <w:spacing w:before="0" w:beforeAutospacing="0" w:after="0" w:afterAutospacing="0" w:line="240" w:lineRule="auto"/>
              <w:jc w:val="left"/>
              <w:textAlignment w:val="baseline"/>
              <w:rPr>
                <w:rStyle w:val="53"/>
                <w:rFonts w:hint="default"/>
                <w:b/>
                <w:bCs/>
                <w:color w:val="000000" w:themeColor="text1"/>
                <w:kern w:val="0"/>
                <w:sz w:val="22"/>
                <w:szCs w:val="22"/>
                <w:lang w:val="pt-BR" w:bidi="ar-SA"/>
                <w14:textFill>
                  <w14:solidFill>
                    <w14:schemeClr w14:val="tx1"/>
                  </w14:solidFill>
                </w14:textFill>
              </w:rPr>
            </w:pPr>
            <w:r>
              <w:rPr>
                <w:rStyle w:val="53"/>
                <w:rFonts w:hint="default"/>
                <w:b/>
                <w:bCs/>
                <w:color w:val="000000" w:themeColor="text1"/>
                <w:kern w:val="0"/>
                <w:sz w:val="22"/>
                <w:szCs w:val="22"/>
                <w:lang w:val="pt-BR" w:bidi="ar-SA"/>
                <w14:textFill>
                  <w14:solidFill>
                    <w14:schemeClr w14:val="tx1"/>
                  </w14:solidFill>
                </w14:textFill>
              </w:rPr>
              <w:t>09h00 (horário de Brasília)</w:t>
            </w:r>
          </w:p>
        </w:tc>
        <w:tc>
          <w:tcPr>
            <w:tcW w:w="5027" w:type="dxa"/>
            <w:gridSpan w:val="4"/>
            <w:shd w:val="clear" w:color="auto" w:fill="DDDDDD"/>
            <w:vAlign w:val="center"/>
          </w:tcPr>
          <w:p w14:paraId="6822B1E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Plataforma:</w:t>
            </w:r>
          </w:p>
          <w:p w14:paraId="30FE22CD">
            <w:pPr>
              <w:pStyle w:val="50"/>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3E09041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411789D3">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Exige Amostra?</w:t>
            </w:r>
          </w:p>
          <w:p w14:paraId="3BF0B1C5">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Não</w:t>
            </w:r>
          </w:p>
        </w:tc>
        <w:tc>
          <w:tcPr>
            <w:tcW w:w="1703" w:type="dxa"/>
            <w:vAlign w:val="center"/>
          </w:tcPr>
          <w:p w14:paraId="3A26E0ED">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color w:val="000000" w:themeColor="text1"/>
                <w:kern w:val="0"/>
                <w:sz w:val="22"/>
                <w:szCs w:val="22"/>
                <w:lang w:val="pt-BR" w:bidi="ar-SA"/>
                <w14:textFill>
                  <w14:solidFill>
                    <w14:schemeClr w14:val="tx1"/>
                  </w14:solidFill>
                </w14:textFill>
              </w:rPr>
              <w:t>Participação:</w:t>
            </w:r>
            <w:r>
              <w:rPr>
                <w:rFonts w:hint="default"/>
                <w:b/>
                <w:bCs/>
                <w:sz w:val="22"/>
                <w:szCs w:val="22"/>
                <w:lang w:val="pt-BR"/>
              </w:rPr>
              <w:t xml:space="preserve"> Ampla  </w:t>
            </w:r>
          </w:p>
        </w:tc>
        <w:tc>
          <w:tcPr>
            <w:tcW w:w="2743" w:type="dxa"/>
            <w:gridSpan w:val="2"/>
            <w:vAlign w:val="center"/>
          </w:tcPr>
          <w:p w14:paraId="77E434F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Reserva de Cota ME/EPP?</w:t>
            </w:r>
          </w:p>
          <w:p w14:paraId="49B71FC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780736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Decreto Federal nº 7.174/2010?</w:t>
            </w:r>
          </w:p>
          <w:p w14:paraId="1D94929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5ABB2AC9">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F092C2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052E9C62">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Registro de Preços?</w:t>
            </w:r>
          </w:p>
          <w:p w14:paraId="55B320DB">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275E346B">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Vistoria?</w:t>
            </w:r>
          </w:p>
          <w:p w14:paraId="1C58CE9F">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hint="default"/>
                <w:b/>
                <w:bCs/>
                <w:color w:val="000000" w:themeColor="text1"/>
                <w:kern w:val="0"/>
                <w:sz w:val="22"/>
                <w:szCs w:val="22"/>
                <w:lang w:val="pt-BR" w:bidi="ar-SA"/>
                <w14:textFill>
                  <w14:solidFill>
                    <w14:schemeClr w14:val="tx1"/>
                  </w14:solidFill>
                </w14:textFill>
              </w:rPr>
              <w:t>Sim</w:t>
            </w:r>
          </w:p>
        </w:tc>
        <w:tc>
          <w:tcPr>
            <w:tcW w:w="2743" w:type="dxa"/>
            <w:gridSpan w:val="2"/>
            <w:shd w:val="clear" w:color="auto" w:fill="DDDDDD"/>
            <w:vAlign w:val="center"/>
          </w:tcPr>
          <w:p w14:paraId="073D408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Amostra?</w:t>
            </w:r>
          </w:p>
          <w:p w14:paraId="5163E200">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4DBA40D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Instrumento Contratual?</w:t>
            </w:r>
          </w:p>
          <w:p w14:paraId="49DC53B7">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52C2871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24748B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5DD72C5F">
            <w:pPr>
              <w:pStyle w:val="33"/>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3"/>
                <w:b w:val="0"/>
                <w:bCs w:val="0"/>
                <w:color w:val="000000" w:themeColor="text1"/>
                <w:kern w:val="0"/>
                <w:sz w:val="22"/>
                <w:szCs w:val="22"/>
                <w:lang w:val="pt-BR" w:bidi="ar-SA"/>
                <w14:textFill>
                  <w14:solidFill>
                    <w14:schemeClr w14:val="tx1"/>
                  </w14:solidFill>
                </w14:textFill>
              </w:rPr>
              <w:t>Objeto:</w:t>
            </w:r>
            <w:r>
              <w:rPr>
                <w:rStyle w:val="53"/>
                <w:rFonts w:hint="default"/>
                <w:b w:val="0"/>
                <w:bCs w:val="0"/>
                <w:color w:val="000000" w:themeColor="text1"/>
                <w:kern w:val="0"/>
                <w:sz w:val="22"/>
                <w:szCs w:val="22"/>
                <w:lang w:val="pt-BR" w:bidi="ar-SA"/>
                <w14:textFill>
                  <w14:solidFill>
                    <w14:schemeClr w14:val="tx1"/>
                  </w14:solidFill>
                </w14:textFill>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p>
        </w:tc>
        <w:tc>
          <w:tcPr>
            <w:tcW w:w="53" w:type="dxa"/>
            <w:tcBorders>
              <w:top w:val="nil"/>
              <w:bottom w:val="nil"/>
            </w:tcBorders>
            <w:vAlign w:val="center"/>
          </w:tcPr>
          <w:p w14:paraId="48E0C2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24CA857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74F42EDF">
            <w:pPr>
              <w:pStyle w:val="50"/>
              <w:widowControl/>
              <w:suppressAutoHyphens/>
              <w:spacing w:before="0" w:beforeAutospacing="0" w:after="0" w:afterAutospacing="0" w:line="240" w:lineRule="auto"/>
              <w:jc w:val="both"/>
              <w:textAlignment w:val="baseline"/>
              <w:rPr>
                <w:rStyle w:val="53"/>
                <w:rFonts w:hint="default"/>
                <w:b w:val="0"/>
                <w:bCs w:val="0"/>
                <w:color w:val="000000" w:themeColor="text1"/>
                <w:kern w:val="0"/>
                <w:sz w:val="22"/>
                <w:szCs w:val="22"/>
                <w:lang w:val="pt-BR" w:bidi="ar-SA"/>
                <w14:textFill>
                  <w14:solidFill>
                    <w14:schemeClr w14:val="tx1"/>
                  </w14:solidFill>
                </w14:textFill>
              </w:rPr>
            </w:pPr>
            <w:r>
              <w:rPr>
                <w:rStyle w:val="53"/>
                <w:b w:val="0"/>
                <w:bCs w:val="0"/>
                <w:color w:val="000000" w:themeColor="text1"/>
                <w:kern w:val="0"/>
                <w:sz w:val="22"/>
                <w:szCs w:val="22"/>
                <w:lang w:val="pt-BR" w:bidi="ar-SA"/>
                <w14:textFill>
                  <w14:solidFill>
                    <w14:schemeClr w14:val="tx1"/>
                  </w14:solidFill>
                </w14:textFill>
              </w:rPr>
              <w:t>Valor Estimado:</w:t>
            </w:r>
            <w:r>
              <w:rPr>
                <w:rStyle w:val="53"/>
                <w:rFonts w:hint="default"/>
                <w:b w:val="0"/>
                <w:bCs w:val="0"/>
                <w:color w:val="000000" w:themeColor="text1"/>
                <w:kern w:val="0"/>
                <w:sz w:val="22"/>
                <w:szCs w:val="22"/>
                <w:lang w:val="pt-BR" w:bidi="ar-SA"/>
                <w14:textFill>
                  <w14:solidFill>
                    <w14:schemeClr w14:val="tx1"/>
                  </w14:solidFill>
                </w14:textFill>
              </w:rPr>
              <w:t xml:space="preserve"> </w:t>
            </w:r>
          </w:p>
          <w:p w14:paraId="29A97641">
            <w:pPr>
              <w:pStyle w:val="50"/>
              <w:widowControl/>
              <w:suppressAutoHyphens/>
              <w:spacing w:before="0" w:beforeAutospacing="0" w:after="0" w:afterAutospacing="0" w:line="240" w:lineRule="auto"/>
              <w:jc w:val="both"/>
              <w:textAlignment w:val="baseline"/>
              <w:rPr>
                <w:rFonts w:hint="default"/>
                <w:b/>
                <w:bCs/>
                <w:sz w:val="22"/>
                <w:szCs w:val="22"/>
                <w:lang w:val="pt-BR"/>
              </w:rPr>
            </w:pPr>
            <w:r>
              <w:rPr>
                <w:rStyle w:val="49"/>
                <w:rFonts w:eastAsia="Times New Roman"/>
                <w:b/>
                <w:bCs/>
                <w:sz w:val="24"/>
                <w:szCs w:val="24"/>
                <w:shd w:val="clear" w:color="auto" w:fill="auto"/>
                <w:lang w:eastAsia="en-US"/>
              </w:rPr>
              <w:t xml:space="preserve">R$ </w:t>
            </w:r>
            <w:r>
              <w:rPr>
                <w:rFonts w:hint="default" w:ascii="Times New Roman" w:hAnsi="Times New Roman" w:cs="Times New Roman"/>
                <w:b/>
                <w:bCs/>
                <w:color w:val="000000"/>
                <w:kern w:val="0"/>
                <w:sz w:val="24"/>
                <w:szCs w:val="24"/>
                <w:lang w:val="pt-BR" w:eastAsia="zh-CN" w:bidi="ar"/>
              </w:rPr>
              <w:t xml:space="preserve">262.223,50 (Duzentos e sessenta e dois mil duzentos e vinte e tres reais e cinquenta centavos). (Lote </w:t>
            </w:r>
            <w:r>
              <w:rPr>
                <w:rFonts w:hint="default" w:cs="Times New Roman"/>
                <w:b/>
                <w:bCs/>
                <w:color w:val="000000"/>
                <w:kern w:val="0"/>
                <w:sz w:val="24"/>
                <w:szCs w:val="24"/>
                <w:lang w:val="pt-BR" w:eastAsia="zh-CN" w:bidi="ar"/>
              </w:rPr>
              <w:t>Único</w:t>
            </w:r>
            <w:r>
              <w:rPr>
                <w:rFonts w:hint="default" w:ascii="Times New Roman" w:hAnsi="Times New Roman" w:cs="Times New Roman"/>
                <w:b/>
                <w:bCs/>
                <w:color w:val="000000"/>
                <w:kern w:val="0"/>
                <w:sz w:val="24"/>
                <w:szCs w:val="24"/>
                <w:lang w:val="pt-BR" w:eastAsia="zh-CN" w:bidi="ar"/>
              </w:rPr>
              <w:t>)</w:t>
            </w:r>
          </w:p>
        </w:tc>
        <w:tc>
          <w:tcPr>
            <w:tcW w:w="53" w:type="dxa"/>
            <w:tcBorders>
              <w:top w:val="nil"/>
              <w:bottom w:val="nil"/>
            </w:tcBorders>
            <w:shd w:val="clear" w:color="auto" w:fill="CCCCCC" w:themeFill="text1" w:themeFillTint="33"/>
            <w:vAlign w:val="center"/>
          </w:tcPr>
          <w:p w14:paraId="3401198C">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28333A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78BB0CDF">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shd w:val="clear" w:fill="auto"/>
                <w:lang w:val="pt-BR" w:bidi="ar-SA"/>
                <w14:textFill>
                  <w14:solidFill>
                    <w14:schemeClr w14:val="tx1"/>
                  </w14:solidFill>
                </w14:textFill>
              </w:rPr>
              <w:t>Pregoeiro:</w:t>
            </w:r>
          </w:p>
          <w:p w14:paraId="0CBC70BE">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4A9E4E9">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shd w:val="clear" w:fill="auto"/>
                <w:lang w:val="pt-BR" w:bidi="ar-SA"/>
                <w14:textFill>
                  <w14:solidFill>
                    <w14:schemeClr w14:val="tx1"/>
                  </w14:solidFill>
                </w14:textFill>
              </w:rPr>
              <w:t>Ato de Designação:</w:t>
            </w:r>
          </w:p>
          <w:p w14:paraId="02EE39EC">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713F26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412C98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7553198C">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Lei de Regência:</w:t>
            </w:r>
          </w:p>
          <w:p w14:paraId="38EA71E4">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771436C1">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Lei Complementar:</w:t>
            </w:r>
          </w:p>
          <w:p w14:paraId="54FEBCBD">
            <w:pPr>
              <w:pStyle w:val="50"/>
              <w:widowControl/>
              <w:suppressAutoHyphens/>
              <w:spacing w:before="0" w:beforeAutospacing="0" w:after="0" w:afterAutospacing="0" w:line="240" w:lineRule="auto"/>
              <w:ind w:left="0" w:leftChars="0" w:firstLine="0" w:firstLineChars="0"/>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5E28192A">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3C47F48E">
      <w:pPr>
        <w:pStyle w:val="50"/>
        <w:spacing w:before="360" w:beforeAutospacing="0" w:after="120" w:afterAutospacing="0"/>
        <w:ind w:firstLine="0"/>
        <w:jc w:val="both"/>
        <w:textAlignment w:val="baseline"/>
        <w:rPr>
          <w:rStyle w:val="53"/>
          <w:color w:val="000000" w:themeColor="text1"/>
          <w:sz w:val="23"/>
          <w:szCs w:val="23"/>
          <w14:textFill>
            <w14:solidFill>
              <w14:schemeClr w14:val="tx1"/>
            </w14:solidFill>
          </w14:textFill>
        </w:rPr>
      </w:pPr>
      <w:r>
        <w:rPr>
          <w:rStyle w:val="53"/>
          <w:color w:val="000000" w:themeColor="text1"/>
          <w:sz w:val="23"/>
          <w:szCs w:val="23"/>
          <w14:textFill>
            <w14:solidFill>
              <w14:schemeClr w14:val="tx1"/>
            </w14:solidFill>
          </w14:textFill>
        </w:rPr>
        <w:tab/>
      </w:r>
      <w:r>
        <w:rPr>
          <w:rStyle w:val="53"/>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3"/>
          <w:color w:val="auto"/>
          <w:sz w:val="23"/>
          <w:szCs w:val="23"/>
        </w:rPr>
        <w:t>com participação</w:t>
      </w:r>
      <w:r>
        <w:rPr>
          <w:rStyle w:val="53"/>
          <w:rFonts w:hint="default"/>
          <w:color w:val="auto"/>
          <w:sz w:val="23"/>
          <w:szCs w:val="23"/>
          <w:lang w:val="pt-BR"/>
        </w:rPr>
        <w:t xml:space="preserve"> Ampla,</w:t>
      </w:r>
      <w:r>
        <w:rPr>
          <w:rStyle w:val="53"/>
          <w:rFonts w:hint="default"/>
          <w:color w:val="000000" w:themeColor="text1"/>
          <w:sz w:val="23"/>
          <w:szCs w:val="23"/>
          <w:lang w:val="pt-BR"/>
          <w14:textFill>
            <w14:solidFill>
              <w14:schemeClr w14:val="tx1"/>
            </w14:solidFill>
          </w14:textFill>
        </w:rPr>
        <w:t xml:space="preserve"> </w:t>
      </w:r>
      <w:r>
        <w:rPr>
          <w:rStyle w:val="53"/>
          <w:color w:val="000000" w:themeColor="text1"/>
          <w:sz w:val="23"/>
          <w:szCs w:val="23"/>
          <w14:textFill>
            <w14:solidFill>
              <w14:schemeClr w14:val="tx1"/>
            </w14:solidFill>
          </w14:textFill>
        </w:rPr>
        <w:t>para</w:t>
      </w:r>
      <w:r>
        <w:rPr>
          <w:rStyle w:val="53"/>
          <w:rFonts w:hint="default"/>
          <w:color w:val="000000" w:themeColor="text1"/>
          <w:sz w:val="23"/>
          <w:szCs w:val="23"/>
          <w:lang w:val="pt-BR"/>
          <w14:textFill>
            <w14:solidFill>
              <w14:schemeClr w14:val="tx1"/>
            </w14:solidFill>
          </w14:textFill>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b/>
          <w:bCs/>
          <w:color w:val="000000"/>
          <w:kern w:val="0"/>
          <w:sz w:val="23"/>
          <w:szCs w:val="23"/>
          <w:lang w:val="pt-BR" w:bidi="ar-SA"/>
        </w:rPr>
        <w:t xml:space="preserve"> </w:t>
      </w:r>
      <w:r>
        <w:rPr>
          <w:color w:val="000000"/>
          <w:sz w:val="23"/>
          <w:szCs w:val="23"/>
        </w:rPr>
        <w:t xml:space="preserve"> </w:t>
      </w:r>
      <w:r>
        <w:rPr>
          <w:rStyle w:val="53"/>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2"/>
          <w:sz w:val="23"/>
          <w:szCs w:val="23"/>
        </w:rPr>
        <w:t>Termo de Referência - Anexo I deste Edital</w:t>
      </w:r>
      <w:r>
        <w:rPr>
          <w:rStyle w:val="62"/>
          <w:sz w:val="23"/>
          <w:szCs w:val="23"/>
        </w:rPr>
        <w:fldChar w:fldCharType="end"/>
      </w:r>
      <w:r>
        <w:rPr>
          <w:rStyle w:val="53"/>
          <w:color w:val="000000" w:themeColor="text1"/>
          <w:sz w:val="23"/>
          <w:szCs w:val="23"/>
          <w14:textFill>
            <w14:solidFill>
              <w14:schemeClr w14:val="tx1"/>
            </w14:solidFill>
          </w14:textFill>
        </w:rPr>
        <w:t xml:space="preserve">. </w:t>
      </w:r>
    </w:p>
    <w:p w14:paraId="0CB6D5A4">
      <w:pPr>
        <w:pStyle w:val="50"/>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3"/>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2"/>
          <w:sz w:val="23"/>
          <w:szCs w:val="23"/>
        </w:rPr>
        <w:t>Lei Federal nº 14.133, de 2021</w:t>
      </w:r>
      <w:r>
        <w:rPr>
          <w:rStyle w:val="62"/>
          <w:sz w:val="23"/>
          <w:szCs w:val="23"/>
        </w:rPr>
        <w:fldChar w:fldCharType="end"/>
      </w:r>
      <w:r>
        <w:rPr>
          <w:rStyle w:val="53"/>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2"/>
          <w:sz w:val="23"/>
          <w:szCs w:val="23"/>
        </w:rPr>
        <w:t>Lei Complementar Federal nº 123, de 2006</w:t>
      </w:r>
      <w:r>
        <w:rPr>
          <w:rStyle w:val="62"/>
          <w:sz w:val="23"/>
          <w:szCs w:val="23"/>
        </w:rPr>
        <w:fldChar w:fldCharType="end"/>
      </w:r>
      <w:r>
        <w:rPr>
          <w:rStyle w:val="53"/>
          <w:color w:val="000000" w:themeColor="text1"/>
          <w:sz w:val="23"/>
          <w:szCs w:val="23"/>
          <w:shd w:val="clear" w:fill="auto"/>
          <w14:textFill>
            <w14:solidFill>
              <w14:schemeClr w14:val="tx1"/>
            </w14:solidFill>
          </w14:textFill>
        </w:rPr>
        <w:t>, pelas Resoluções 042/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044/</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050/</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051/</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057/</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06</w:t>
      </w:r>
      <w:r>
        <w:rPr>
          <w:rStyle w:val="53"/>
          <w:color w:val="000000" w:themeColor="text1"/>
          <w:sz w:val="23"/>
          <w:szCs w:val="23"/>
          <w:shd w:val="clear" w:fill="auto"/>
          <w:lang w:val="pt-BR"/>
          <w14:textFill>
            <w14:solidFill>
              <w14:schemeClr w14:val="tx1"/>
            </w14:solidFill>
          </w14:textFill>
        </w:rPr>
        <w:t>2</w:t>
      </w:r>
      <w:r>
        <w:rPr>
          <w:rStyle w:val="53"/>
          <w:color w:val="000000" w:themeColor="text1"/>
          <w:sz w:val="23"/>
          <w:szCs w:val="23"/>
          <w:shd w:val="clear" w:fill="auto"/>
          <w14:textFill>
            <w14:solidFill>
              <w14:schemeClr w14:val="tx1"/>
            </w14:solidFill>
          </w14:textFill>
        </w:rPr>
        <w:t>/</w:t>
      </w:r>
      <w:r>
        <w:rPr>
          <w:rStyle w:val="53"/>
          <w:color w:val="000000" w:themeColor="text1"/>
          <w:sz w:val="23"/>
          <w:szCs w:val="23"/>
          <w:shd w:val="clear" w:fill="auto"/>
          <w:lang w:val="pt-BR"/>
          <w14:textFill>
            <w14:solidFill>
              <w14:schemeClr w14:val="tx1"/>
            </w14:solidFill>
          </w14:textFill>
        </w:rPr>
        <w:t xml:space="preserve">2023 </w:t>
      </w:r>
      <w:r>
        <w:rPr>
          <w:rStyle w:val="53"/>
          <w:color w:val="000000" w:themeColor="text1"/>
          <w:sz w:val="23"/>
          <w:szCs w:val="23"/>
          <w:shd w:val="clear" w:fill="auto"/>
          <w14:textFill>
            <w14:solidFill>
              <w14:schemeClr w14:val="tx1"/>
            </w14:solidFill>
          </w14:textFill>
        </w:rPr>
        <w:t>e 06</w:t>
      </w:r>
      <w:r>
        <w:rPr>
          <w:rStyle w:val="53"/>
          <w:color w:val="000000" w:themeColor="text1"/>
          <w:sz w:val="23"/>
          <w:szCs w:val="23"/>
          <w:shd w:val="clear" w:fill="auto"/>
          <w:lang w:val="pt-BR"/>
          <w14:textFill>
            <w14:solidFill>
              <w14:schemeClr w14:val="tx1"/>
            </w14:solidFill>
          </w14:textFill>
        </w:rPr>
        <w:t>4</w:t>
      </w:r>
      <w:r>
        <w:rPr>
          <w:rStyle w:val="53"/>
          <w:color w:val="000000" w:themeColor="text1"/>
          <w:sz w:val="23"/>
          <w:szCs w:val="23"/>
          <w:shd w:val="clear" w:fill="auto"/>
          <w14:textFill>
            <w14:solidFill>
              <w14:schemeClr w14:val="tx1"/>
            </w14:solidFill>
          </w14:textFill>
        </w:rPr>
        <w:t>/2024.</w:t>
      </w:r>
    </w:p>
    <w:p w14:paraId="17F82307">
      <w:pPr>
        <w:pStyle w:val="50"/>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3"/>
          <w:b/>
          <w:bCs/>
          <w:sz w:val="22"/>
          <w:szCs w:val="22"/>
        </w:rPr>
        <w:t>SUMÁRIO</w:t>
      </w:r>
    </w:p>
    <w:p w14:paraId="248A46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A8C6B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8E0ECD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6D55BDD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32DC5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2FB1AB7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3325B8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329EE1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..............................................................................................................................5</w:t>
      </w:r>
    </w:p>
    <w:p w14:paraId="3CFF4A0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cs="Times New Roman" w:eastAsiaTheme="minorHAnsi"/>
          <w:b/>
          <w:bCs/>
          <w:color w:val="auto"/>
          <w:sz w:val="22"/>
          <w:szCs w:val="22"/>
          <w:lang w:val="pt-BR" w:eastAsia="en-US"/>
        </w:rPr>
        <w:t xml:space="preserve">10. </w:t>
      </w:r>
      <w:r>
        <w:rPr>
          <w:rFonts w:hint="default" w:ascii="Times New Roman" w:hAnsi="Times New Roman" w:cs="Times New Roman" w:eastAsiaTheme="minorHAnsi"/>
          <w:b/>
          <w:bCs/>
          <w:color w:val="auto"/>
          <w:sz w:val="22"/>
          <w:szCs w:val="22"/>
          <w:lang w:eastAsia="en-US"/>
        </w:rPr>
        <w:t>VISTORIA PRÉVIA (OPCIONAL)</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6</w:t>
      </w:r>
    </w:p>
    <w:p w14:paraId="2D6F96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................................................................................6</w:t>
      </w:r>
    </w:p>
    <w:p w14:paraId="0B76D59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...................................................................................................................7</w:t>
      </w:r>
    </w:p>
    <w:p w14:paraId="4414C17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.......................................................................................8</w:t>
      </w:r>
    </w:p>
    <w:p w14:paraId="0E688B00">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.........................................9</w:t>
      </w:r>
    </w:p>
    <w:p w14:paraId="1703727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15. ABERTURA DA SESSÃO............................................................................................................9</w:t>
      </w:r>
    </w:p>
    <w:p w14:paraId="7BBCB5D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...................................................................................................10</w:t>
      </w:r>
    </w:p>
    <w:p w14:paraId="1A9CA14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C59C47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27C5F2B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1AAA088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20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FE01F1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88673C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386783E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3CB291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6E47249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18EE2C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5</w:t>
      </w:r>
    </w:p>
    <w:p w14:paraId="5BADE33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.17</w:t>
      </w:r>
    </w:p>
    <w:p w14:paraId="0BFA6C0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.18</w:t>
      </w:r>
    </w:p>
    <w:p w14:paraId="04B1949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7CEC554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30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57951BE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34A0D6A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S.........................................................................................................18</w:t>
      </w:r>
    </w:p>
    <w:p w14:paraId="2E19129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13AA26E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.....................................................................................19</w:t>
      </w:r>
    </w:p>
    <w:p w14:paraId="31703673">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0863171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......................................................................................21</w:t>
      </w:r>
    </w:p>
    <w:p w14:paraId="36F58CE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54C4B69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5C73920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4DFF1BA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40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31B284D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7888BC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5</w:t>
      </w:r>
    </w:p>
    <w:p w14:paraId="705D0A8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25</w:t>
      </w:r>
    </w:p>
    <w:p w14:paraId="284F14D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27</w:t>
      </w:r>
    </w:p>
    <w:p w14:paraId="7BDCFA1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................................................................................40</w:t>
      </w:r>
    </w:p>
    <w:p w14:paraId="26EE03A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.......................................................................................41</w:t>
      </w:r>
    </w:p>
    <w:p w14:paraId="555C2A0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highlight w:val="none"/>
          <w:lang w:eastAsia="en-US"/>
        </w:rPr>
        <w:t>ANEXO I</w:t>
      </w:r>
      <w:r>
        <w:rPr>
          <w:rFonts w:hint="default" w:ascii="Times New Roman" w:hAnsi="Times New Roman" w:cs="Times New Roman" w:eastAsiaTheme="minorHAnsi"/>
          <w:b/>
          <w:bCs/>
          <w:color w:val="auto"/>
          <w:sz w:val="22"/>
          <w:szCs w:val="22"/>
          <w:highlight w:val="none"/>
          <w:lang w:val="pt-BR" w:eastAsia="en-US"/>
        </w:rPr>
        <w:t>V</w:t>
      </w:r>
      <w:r>
        <w:rPr>
          <w:rFonts w:hint="default" w:ascii="Times New Roman" w:hAnsi="Times New Roman" w:cs="Times New Roman" w:eastAsiaTheme="minorHAnsi"/>
          <w:b/>
          <w:bCs/>
          <w:color w:val="auto"/>
          <w:sz w:val="22"/>
          <w:szCs w:val="22"/>
          <w:highlight w:val="none"/>
          <w:lang w:eastAsia="en-US"/>
        </w:rPr>
        <w:t xml:space="preserve"> - MODE</w:t>
      </w:r>
      <w:r>
        <w:rPr>
          <w:rFonts w:hint="default" w:ascii="Times New Roman" w:hAnsi="Times New Roman" w:cs="Times New Roman" w:eastAsiaTheme="minorHAnsi"/>
          <w:b/>
          <w:bCs/>
          <w:color w:val="auto"/>
          <w:sz w:val="22"/>
          <w:szCs w:val="22"/>
          <w:lang w:eastAsia="en-US"/>
        </w:rPr>
        <w:t>LO DE ATESTADO DE VISTORIA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42</w:t>
      </w:r>
    </w:p>
    <w:p w14:paraId="1CC17D4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val="pt-BR" w:eastAsia="en-US"/>
        </w:rPr>
        <w:t xml:space="preserve">ANEXO V - </w:t>
      </w:r>
      <w:r>
        <w:rPr>
          <w:rFonts w:hint="default" w:ascii="Times New Roman" w:hAnsi="Times New Roman" w:cs="Times New Roman" w:eastAsiaTheme="minorHAnsi"/>
          <w:b/>
          <w:bCs/>
          <w:color w:val="auto"/>
          <w:sz w:val="22"/>
          <w:szCs w:val="22"/>
          <w:lang w:eastAsia="en-US"/>
        </w:rPr>
        <w:t>MODELO DE DECLARAÇÃO DE PLENO CONHECIMENTO</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43</w:t>
      </w:r>
    </w:p>
    <w:p w14:paraId="268E5C8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ANEXO </w:t>
      </w:r>
      <w:r>
        <w:rPr>
          <w:rFonts w:hint="default"/>
          <w:b/>
          <w:bCs/>
          <w:color w:val="000000" w:themeColor="text1"/>
          <w:sz w:val="22"/>
          <w:szCs w:val="22"/>
          <w:highlight w:val="none"/>
          <w:shd w:val="clear" w:color="auto" w:fill="auto"/>
          <w:lang w:val="pt-BR"/>
          <w14:textFill>
            <w14:solidFill>
              <w14:schemeClr w14:val="tx1"/>
            </w14:solidFill>
          </w14:textFill>
        </w:rPr>
        <w:t>VI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.................................................44</w:t>
      </w:r>
    </w:p>
    <w:p w14:paraId="5BF003EA">
      <w:pPr>
        <w:pStyle w:val="28"/>
        <w:keepNext w:val="0"/>
        <w:keepLines w:val="0"/>
        <w:pageBreakBefore w:val="0"/>
        <w:widowControl/>
        <w:kinsoku/>
        <w:wordWrap/>
        <w:overflowPunct/>
        <w:topLinePunct w:val="0"/>
        <w:autoSpaceDE/>
        <w:autoSpaceDN/>
        <w:bidi w:val="0"/>
        <w:adjustRightInd/>
        <w:snapToGrid/>
        <w:spacing w:line="240" w:lineRule="auto"/>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w:t>
      </w:r>
      <w:r>
        <w:rPr>
          <w:rFonts w:hint="default"/>
          <w:b/>
          <w:bCs/>
          <w:color w:val="000000" w:themeColor="text1"/>
          <w:sz w:val="22"/>
          <w:szCs w:val="22"/>
          <w:highlight w:val="none"/>
          <w:shd w:val="clear" w:color="auto" w:fill="auto"/>
          <w:lang w:val="pt-BR"/>
          <w14:textFill>
            <w14:solidFill>
              <w14:schemeClr w14:val="tx1"/>
            </w14:solidFill>
          </w14:textFill>
        </w:rPr>
        <w:t>II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O................................................54</w:t>
      </w:r>
    </w:p>
    <w:p w14:paraId="21813A40">
      <w:pPr>
        <w:pStyle w:val="2"/>
        <w:spacing w:before="360" w:after="0"/>
        <w:rPr>
          <w:sz w:val="21"/>
          <w:szCs w:val="21"/>
        </w:rPr>
      </w:pPr>
      <w:bookmarkStart w:id="0" w:name="_Toc149517427"/>
      <w:r>
        <w:rPr>
          <w:rStyle w:val="53"/>
          <w:sz w:val="21"/>
          <w:szCs w:val="21"/>
        </w:rPr>
        <w:t>PUBLICIDADE</w:t>
      </w:r>
      <w:bookmarkEnd w:id="0"/>
    </w:p>
    <w:p w14:paraId="7ADE3DA3">
      <w:pPr>
        <w:pStyle w:val="50"/>
        <w:numPr>
          <w:ilvl w:val="1"/>
          <w:numId w:val="1"/>
        </w:numPr>
        <w:tabs>
          <w:tab w:val="left" w:pos="1134"/>
        </w:tabs>
        <w:spacing w:before="120" w:beforeAutospacing="0" w:after="0" w:afterAutospacing="0" w:line="240" w:lineRule="auto"/>
        <w:ind w:left="-87" w:leftChars="0" w:firstLine="567" w:firstLineChars="0"/>
        <w:jc w:val="both"/>
        <w:textAlignment w:val="baseline"/>
        <w:rPr>
          <w:sz w:val="21"/>
          <w:szCs w:val="21"/>
        </w:rPr>
      </w:pPr>
      <w:r>
        <w:rPr>
          <w:sz w:val="21"/>
          <w:szCs w:val="21"/>
        </w:rPr>
        <w:t xml:space="preserve">A publicidade deste Edital será realizada mediante divulgação e manutenção do inteiro teor do ato convocatório e de seus anexos no Portal Nacional de Contratações Públicas - PNCP, disponível no endereço eletrônico: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xml:space="preserve">, nos termos fixados nos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da Lei Federal nº 14.133, de 2021</w:t>
      </w:r>
      <w:r>
        <w:rPr>
          <w:rStyle w:val="62"/>
          <w:sz w:val="21"/>
          <w:szCs w:val="21"/>
        </w:rPr>
        <w:fldChar w:fldCharType="end"/>
      </w:r>
      <w:r>
        <w:rPr>
          <w:sz w:val="21"/>
          <w:szCs w:val="21"/>
        </w:rPr>
        <w:t>.</w:t>
      </w:r>
    </w:p>
    <w:p w14:paraId="3CEBFB3F">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O presente Edital também será publicado, em forma de AVISO,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sz w:val="21"/>
          <w:szCs w:val="21"/>
        </w:rPr>
        <w:t>Diário Oficial</w:t>
      </w:r>
      <w:r>
        <w:rPr>
          <w:rStyle w:val="62"/>
          <w:sz w:val="21"/>
          <w:szCs w:val="21"/>
        </w:rPr>
        <w:fldChar w:fldCharType="end"/>
      </w:r>
      <w:r>
        <w:rPr>
          <w:sz w:val="21"/>
          <w:szCs w:val="21"/>
        </w:rPr>
        <w:t>, bem como em jornal diário de grande circulação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 1º, da Lei Federal nº 14.133, de 2021</w:t>
      </w:r>
      <w:r>
        <w:rPr>
          <w:rStyle w:val="62"/>
          <w:sz w:val="21"/>
          <w:szCs w:val="21"/>
        </w:rPr>
        <w:fldChar w:fldCharType="end"/>
      </w:r>
      <w:r>
        <w:rPr>
          <w:sz w:val="21"/>
          <w:szCs w:val="21"/>
        </w:rPr>
        <w:t>).</w:t>
      </w:r>
    </w:p>
    <w:p w14:paraId="70FA88B0">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e no sítio internet da Câmara Municipal de Primavera do Leste - MT,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w:t>
      </w:r>
    </w:p>
    <w:p w14:paraId="79B61347">
      <w:pPr>
        <w:pStyle w:val="2"/>
        <w:spacing w:before="360" w:after="0"/>
        <w:rPr>
          <w:sz w:val="21"/>
          <w:szCs w:val="21"/>
        </w:rPr>
      </w:pPr>
      <w:bookmarkStart w:id="1" w:name="_Toc149517428"/>
      <w:r>
        <w:rPr>
          <w:rStyle w:val="53"/>
          <w:sz w:val="21"/>
          <w:szCs w:val="21"/>
        </w:rPr>
        <w:t>PLATAFORMA ELETRÔNICA</w:t>
      </w:r>
      <w:bookmarkEnd w:id="1"/>
    </w:p>
    <w:p w14:paraId="2D5F392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O Pregão</w:t>
      </w:r>
      <w:r>
        <w:rPr>
          <w:rStyle w:val="53"/>
          <w:color w:val="000000"/>
          <w:sz w:val="21"/>
          <w:szCs w:val="21"/>
        </w:rPr>
        <w:t>, em sua forma eletrônica (</w:t>
      </w:r>
      <w:r>
        <w:rPr>
          <w:sz w:val="21"/>
          <w:szCs w:val="21"/>
        </w:rPr>
        <w:fldChar w:fldCharType="begin"/>
      </w:r>
      <w:r>
        <w:rPr>
          <w:rStyle w:val="62"/>
          <w:sz w:val="21"/>
          <w:szCs w:val="21"/>
        </w:rPr>
        <w:instrText xml:space="preserve"> HYPERLINK "http://www.planalto.gov.br/ccivil_03/_ato2019-2022/2021/lei/L14133.htm"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w:t>
      </w:r>
      <w:r>
        <w:rPr>
          <w:sz w:val="21"/>
          <w:szCs w:val="21"/>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24D7D0ED">
      <w:pPr>
        <w:pStyle w:val="2"/>
        <w:spacing w:before="360" w:after="0"/>
        <w:rPr>
          <w:sz w:val="21"/>
          <w:szCs w:val="21"/>
        </w:rPr>
      </w:pPr>
      <w:bookmarkStart w:id="2" w:name="_DATA_E_HORÁRIO"/>
      <w:bookmarkEnd w:id="2"/>
      <w:bookmarkStart w:id="3" w:name="_Toc149517429"/>
      <w:r>
        <w:rPr>
          <w:rStyle w:val="53"/>
          <w:sz w:val="21"/>
          <w:szCs w:val="21"/>
        </w:rPr>
        <w:t>DATA E HORÁRIO</w:t>
      </w:r>
      <w:bookmarkEnd w:id="3"/>
    </w:p>
    <w:p w14:paraId="1CD532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A(s) proposta(s) de preços e os documentos de habilitação deverão ser cadastrados no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r>
        <w:rPr>
          <w:sz w:val="21"/>
          <w:szCs w:val="21"/>
          <w:highlight w:val="none"/>
        </w:rPr>
        <w:t xml:space="preserve"> até às </w:t>
      </w:r>
      <w:r>
        <w:rPr>
          <w:rFonts w:hint="default"/>
          <w:b/>
          <w:bCs/>
          <w:sz w:val="21"/>
          <w:szCs w:val="21"/>
          <w:highlight w:val="none"/>
          <w:lang w:val="pt-BR"/>
        </w:rPr>
        <w:t>09:00</w:t>
      </w:r>
      <w:r>
        <w:rPr>
          <w:b/>
          <w:bCs/>
          <w:sz w:val="21"/>
          <w:szCs w:val="21"/>
          <w:highlight w:val="none"/>
        </w:rPr>
        <w:t>horas</w:t>
      </w:r>
      <w:r>
        <w:rPr>
          <w:sz w:val="21"/>
          <w:szCs w:val="21"/>
          <w:highlight w:val="none"/>
        </w:rPr>
        <w:t xml:space="preserve"> (horário oficial de Brasília/DF) do dia </w:t>
      </w:r>
      <w:r>
        <w:rPr>
          <w:rFonts w:hint="default"/>
          <w:b/>
          <w:bCs/>
          <w:sz w:val="21"/>
          <w:szCs w:val="21"/>
          <w:highlight w:val="none"/>
          <w:lang w:val="pt-BR"/>
        </w:rPr>
        <w:t xml:space="preserve">06 de novembro </w:t>
      </w:r>
      <w:r>
        <w:rPr>
          <w:b/>
          <w:bCs/>
          <w:sz w:val="21"/>
          <w:szCs w:val="21"/>
          <w:highlight w:val="none"/>
        </w:rPr>
        <w:t>de 2024 (</w:t>
      </w:r>
      <w:r>
        <w:rPr>
          <w:rFonts w:hint="default"/>
          <w:b/>
          <w:bCs/>
          <w:sz w:val="21"/>
          <w:szCs w:val="21"/>
          <w:highlight w:val="none"/>
          <w:lang w:val="pt-BR"/>
        </w:rPr>
        <w:t>quarta</w:t>
      </w:r>
      <w:r>
        <w:rPr>
          <w:b/>
          <w:bCs/>
          <w:sz w:val="21"/>
          <w:szCs w:val="21"/>
          <w:highlight w:val="none"/>
        </w:rPr>
        <w:t>-</w:t>
      </w:r>
      <w:r>
        <w:rPr>
          <w:rFonts w:hint="default"/>
          <w:b/>
          <w:bCs/>
          <w:sz w:val="21"/>
          <w:szCs w:val="21"/>
          <w:highlight w:val="none"/>
          <w:lang w:val="pt-BR"/>
        </w:rPr>
        <w:t xml:space="preserve"> </w:t>
      </w:r>
      <w:r>
        <w:rPr>
          <w:b/>
          <w:bCs/>
          <w:sz w:val="21"/>
          <w:szCs w:val="21"/>
          <w:highlight w:val="none"/>
        </w:rPr>
        <w:t>feira)</w:t>
      </w:r>
      <w:r>
        <w:rPr>
          <w:sz w:val="21"/>
          <w:szCs w:val="21"/>
          <w:highlight w:val="none"/>
        </w:rPr>
        <w:t>, quando se dará a abertura da sessão pública.</w:t>
      </w:r>
    </w:p>
    <w:p w14:paraId="57F0F2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750FBEF7">
      <w:pPr>
        <w:pStyle w:val="2"/>
        <w:spacing w:before="360" w:after="0"/>
        <w:rPr>
          <w:sz w:val="21"/>
          <w:szCs w:val="21"/>
        </w:rPr>
      </w:pPr>
      <w:bookmarkStart w:id="4" w:name="_Toc149517430"/>
      <w:r>
        <w:rPr>
          <w:rStyle w:val="53"/>
          <w:sz w:val="21"/>
          <w:szCs w:val="21"/>
        </w:rPr>
        <w:t>AGENTE DE CONTRAÇÃO</w:t>
      </w:r>
      <w:bookmarkEnd w:id="4"/>
    </w:p>
    <w:p w14:paraId="59BB7E8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Os trabalhos do certame licitatório serão conduzidos pelo  servidor </w:t>
      </w:r>
      <w:r>
        <w:rPr>
          <w:rStyle w:val="53"/>
          <w:b/>
          <w:bCs/>
          <w:color w:val="000000" w:themeColor="text1"/>
          <w:sz w:val="21"/>
          <w:szCs w:val="21"/>
          <w:shd w:val="clear" w:fill="auto"/>
          <w14:textFill>
            <w14:solidFill>
              <w14:schemeClr w14:val="tx1"/>
            </w14:solidFill>
          </w14:textFill>
        </w:rPr>
        <w:t>Wender de Souza Barros</w:t>
      </w:r>
      <w:r>
        <w:rPr>
          <w:b/>
          <w:bCs/>
          <w:sz w:val="21"/>
          <w:szCs w:val="21"/>
          <w:shd w:val="clear" w:fill="auto"/>
        </w:rPr>
        <w:t>,</w:t>
      </w:r>
      <w:r>
        <w:rPr>
          <w:sz w:val="21"/>
          <w:szCs w:val="21"/>
        </w:rPr>
        <w:t xml:space="preserve"> designado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da Lei Federal nº 14.133, de 2021</w:t>
      </w:r>
      <w:r>
        <w:rPr>
          <w:rStyle w:val="62"/>
          <w:sz w:val="21"/>
          <w:szCs w:val="21"/>
        </w:rPr>
        <w:fldChar w:fldCharType="end"/>
      </w:r>
      <w:r>
        <w:rPr>
          <w:sz w:val="21"/>
          <w:szCs w:val="21"/>
        </w:rPr>
        <w:t>) por intermédio da Portaria nº 0</w:t>
      </w:r>
      <w:r>
        <w:rPr>
          <w:rFonts w:hint="default"/>
          <w:sz w:val="21"/>
          <w:szCs w:val="21"/>
          <w:lang w:val="pt-BR"/>
        </w:rPr>
        <w:t>85</w:t>
      </w:r>
      <w:r>
        <w:rPr>
          <w:sz w:val="21"/>
          <w:szCs w:val="21"/>
        </w:rPr>
        <w:t xml:space="preserve"> de 2024, e que nesta licitação será denominado(a)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§5º, da Lei Federal nº 14.133, de 2021</w:t>
      </w:r>
      <w:r>
        <w:rPr>
          <w:rStyle w:val="62"/>
          <w:sz w:val="21"/>
          <w:szCs w:val="21"/>
        </w:rPr>
        <w:fldChar w:fldCharType="end"/>
      </w:r>
      <w:r>
        <w:rPr>
          <w:sz w:val="21"/>
          <w:szCs w:val="21"/>
        </w:rPr>
        <w:t>).</w:t>
      </w:r>
    </w:p>
    <w:p w14:paraId="24064E6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O(A) Pregoeiro será auxiliada por equipe de ap</w:t>
      </w:r>
      <w:r>
        <w:rPr>
          <w:sz w:val="21"/>
          <w:szCs w:val="21"/>
          <w:shd w:val="clear" w:fill="auto"/>
        </w:rPr>
        <w:t>oio (</w:t>
      </w:r>
      <w:r>
        <w:rPr>
          <w:sz w:val="21"/>
          <w:szCs w:val="21"/>
        </w:rPr>
        <w:fldChar w:fldCharType="begin"/>
      </w:r>
      <w:r>
        <w:rPr>
          <w:rStyle w:val="62"/>
          <w:sz w:val="21"/>
          <w:szCs w:val="21"/>
          <w:shd w:val="clear" w:fill="auto"/>
        </w:rPr>
        <w:instrText xml:space="preserve"> HYPERLINK "https://www.planalto.gov.br/ccivil_03/_ato2019-2022/2021/lei/l14133.htm" \l "art8"</w:instrText>
      </w:r>
      <w:r>
        <w:rPr>
          <w:rStyle w:val="62"/>
          <w:sz w:val="21"/>
          <w:szCs w:val="21"/>
          <w:shd w:val="clear" w:fill="auto"/>
        </w:rPr>
        <w:fldChar w:fldCharType="separate"/>
      </w:r>
      <w:r>
        <w:rPr>
          <w:rStyle w:val="62"/>
          <w:sz w:val="21"/>
          <w:szCs w:val="21"/>
          <w:shd w:val="clear" w:fill="auto"/>
        </w:rPr>
        <w:t>art. 8º, §1º, da Lei Federal nº 14.133, de 2021</w:t>
      </w:r>
      <w:r>
        <w:rPr>
          <w:rStyle w:val="62"/>
          <w:sz w:val="21"/>
          <w:szCs w:val="21"/>
          <w:shd w:val="clear" w:fill="auto"/>
        </w:rPr>
        <w:fldChar w:fldCharType="end"/>
      </w:r>
      <w:r>
        <w:rPr>
          <w:sz w:val="21"/>
          <w:szCs w:val="21"/>
          <w:shd w:val="clear" w:fill="auto"/>
        </w:rPr>
        <w:t>) designada pela Portaria nº 0</w:t>
      </w:r>
      <w:r>
        <w:rPr>
          <w:rFonts w:hint="default"/>
          <w:sz w:val="21"/>
          <w:szCs w:val="21"/>
          <w:shd w:val="clear" w:fill="auto"/>
          <w:lang w:val="pt-BR"/>
        </w:rPr>
        <w:t>85</w:t>
      </w:r>
      <w:r>
        <w:rPr>
          <w:sz w:val="21"/>
          <w:szCs w:val="21"/>
          <w:shd w:val="clear" w:fill="auto"/>
        </w:rPr>
        <w:t xml:space="preserve"> de 2024, </w:t>
      </w:r>
      <w:r>
        <w:rPr>
          <w:sz w:val="21"/>
          <w:szCs w:val="21"/>
        </w:rPr>
        <w:t>e responderá individualmente pelos atos que praticar.</w:t>
      </w:r>
    </w:p>
    <w:p w14:paraId="58E8B9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Em caso de impedimento na condução do certame licitatório, o Pregoeiro será substituído automaticamente por outro Pregoeiro designado pela Portaria nº 0</w:t>
      </w:r>
      <w:r>
        <w:rPr>
          <w:rFonts w:hint="default"/>
          <w:sz w:val="21"/>
          <w:szCs w:val="21"/>
          <w:lang w:val="pt-BR"/>
        </w:rPr>
        <w:t>85</w:t>
      </w:r>
      <w:r>
        <w:rPr>
          <w:sz w:val="21"/>
          <w:szCs w:val="21"/>
        </w:rPr>
        <w:t>, de 2024, seguindo a ordem de substituição definida na referida portaria.</w:t>
      </w:r>
    </w:p>
    <w:p w14:paraId="721613B8">
      <w:pPr>
        <w:pStyle w:val="2"/>
        <w:spacing w:before="360" w:after="0"/>
        <w:rPr>
          <w:sz w:val="21"/>
          <w:szCs w:val="21"/>
        </w:rPr>
      </w:pPr>
      <w:bookmarkStart w:id="5" w:name="_Toc149517431"/>
      <w:r>
        <w:rPr>
          <w:rStyle w:val="53"/>
          <w:sz w:val="21"/>
          <w:szCs w:val="21"/>
        </w:rPr>
        <w:t>OBJETO</w:t>
      </w:r>
      <w:bookmarkEnd w:id="5"/>
      <w:r>
        <w:rPr>
          <w:rStyle w:val="53"/>
          <w:sz w:val="21"/>
          <w:szCs w:val="21"/>
        </w:rPr>
        <w:t> </w:t>
      </w:r>
    </w:p>
    <w:p w14:paraId="1583DD3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A presente licitação, </w:t>
      </w:r>
      <w:r>
        <w:rPr>
          <w:rStyle w:val="53"/>
          <w:rFonts w:hint="default"/>
          <w:color w:val="000000"/>
          <w:sz w:val="21"/>
          <w:szCs w:val="21"/>
          <w:lang w:val="pt-BR"/>
        </w:rPr>
        <w:t>de menor preço por lote</w:t>
      </w:r>
      <w:r>
        <w:rPr>
          <w:rStyle w:val="53"/>
          <w:color w:val="000000"/>
          <w:sz w:val="21"/>
          <w:szCs w:val="21"/>
        </w:rPr>
        <w:t xml:space="preserve">, tem por objeto </w:t>
      </w:r>
      <w:r>
        <w:rPr>
          <w:rStyle w:val="53"/>
          <w:rFonts w:hint="default"/>
          <w:color w:val="000000"/>
          <w:sz w:val="21"/>
          <w:szCs w:val="21"/>
          <w:lang w:val="pt-BR"/>
        </w:rPr>
        <w:t xml:space="preserve">o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Fonts w:cs="Times New Roman"/>
          <w:b/>
          <w:bCs/>
          <w:color w:val="000000"/>
          <w:kern w:val="0"/>
          <w:sz w:val="21"/>
          <w:szCs w:val="21"/>
          <w:shd w:val="clear" w:fill="auto"/>
          <w:lang w:val="pt-BR" w:bidi="ar-SA"/>
        </w:rPr>
        <w:t xml:space="preserve">, </w:t>
      </w:r>
      <w:r>
        <w:rPr>
          <w:rStyle w:val="53"/>
          <w:color w:val="000000"/>
          <w:sz w:val="21"/>
          <w:szCs w:val="21"/>
        </w:rPr>
        <w:t>conforme especificações, condições, quantidades e prazos constantes do</w:t>
      </w:r>
      <w:r>
        <w:rPr>
          <w:rStyle w:val="53"/>
          <w:b/>
          <w:bCs/>
          <w:color w:val="000000"/>
          <w:sz w:val="21"/>
          <w:szCs w:val="21"/>
        </w:rPr>
        <w:t xml:space="preserve"> </w:t>
      </w:r>
      <w:r>
        <w:rPr>
          <w:sz w:val="21"/>
          <w:szCs w:val="21"/>
        </w:rPr>
        <w:fldChar w:fldCharType="begin"/>
      </w:r>
      <w:r>
        <w:rPr>
          <w:sz w:val="21"/>
          <w:szCs w:val="21"/>
        </w:rPr>
        <w:instrText xml:space="preserve"> HYPERLINK \l "_ANEXO_I_-_1" \h </w:instrText>
      </w:r>
      <w:r>
        <w:rPr>
          <w:sz w:val="21"/>
          <w:szCs w:val="21"/>
        </w:rPr>
        <w:fldChar w:fldCharType="separate"/>
      </w:r>
      <w:r>
        <w:rPr>
          <w:rStyle w:val="62"/>
          <w:b/>
          <w:bCs/>
          <w:sz w:val="21"/>
          <w:szCs w:val="21"/>
        </w:rPr>
        <w:t>Termo de Referência - Anexo I deste Edital</w:t>
      </w:r>
      <w:r>
        <w:rPr>
          <w:rStyle w:val="62"/>
          <w:b/>
          <w:bCs/>
          <w:sz w:val="21"/>
          <w:szCs w:val="21"/>
        </w:rPr>
        <w:fldChar w:fldCharType="end"/>
      </w:r>
      <w:r>
        <w:rPr>
          <w:rStyle w:val="53"/>
          <w:b/>
          <w:bCs/>
          <w:color w:val="000000"/>
          <w:sz w:val="21"/>
          <w:szCs w:val="21"/>
        </w:rPr>
        <w:t>.</w:t>
      </w:r>
    </w:p>
    <w:p w14:paraId="7CF512C4">
      <w:pPr>
        <w:pStyle w:val="50"/>
        <w:numPr>
          <w:ilvl w:val="0"/>
          <w:numId w:val="0"/>
        </w:numPr>
        <w:tabs>
          <w:tab w:val="left" w:pos="1134"/>
        </w:tabs>
        <w:spacing w:before="120" w:beforeAutospacing="0" w:after="0" w:afterAutospacing="0"/>
        <w:ind w:left="567" w:leftChars="0"/>
        <w:jc w:val="both"/>
        <w:textAlignment w:val="baseline"/>
        <w:rPr>
          <w:sz w:val="21"/>
          <w:szCs w:val="21"/>
        </w:rPr>
      </w:pPr>
    </w:p>
    <w:p w14:paraId="415396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Fazem parte do presente Edital os anexos abaixo relacionados: </w:t>
      </w:r>
    </w:p>
    <w:p w14:paraId="14A4C4F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 - Termo de Referência;</w:t>
      </w:r>
    </w:p>
    <w:p w14:paraId="7D3A373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 - Modelo de Declarações;</w:t>
      </w:r>
    </w:p>
    <w:p w14:paraId="2E2C7F6A">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III - Modelo de Proposta;</w:t>
      </w:r>
    </w:p>
    <w:p w14:paraId="2767DF7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IV - Minuta da Ata de Registro de Preços;</w:t>
      </w:r>
    </w:p>
    <w:p w14:paraId="4D1A10A1">
      <w:pPr>
        <w:pStyle w:val="50"/>
        <w:numPr>
          <w:ilvl w:val="2"/>
          <w:numId w:val="1"/>
        </w:numPr>
        <w:tabs>
          <w:tab w:val="left" w:pos="1134"/>
        </w:tabs>
        <w:spacing w:before="0" w:beforeAutospacing="0" w:after="0" w:afterAutospacing="0"/>
        <w:jc w:val="both"/>
        <w:textAlignment w:val="baseline"/>
        <w:rPr>
          <w:rStyle w:val="53"/>
          <w:color w:val="000000"/>
          <w:sz w:val="21"/>
          <w:szCs w:val="21"/>
        </w:rPr>
      </w:pPr>
      <w:r>
        <w:rPr>
          <w:rStyle w:val="53"/>
          <w:color w:val="000000"/>
          <w:sz w:val="21"/>
          <w:szCs w:val="21"/>
        </w:rPr>
        <w:t>Anexo V - Minuta do Instrumento de Contrato.</w:t>
      </w:r>
    </w:p>
    <w:p w14:paraId="6C7CBF3A">
      <w:pPr>
        <w:pStyle w:val="2"/>
        <w:spacing w:before="360" w:after="0"/>
        <w:rPr>
          <w:sz w:val="21"/>
          <w:szCs w:val="21"/>
        </w:rPr>
      </w:pPr>
      <w:bookmarkStart w:id="6" w:name="_Toc149517432"/>
      <w:r>
        <w:rPr>
          <w:rStyle w:val="53"/>
          <w:sz w:val="21"/>
          <w:szCs w:val="21"/>
        </w:rPr>
        <w:t>CONDIÇÕES PARA PARTICIPAÇÃO</w:t>
      </w:r>
      <w:bookmarkEnd w:id="6"/>
      <w:r>
        <w:rPr>
          <w:rStyle w:val="53"/>
          <w:sz w:val="21"/>
          <w:szCs w:val="21"/>
        </w:rPr>
        <w:t> </w:t>
      </w:r>
    </w:p>
    <w:p w14:paraId="20BFABC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Para </w:t>
      </w:r>
      <w:r>
        <w:rPr>
          <w:sz w:val="21"/>
          <w:szCs w:val="21"/>
        </w:rPr>
        <w:t>participar</w:t>
      </w:r>
      <w:r>
        <w:rPr>
          <w:rStyle w:val="53"/>
          <w:color w:val="000000"/>
          <w:sz w:val="21"/>
          <w:szCs w:val="21"/>
        </w:rPr>
        <w:t xml:space="preserve"> deste Pregão, em sua forma eletrônica (</w:t>
      </w:r>
      <w:r>
        <w:rPr>
          <w:sz w:val="21"/>
          <w:szCs w:val="21"/>
        </w:rPr>
        <w:fldChar w:fldCharType="begin"/>
      </w:r>
      <w:r>
        <w:rPr>
          <w:rStyle w:val="62"/>
          <w:sz w:val="21"/>
          <w:szCs w:val="21"/>
        </w:rPr>
        <w:instrText xml:space="preserve"> HYPERLINK "https://www.planalto.gov.br/ccivil_03/_ato2019-2022/2021/lei/l14133.htm"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 a licitante deverá preencher os seguintes requisitos:</w:t>
      </w:r>
      <w:r>
        <w:rPr>
          <w:rStyle w:val="55"/>
          <w:color w:val="000000"/>
          <w:sz w:val="21"/>
          <w:szCs w:val="21"/>
        </w:rPr>
        <w:t xml:space="preserve"> </w:t>
      </w:r>
    </w:p>
    <w:p w14:paraId="100FC32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cujo ramo de atividade seja compatível com o objeto desta licitação;</w:t>
      </w:r>
    </w:p>
    <w:p w14:paraId="491B52D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Ser credenciada junto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que atuará como órgão provedor do sistema eletrônico;</w:t>
      </w:r>
    </w:p>
    <w:p w14:paraId="4D3A2BA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Enviar em campo próprio do sistema eletrônico a</w:t>
      </w:r>
      <w:r>
        <w:rPr>
          <w:rStyle w:val="53"/>
          <w:sz w:val="21"/>
          <w:szCs w:val="21"/>
        </w:rPr>
        <w:t>s</w:t>
      </w:r>
      <w:r>
        <w:rPr>
          <w:rStyle w:val="53"/>
          <w:color w:val="000000"/>
          <w:sz w:val="21"/>
          <w:szCs w:val="21"/>
        </w:rPr>
        <w:t xml:space="preserve"> seguintes declarações virtuais de que:</w:t>
      </w:r>
    </w:p>
    <w:p w14:paraId="2AAE861F">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cumpre plenamente os requisitos de habilitação e que sua proposta está em conformidade com as exigências do instrumento convocatório;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 da Lei Federal nº 14.133, de 2021</w:t>
      </w:r>
      <w:r>
        <w:rPr>
          <w:rStyle w:val="62"/>
          <w:sz w:val="21"/>
          <w:szCs w:val="21"/>
        </w:rPr>
        <w:fldChar w:fldCharType="end"/>
      </w:r>
      <w:r>
        <w:rPr>
          <w:rStyle w:val="53"/>
          <w:color w:val="000000"/>
          <w:sz w:val="21"/>
          <w:szCs w:val="21"/>
        </w:rPr>
        <w:t>).</w:t>
      </w:r>
    </w:p>
    <w:p w14:paraId="0BAB5B99">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atende aos requisitos do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 xml:space="preserve"> para fazer jus aos benefícios previstos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rStyle w:val="53"/>
          <w:color w:val="000000"/>
          <w:sz w:val="21"/>
          <w:szCs w:val="21"/>
        </w:rPr>
        <w:t>;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w:t>
      </w:r>
    </w:p>
    <w:p w14:paraId="232E562C">
      <w:pPr>
        <w:pStyle w:val="50"/>
        <w:numPr>
          <w:ilvl w:val="3"/>
          <w:numId w:val="1"/>
        </w:numPr>
        <w:tabs>
          <w:tab w:val="left" w:pos="1134"/>
        </w:tabs>
        <w:spacing w:before="0" w:beforeAutospacing="0" w:after="0" w:afterAutospacing="0"/>
        <w:jc w:val="both"/>
        <w:textAlignment w:val="baseline"/>
        <w:rPr>
          <w:sz w:val="21"/>
          <w:szCs w:val="21"/>
        </w:rPr>
      </w:pPr>
      <w:r>
        <w:rPr>
          <w:rStyle w:val="53"/>
          <w:sz w:val="21"/>
          <w:szCs w:val="21"/>
        </w:rPr>
        <w:t xml:space="preserve">cumpre as exigências de reserva de cargos para pessoa com deficiência e para reabilitado da Previdência Social, previstas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rStyle w:val="53"/>
          <w:sz w:val="21"/>
          <w:szCs w:val="21"/>
        </w:rPr>
        <w:t xml:space="preserve"> e em outras normas específicas;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rStyle w:val="53"/>
          <w:sz w:val="21"/>
          <w:szCs w:val="21"/>
        </w:rPr>
        <w:t>)</w:t>
      </w:r>
    </w:p>
    <w:p w14:paraId="4CB08D48">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inexiste fato impeditivo para licitar ou contratar com a União Federal.</w:t>
      </w:r>
    </w:p>
    <w:p w14:paraId="00C3351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sujeitará a licitante à inabilitação e ao enquadramento na infração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w:t>
      </w:r>
    </w:p>
    <w:p w14:paraId="0EF4DF6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BDD5AF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Não poderão participar deste Pregão:</w:t>
      </w:r>
    </w:p>
    <w:p w14:paraId="7F35CF5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não atenda às condições deste Edital e seu(s) anexo(s);</w:t>
      </w:r>
    </w:p>
    <w:p w14:paraId="63EC137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físicas;</w:t>
      </w:r>
    </w:p>
    <w:p w14:paraId="693BA40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Microempreendedores Individuais (MEI’s);</w:t>
      </w:r>
    </w:p>
    <w:p w14:paraId="0C2B1B0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jurídicas que não possuam Inscrição Municipal ou que não possuam autorização legal para a prestação dos serviços que são objeto do presente Pregão;</w:t>
      </w:r>
    </w:p>
    <w:p w14:paraId="71A146A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 que possua entre seus sócios </w:t>
      </w:r>
      <w:r>
        <w:rPr>
          <w:rStyle w:val="53"/>
          <w:sz w:val="21"/>
          <w:szCs w:val="21"/>
        </w:rPr>
        <w:t xml:space="preserve">agente público vinculado à </w:t>
      </w:r>
      <w:r>
        <w:rPr>
          <w:rStyle w:val="53"/>
          <w:color w:val="000000"/>
          <w:sz w:val="21"/>
          <w:szCs w:val="21"/>
        </w:rPr>
        <w:t>Câmara Municipal de Primavera do Leste - MT</w:t>
      </w:r>
      <w:r>
        <w:rPr>
          <w:rStyle w:val="53"/>
          <w:sz w:val="21"/>
          <w:szCs w:val="21"/>
        </w:rPr>
        <w:t>;</w:t>
      </w:r>
    </w:p>
    <w:p w14:paraId="054A53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quem não cumprir os requisitos formais para participação neste </w:t>
      </w:r>
      <w:r>
        <w:rPr>
          <w:rStyle w:val="53"/>
          <w:color w:val="000000" w:themeColor="text1"/>
          <w:sz w:val="21"/>
          <w:szCs w:val="21"/>
          <w14:textFill>
            <w14:solidFill>
              <w14:schemeClr w14:val="tx1"/>
            </w14:solidFill>
          </w14:textFill>
        </w:rPr>
        <w:t>Pregão</w:t>
      </w:r>
      <w:r>
        <w:rPr>
          <w:rStyle w:val="53"/>
          <w:color w:val="000000"/>
          <w:sz w:val="21"/>
          <w:szCs w:val="21"/>
        </w:rPr>
        <w:t>;</w:t>
      </w:r>
    </w:p>
    <w:p w14:paraId="6C6E8B02">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agentes públicos ou terceiros que se enquadrem em situações que possam configurar conflito de interesses no exercício ou após o exercício do cargo ou emprego, nos termos da legislação que disciplina a matéria;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§1º, da Lei Federal nº 14.133, de 2021</w:t>
      </w:r>
      <w:r>
        <w:rPr>
          <w:rStyle w:val="62"/>
          <w:sz w:val="21"/>
          <w:szCs w:val="21"/>
        </w:rPr>
        <w:fldChar w:fldCharType="end"/>
      </w:r>
      <w:r>
        <w:rPr>
          <w:rStyle w:val="53"/>
          <w:color w:val="000000"/>
          <w:sz w:val="21"/>
          <w:szCs w:val="21"/>
        </w:rPr>
        <w:t>);</w:t>
      </w:r>
    </w:p>
    <w:p w14:paraId="48AF0CF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terceiro que auxilie a condução da contratação na qualidade de integrante de equipe de apoio, profissional especializado ou funcionário ou representante de empresa que preste assessoria técnica;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§2º, da Lei Federal nº 14.133, de 2021</w:t>
      </w:r>
      <w:r>
        <w:rPr>
          <w:rStyle w:val="62"/>
          <w:sz w:val="21"/>
          <w:szCs w:val="21"/>
        </w:rPr>
        <w:fldChar w:fldCharType="end"/>
      </w:r>
      <w:r>
        <w:rPr>
          <w:rStyle w:val="53"/>
          <w:color w:val="000000"/>
          <w:sz w:val="21"/>
          <w:szCs w:val="21"/>
        </w:rPr>
        <w:t>);</w:t>
      </w:r>
    </w:p>
    <w:p w14:paraId="4300A6B0">
      <w:pPr>
        <w:pStyle w:val="50"/>
        <w:numPr>
          <w:ilvl w:val="2"/>
          <w:numId w:val="1"/>
        </w:numPr>
        <w:tabs>
          <w:tab w:val="left" w:pos="1134"/>
        </w:tabs>
        <w:spacing w:before="0" w:beforeAutospacing="0" w:after="0" w:afterAutospacing="0"/>
        <w:jc w:val="both"/>
        <w:textAlignment w:val="baseline"/>
        <w:rPr>
          <w:sz w:val="21"/>
          <w:szCs w:val="21"/>
        </w:rPr>
      </w:pPr>
      <w:r>
        <w:rPr>
          <w:rStyle w:val="53"/>
          <w:sz w:val="21"/>
          <w:szCs w:val="21"/>
        </w:rPr>
        <w:t xml:space="preserve">autor do anteprojeto, do projeto básico ou do projeto executivo; </w:t>
      </w:r>
      <w:r>
        <w:rPr>
          <w:rStyle w:val="53"/>
          <w:color w:val="000000"/>
          <w:sz w:val="21"/>
          <w:szCs w:val="21"/>
        </w:rPr>
        <w:t>(</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 e II e §§ 2º e 3º, da Lei Federal nº 14.133, de 2021</w:t>
      </w:r>
      <w:r>
        <w:rPr>
          <w:rStyle w:val="62"/>
          <w:sz w:val="21"/>
          <w:szCs w:val="21"/>
        </w:rPr>
        <w:fldChar w:fldCharType="end"/>
      </w:r>
      <w:r>
        <w:rPr>
          <w:rStyle w:val="53"/>
          <w:color w:val="000000"/>
          <w:sz w:val="21"/>
          <w:szCs w:val="21"/>
        </w:rPr>
        <w:t>).</w:t>
      </w:r>
    </w:p>
    <w:p w14:paraId="78D1B99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III e §1º da Lei Federal nº 14.133, de 2021</w:t>
      </w:r>
      <w:r>
        <w:rPr>
          <w:rStyle w:val="62"/>
          <w:sz w:val="21"/>
          <w:szCs w:val="21"/>
        </w:rPr>
        <w:fldChar w:fldCharType="end"/>
      </w:r>
      <w:r>
        <w:rPr>
          <w:rStyle w:val="53"/>
          <w:color w:val="000000"/>
          <w:sz w:val="21"/>
          <w:szCs w:val="21"/>
        </w:rPr>
        <w:t>);</w:t>
      </w:r>
    </w:p>
    <w:p w14:paraId="6C205EF5">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mantenha vínculo de natureza técnica, comercial, econômica, financeira, trabalhista ou civil com dirigente da Câmara Municipal de Primavera do Leste - MT</w:t>
      </w:r>
      <w:r>
        <w:rPr>
          <w:sz w:val="21"/>
          <w:szCs w:val="21"/>
        </w:rPr>
        <w:t xml:space="preserve">  </w:t>
      </w:r>
      <w:r>
        <w:rPr>
          <w:rStyle w:val="53"/>
          <w:color w:val="000000"/>
          <w:sz w:val="21"/>
          <w:szCs w:val="21"/>
        </w:rPr>
        <w:t>ou com agente público que desempenhe função na licitação ou atue na fiscalização ou na gestão do contrato, 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rStyle w:val="53"/>
          <w:color w:val="000000"/>
          <w:sz w:val="21"/>
          <w:szCs w:val="21"/>
        </w:rPr>
        <w:t>);</w:t>
      </w:r>
    </w:p>
    <w:p w14:paraId="407BC01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empresas controladoras, controladas ou coligadas, nos termos da </w:t>
      </w:r>
      <w:r>
        <w:rPr>
          <w:sz w:val="21"/>
          <w:szCs w:val="21"/>
        </w:rPr>
        <w:fldChar w:fldCharType="begin"/>
      </w:r>
      <w:r>
        <w:rPr>
          <w:sz w:val="21"/>
          <w:szCs w:val="21"/>
        </w:rPr>
        <w:instrText xml:space="preserve"> HYPERLINK "https://www.planalto.gov.br/ccivil_03/leis/l6404consol.htm" \h </w:instrText>
      </w:r>
      <w:r>
        <w:rPr>
          <w:sz w:val="21"/>
          <w:szCs w:val="21"/>
        </w:rPr>
        <w:fldChar w:fldCharType="separate"/>
      </w:r>
      <w:r>
        <w:rPr>
          <w:rStyle w:val="62"/>
          <w:sz w:val="21"/>
          <w:szCs w:val="21"/>
        </w:rPr>
        <w:t>Lei Federal nº 6.404, de 1976</w:t>
      </w:r>
      <w:r>
        <w:rPr>
          <w:rStyle w:val="62"/>
          <w:sz w:val="21"/>
          <w:szCs w:val="21"/>
        </w:rPr>
        <w:fldChar w:fldCharType="end"/>
      </w:r>
      <w:r>
        <w:rPr>
          <w:rStyle w:val="53"/>
          <w:color w:val="000000"/>
          <w:sz w:val="21"/>
          <w:szCs w:val="21"/>
        </w:rPr>
        <w:t>, concorrendo entre si;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 da Lei Federal nº 14.133, de 2021</w:t>
      </w:r>
      <w:r>
        <w:rPr>
          <w:rStyle w:val="62"/>
          <w:sz w:val="21"/>
          <w:szCs w:val="21"/>
        </w:rPr>
        <w:fldChar w:fldCharType="end"/>
      </w:r>
      <w:r>
        <w:rPr>
          <w:rStyle w:val="53"/>
          <w:color w:val="000000"/>
          <w:sz w:val="21"/>
          <w:szCs w:val="21"/>
        </w:rPr>
        <w:t>);</w:t>
      </w:r>
    </w:p>
    <w:p w14:paraId="43C70F5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VI, da Lei Federal nº 14.133, de 2021</w:t>
      </w:r>
      <w:r>
        <w:rPr>
          <w:rStyle w:val="62"/>
          <w:sz w:val="21"/>
          <w:szCs w:val="21"/>
        </w:rPr>
        <w:fldChar w:fldCharType="end"/>
      </w:r>
      <w:r>
        <w:rPr>
          <w:rStyle w:val="53"/>
          <w:color w:val="000000"/>
          <w:sz w:val="21"/>
          <w:szCs w:val="21"/>
        </w:rPr>
        <w:t>);</w:t>
      </w:r>
    </w:p>
    <w:p w14:paraId="5932521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Organizações da Sociedade Civil de Interesse Público - OSCIP, atuando nessa condição (</w:t>
      </w:r>
      <w:r>
        <w:rPr>
          <w:sz w:val="21"/>
          <w:szCs w:val="21"/>
        </w:rPr>
        <w:fldChar w:fldCharType="begin"/>
      </w:r>
      <w:r>
        <w:rPr>
          <w:sz w:val="21"/>
          <w:szCs w:val="21"/>
        </w:rPr>
        <w:instrText xml:space="preserve"> HYPERLINK "https://pesquisa.apps.tcu.gov.br/documento/acordao-completo/*/KEY%253AACORDAO-COMPLETO-1302349/DTRELEVANCIA%2520desc/0/sinonimos%253Dfalse" \h </w:instrText>
      </w:r>
      <w:r>
        <w:rPr>
          <w:sz w:val="21"/>
          <w:szCs w:val="21"/>
        </w:rPr>
        <w:fldChar w:fldCharType="separate"/>
      </w:r>
      <w:r>
        <w:rPr>
          <w:rStyle w:val="62"/>
          <w:sz w:val="21"/>
          <w:szCs w:val="21"/>
        </w:rPr>
        <w:t>Acórdão nº 746/2014-TCU-Plenário</w:t>
      </w:r>
      <w:r>
        <w:rPr>
          <w:rStyle w:val="62"/>
          <w:sz w:val="21"/>
          <w:szCs w:val="21"/>
        </w:rPr>
        <w:fldChar w:fldCharType="end"/>
      </w:r>
      <w:r>
        <w:rPr>
          <w:rStyle w:val="53"/>
          <w:color w:val="000000"/>
          <w:sz w:val="21"/>
          <w:szCs w:val="21"/>
        </w:rPr>
        <w:t>);</w:t>
      </w:r>
    </w:p>
    <w:p w14:paraId="289260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aqueles que se enquadrem nas demais vedações do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 xml:space="preserve">art. 14 da Lei Federal nº 14.133, de </w:t>
      </w:r>
      <w:r>
        <w:rPr>
          <w:rStyle w:val="62"/>
          <w:sz w:val="21"/>
          <w:szCs w:val="21"/>
        </w:rPr>
        <w:fldChar w:fldCharType="end"/>
      </w:r>
      <w:r>
        <w:rPr>
          <w:rStyle w:val="62"/>
          <w:sz w:val="21"/>
          <w:szCs w:val="21"/>
        </w:rPr>
        <w:t>2021</w:t>
      </w:r>
      <w:r>
        <w:rPr>
          <w:rStyle w:val="53"/>
          <w:color w:val="000000"/>
          <w:sz w:val="21"/>
          <w:szCs w:val="21"/>
        </w:rPr>
        <w:t>.</w:t>
      </w:r>
    </w:p>
    <w:p w14:paraId="615D3A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verificação dos impedimentos e condições de participação ocorrerá somente após a fase competitiva do certame, momento no qual 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permite a identificação dos participantes do certame licitatório.</w:t>
      </w:r>
    </w:p>
    <w:p w14:paraId="37D06BF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Encerrada a fase de lances, o  </w:t>
      </w:r>
      <w:r>
        <w:rPr>
          <w:sz w:val="21"/>
          <w:szCs w:val="21"/>
        </w:rPr>
        <w:t>Pregoeiro</w:t>
      </w:r>
      <w:r>
        <w:rPr>
          <w:rStyle w:val="53"/>
          <w:color w:val="000000"/>
          <w:sz w:val="21"/>
          <w:szCs w:val="21"/>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3"/>
          <w:sz w:val="21"/>
          <w:szCs w:val="21"/>
        </w:rPr>
        <w:t>cadastro unificado de licitantes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rStyle w:val="53"/>
          <w:sz w:val="21"/>
          <w:szCs w:val="21"/>
        </w:rPr>
        <w:t>)</w:t>
      </w:r>
      <w:r>
        <w:rPr>
          <w:rStyle w:val="53"/>
          <w:color w:val="000000"/>
          <w:sz w:val="21"/>
          <w:szCs w:val="21"/>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163D5F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Havendo qualquer impedimento, a licitante será, automaticamente, excluída da licitação, sem prejuízo das sanções previstas neste edital e em lei.</w:t>
      </w:r>
    </w:p>
    <w:p w14:paraId="349974C2">
      <w:pPr>
        <w:pStyle w:val="2"/>
        <w:spacing w:before="360" w:after="0"/>
        <w:rPr>
          <w:sz w:val="21"/>
          <w:szCs w:val="21"/>
        </w:rPr>
      </w:pPr>
      <w:bookmarkStart w:id="7" w:name="_CONSÓRCIO"/>
      <w:bookmarkEnd w:id="7"/>
      <w:bookmarkStart w:id="8" w:name="_Toc149517433"/>
      <w:r>
        <w:rPr>
          <w:rStyle w:val="53"/>
          <w:sz w:val="21"/>
          <w:szCs w:val="21"/>
        </w:rPr>
        <w:t>CONSÓRCIO</w:t>
      </w:r>
      <w:bookmarkEnd w:id="8"/>
    </w:p>
    <w:p w14:paraId="44FF91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da Lei Federal nº 14.133, de 2021</w:t>
      </w:r>
      <w:r>
        <w:rPr>
          <w:rStyle w:val="62"/>
          <w:sz w:val="21"/>
          <w:szCs w:val="21"/>
        </w:rPr>
        <w:fldChar w:fldCharType="end"/>
      </w:r>
      <w:r>
        <w:rPr>
          <w:sz w:val="21"/>
          <w:szCs w:val="21"/>
        </w:rPr>
        <w:t>, pessoa jurídica poderá participar de licitação em consórcio, observadas as seguintes normas:</w:t>
      </w:r>
    </w:p>
    <w:p w14:paraId="73936FF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Comprovação de compromisso público ou particular de constituição de consórcio, subscrito pelos consorciados;</w:t>
      </w:r>
    </w:p>
    <w:p w14:paraId="67CB6DC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Indicação da empresa líder do consórcio, que será responsável por sua representação perante a Administração;</w:t>
      </w:r>
    </w:p>
    <w:p w14:paraId="221A3D2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Admissão, para efeito de habilitação técnica, do somatório dos quantitativos de cada consorciado e, para efeito de habilitação econômico-financeira, do somatório dos valores de cada consorciado;</w:t>
      </w:r>
    </w:p>
    <w:p w14:paraId="78A70E3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Impedimento de a empresa consorciada participar, na mesma licitação, de mais de um consórcio ou de forma isolada;</w:t>
      </w:r>
    </w:p>
    <w:p w14:paraId="5250743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Responsabilidade solidária dos integrantes pelos atos praticados em consórcio, tanto na fase de licitação quanto na de execução do contrato.</w:t>
      </w:r>
    </w:p>
    <w:p w14:paraId="74D36E7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vencedor é obrigado a promover, antes da celebração da ata de registro de preços, a constituição e o registro do consórcio, nos termos do compromisso referido no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I, da Lei Federal nº 14.133, de 2021</w:t>
      </w:r>
      <w:r>
        <w:rPr>
          <w:rStyle w:val="62"/>
          <w:sz w:val="21"/>
          <w:szCs w:val="21"/>
        </w:rPr>
        <w:fldChar w:fldCharType="end"/>
      </w:r>
      <w:r>
        <w:rPr>
          <w:sz w:val="21"/>
          <w:szCs w:val="21"/>
        </w:rPr>
        <w:t>.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§3º, da Lei Federal nº 14.133, de 2021</w:t>
      </w:r>
      <w:r>
        <w:rPr>
          <w:rStyle w:val="62"/>
          <w:sz w:val="21"/>
          <w:szCs w:val="21"/>
        </w:rPr>
        <w:fldChar w:fldCharType="end"/>
      </w:r>
      <w:r>
        <w:rPr>
          <w:sz w:val="21"/>
          <w:szCs w:val="21"/>
        </w:rPr>
        <w:t>)</w:t>
      </w:r>
    </w:p>
    <w:p w14:paraId="1877BD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substituição de consorciado deverá ser expressamente autorizada pela </w:t>
      </w:r>
      <w:r>
        <w:rPr>
          <w:rStyle w:val="53"/>
          <w:color w:val="000000"/>
          <w:sz w:val="21"/>
          <w:szCs w:val="21"/>
        </w:rPr>
        <w:t>Câmara Municipal de Primavera do Leste - MT</w:t>
      </w:r>
      <w:r>
        <w:rPr>
          <w:sz w:val="21"/>
          <w:szCs w:val="21"/>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§5º, da Lei Federal nº 14.133, de 2021</w:t>
      </w:r>
      <w:r>
        <w:rPr>
          <w:rStyle w:val="62"/>
          <w:sz w:val="21"/>
          <w:szCs w:val="21"/>
        </w:rPr>
        <w:fldChar w:fldCharType="end"/>
      </w:r>
      <w:r>
        <w:rPr>
          <w:sz w:val="21"/>
          <w:szCs w:val="21"/>
        </w:rPr>
        <w:t>).</w:t>
      </w:r>
    </w:p>
    <w:p w14:paraId="31C5719F">
      <w:pPr>
        <w:pStyle w:val="2"/>
        <w:spacing w:before="360" w:after="0"/>
        <w:rPr>
          <w:sz w:val="21"/>
          <w:szCs w:val="21"/>
        </w:rPr>
      </w:pPr>
      <w:bookmarkStart w:id="9" w:name="_Toc149517434"/>
      <w:r>
        <w:rPr>
          <w:rStyle w:val="53"/>
          <w:sz w:val="21"/>
          <w:szCs w:val="21"/>
        </w:rPr>
        <w:t>COOPERATIVA</w:t>
      </w:r>
      <w:bookmarkEnd w:id="9"/>
    </w:p>
    <w:p w14:paraId="40A7C3DF">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 pessoa jurídica organizada em forma de cooperativa poderá participar da licitação quando:</w:t>
      </w:r>
    </w:p>
    <w:p w14:paraId="03E6D7A1">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a constituição e o funcionamento da cooperativa observarem as regras estabelecidas na legislação aplicável, em especial a </w:t>
      </w:r>
      <w:r>
        <w:rPr>
          <w:sz w:val="21"/>
          <w:szCs w:val="21"/>
        </w:rPr>
        <w:fldChar w:fldCharType="begin"/>
      </w:r>
      <w:r>
        <w:rPr>
          <w:sz w:val="21"/>
          <w:szCs w:val="21"/>
        </w:rPr>
        <w:instrText xml:space="preserve"> HYPERLINK "https://www.planalto.gov.br/ccivil_03/LEIS/L5764.HTM" \h </w:instrText>
      </w:r>
      <w:r>
        <w:rPr>
          <w:sz w:val="21"/>
          <w:szCs w:val="21"/>
        </w:rPr>
        <w:fldChar w:fldCharType="separate"/>
      </w:r>
      <w:r>
        <w:rPr>
          <w:rStyle w:val="62"/>
          <w:sz w:val="21"/>
          <w:szCs w:val="21"/>
        </w:rPr>
        <w:t>Lei Federal nº 5.764, de 1971</w:t>
      </w:r>
      <w:r>
        <w:rPr>
          <w:rStyle w:val="62"/>
          <w:sz w:val="21"/>
          <w:szCs w:val="21"/>
        </w:rPr>
        <w:fldChar w:fldCharType="end"/>
      </w:r>
      <w:r>
        <w:rPr>
          <w:color w:val="000000"/>
          <w:sz w:val="21"/>
          <w:szCs w:val="21"/>
        </w:rPr>
        <w:t xml:space="preserve">, 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xml:space="preserve">, e a </w:t>
      </w:r>
      <w:r>
        <w:rPr>
          <w:sz w:val="21"/>
          <w:szCs w:val="21"/>
        </w:rPr>
        <w:fldChar w:fldCharType="begin"/>
      </w:r>
      <w:r>
        <w:rPr>
          <w:sz w:val="21"/>
          <w:szCs w:val="21"/>
        </w:rPr>
        <w:instrText xml:space="preserve"> HYPERLINK "https://www.planalto.gov.br/ccivil_03/LEIS/LCP/Lcp130.htm" \h </w:instrText>
      </w:r>
      <w:r>
        <w:rPr>
          <w:sz w:val="21"/>
          <w:szCs w:val="21"/>
        </w:rPr>
        <w:fldChar w:fldCharType="separate"/>
      </w:r>
      <w:r>
        <w:rPr>
          <w:rStyle w:val="62"/>
          <w:sz w:val="21"/>
          <w:szCs w:val="21"/>
        </w:rPr>
        <w:t>Lei Complementar Federal nº 130, de 2009;</w:t>
      </w:r>
      <w:r>
        <w:rPr>
          <w:rStyle w:val="62"/>
          <w:sz w:val="21"/>
          <w:szCs w:val="21"/>
        </w:rPr>
        <w:fldChar w:fldCharType="end"/>
      </w:r>
    </w:p>
    <w:p w14:paraId="531AD3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cooperativa apresentar demonstrativo de atuação em regime cooperado, com repartição de receitas e despesas entre os cooperados;</w:t>
      </w:r>
    </w:p>
    <w:p w14:paraId="1F93DF3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qualquer cooperado, com igual qualificação, for capaz de executar o objeto contratado, vedado à Administração indicar nominalmente pessoas;</w:t>
      </w:r>
    </w:p>
    <w:p w14:paraId="7E845467">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objeto da licitação referir-se, em se tratando de cooperativas enquadradas na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a serviços especializados constantes do objeto social da cooperativa, a serem executados de forma complementar à sua atuação.</w:t>
      </w:r>
    </w:p>
    <w:p w14:paraId="70261EE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organizado em cooperativa deverá declarar, ainda, em campo próprio do sistema eletrônico, que cumpre os requisitos estabelecidos no </w:t>
      </w:r>
      <w:r>
        <w:rPr>
          <w:sz w:val="21"/>
          <w:szCs w:val="21"/>
        </w:rPr>
        <w:fldChar w:fldCharType="begin"/>
      </w:r>
      <w:r>
        <w:rPr>
          <w:rStyle w:val="62"/>
          <w:sz w:val="21"/>
          <w:szCs w:val="21"/>
        </w:rPr>
        <w:instrText xml:space="preserve"> HYPERLINK "http://www.planalto.gov.br/ccivil_03/_ato2019-2022/2021/lei/L14133.htm"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w:t>
      </w:r>
    </w:p>
    <w:p w14:paraId="0B76700A">
      <w:pPr>
        <w:pStyle w:val="2"/>
        <w:rPr>
          <w:rStyle w:val="53"/>
          <w:rFonts w:hint="default" w:ascii="Times New Roman" w:hAnsi="Times New Roman" w:cs="Times New Roman"/>
          <w:b w:val="0"/>
          <w:bCs w:val="0"/>
          <w:sz w:val="21"/>
          <w:szCs w:val="21"/>
          <w:highlight w:val="none"/>
        </w:rPr>
      </w:pPr>
      <w:bookmarkStart w:id="10" w:name="_Toc149509708"/>
      <w:r>
        <w:rPr>
          <w:rStyle w:val="53"/>
          <w:rFonts w:hint="default" w:ascii="Times New Roman" w:hAnsi="Times New Roman" w:cs="Times New Roman"/>
          <w:sz w:val="21"/>
          <w:szCs w:val="21"/>
          <w:highlight w:val="none"/>
        </w:rPr>
        <w:t>VISTORIA PRÉVIA (OPCIONAL)</w:t>
      </w:r>
      <w:bookmarkEnd w:id="10"/>
    </w:p>
    <w:p w14:paraId="26EBE144">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art. 63, § 2º, da Lei Federal nº 14.133, de 2021</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030E10F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A vistoria prévia tem por finalidade que o proponente possa constatar as condições de execução e particularidades inerentes à natureza dos trabalhos e sobre o local e para que perceba a realidade do cenário do empreendimento, suas peculiaridades, grau de dificuldade, quantitativos, etc, tendo condições de formar um conceito sobre os serviços como um todo e apresentando um preço justo em sua proposta não havendo dessa forma alegações futuras de desconhecimento das condições de execução dos serviços objeto deste Edital.</w:t>
      </w:r>
    </w:p>
    <w:p w14:paraId="47BE273C">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O licitante que optar por realizar vistoria prévia deverá agendar visita diretamente com a </w:t>
      </w:r>
      <w:r>
        <w:rPr>
          <w:rFonts w:hint="default" w:ascii="Times New Roman" w:hAnsi="Times New Roman" w:cs="Times New Roman"/>
          <w:b/>
          <w:bCs/>
          <w:color w:val="000000"/>
          <w:sz w:val="21"/>
          <w:szCs w:val="21"/>
          <w:highlight w:val="none"/>
          <w:lang w:val="pt-BR"/>
        </w:rPr>
        <w:t>Câmara Municipal de Primavera do Leste - MT</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por intermédio do e-mail: </w:t>
      </w:r>
      <w:r>
        <w:rPr>
          <w:rFonts w:hint="default" w:ascii="Times New Roman" w:hAnsi="Times New Roman" w:cs="Times New Roman"/>
          <w:b/>
          <w:bCs/>
          <w:color w:val="000000"/>
          <w:sz w:val="21"/>
          <w:szCs w:val="21"/>
          <w:highlight w:val="none"/>
          <w:lang w:val="pt-BR"/>
        </w:rPr>
        <w:t>licitacao@primaveradoleste.mt.leg.br</w:t>
      </w:r>
      <w:r>
        <w:rPr>
          <w:rFonts w:hint="default" w:ascii="Times New Roman" w:hAnsi="Times New Roman" w:cs="Times New Roman"/>
          <w:color w:val="000000"/>
          <w:sz w:val="21"/>
          <w:szCs w:val="21"/>
          <w:highlight w:val="none"/>
        </w:rPr>
        <w:t xml:space="preserve"> ou pelo telefone: </w:t>
      </w:r>
      <w:r>
        <w:rPr>
          <w:rFonts w:hint="default" w:ascii="Times New Roman" w:hAnsi="Times New Roman" w:cs="Times New Roman"/>
          <w:b/>
          <w:bCs/>
          <w:color w:val="000000"/>
          <w:sz w:val="21"/>
          <w:szCs w:val="21"/>
          <w:highlight w:val="none"/>
          <w:lang w:val="pt-BR"/>
        </w:rPr>
        <w:t>(66) 3498-3590</w:t>
      </w:r>
      <w:r>
        <w:rPr>
          <w:rFonts w:hint="default" w:ascii="Times New Roman" w:hAnsi="Times New Roman" w:cs="Times New Roman"/>
          <w:color w:val="000000"/>
          <w:sz w:val="21"/>
          <w:szCs w:val="21"/>
          <w:highlight w:val="none"/>
        </w:rPr>
        <w:t xml:space="preserve"> no horário de funcionamento </w:t>
      </w:r>
      <w:r>
        <w:rPr>
          <w:rFonts w:hint="default" w:ascii="Times New Roman" w:hAnsi="Times New Roman" w:cs="Times New Roman"/>
          <w:color w:val="000000"/>
          <w:sz w:val="21"/>
          <w:szCs w:val="21"/>
          <w:highlight w:val="none"/>
          <w:lang w:val="pt-BR"/>
        </w:rPr>
        <w:t>do órgão</w:t>
      </w:r>
      <w:r>
        <w:rPr>
          <w:rFonts w:hint="default" w:ascii="Times New Roman" w:hAnsi="Times New Roman" w:cs="Times New Roman"/>
          <w:color w:val="000000"/>
          <w:sz w:val="21"/>
          <w:szCs w:val="21"/>
          <w:highlight w:val="none"/>
        </w:rPr>
        <w:t xml:space="preserve">, de modo que seu agendamento não coincida com o agendamento de outros licitantes interessados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art. 63, § 4º, da Lei Federal nº 14.133, de 2021</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r>
        <w:rPr>
          <w:rFonts w:hint="default" w:ascii="Times New Roman" w:hAnsi="Times New Roman" w:cs="Times New Roman"/>
          <w:color w:val="000000"/>
          <w:sz w:val="21"/>
          <w:szCs w:val="21"/>
          <w:highlight w:val="none"/>
        </w:rPr>
        <w:t>, não sendo aceitas visitas sem agendamento e as visitas deverão ocorrer em até 2 (dois) dias úteis antes da data de início do certame licitatório.</w:t>
      </w:r>
    </w:p>
    <w:p w14:paraId="53B8C49F">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Caso o licitante opte por não realizar vistoria, poderá</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color w:val="000000"/>
          <w:sz w:val="21"/>
          <w:szCs w:val="21"/>
          <w:highlight w:val="none"/>
        </w:rPr>
        <w:t>sob pena de inabilitação</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substituir a declaração exigida no presente item por declaração formal assinada pelo seu responsável técnico acerca do conhecimento pleno das condições e peculiaridades da contratação.</w:t>
      </w:r>
    </w:p>
    <w:p w14:paraId="7D74CFDB">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A empresa licitante, a seu critério, poderá declinar da vistoria prévia, sendo, neste caso, necessário apresentar, em substituição ao Atestado de Vistoria prévia, declaração formal assinada pelo responsável técnico da licitante, sob as penalidades da lei, de que tem pleno conhecimento das condições e peculiaridades inerentes à natureza dos trabalhos e sobre o local do serviço, assumindo total responsabilidade por esta declaração e ficando impedida, no futuro, de pleitear, por força do conhecimento declarado, quaisquer alterações contratuais de natureza técnica ou financeira.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art. 63, § 3º, da Lei Federal nº 14.133, de 2021</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39286D5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No caso vistoria prévia (opcional) deve ser preenchido atestado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Anexo I</w:t>
      </w:r>
      <w:r>
        <w:rPr>
          <w:rStyle w:val="22"/>
          <w:rFonts w:hint="default" w:ascii="Times New Roman" w:hAnsi="Times New Roman" w:cs="Times New Roman"/>
          <w:sz w:val="21"/>
          <w:szCs w:val="21"/>
          <w:highlight w:val="none"/>
          <w:lang w:val="pt-BR"/>
        </w:rPr>
        <w:t>V</w:t>
      </w:r>
      <w:r>
        <w:rPr>
          <w:rStyle w:val="22"/>
          <w:rFonts w:hint="default" w:ascii="Times New Roman" w:hAnsi="Times New Roman" w:cs="Times New Roman"/>
          <w:sz w:val="21"/>
          <w:szCs w:val="21"/>
          <w:highlight w:val="none"/>
        </w:rPr>
        <w:t xml:space="preserve"> - Modelo de Atestado de Vistoria Técnica</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xml:space="preserve"> e no caso de dispensa da referida vistoria </w:t>
      </w:r>
      <w:r>
        <w:rPr>
          <w:rFonts w:hint="default" w:ascii="Times New Roman" w:hAnsi="Times New Roman" w:cs="Times New Roman"/>
          <w:color w:val="000000"/>
          <w:sz w:val="21"/>
          <w:szCs w:val="21"/>
          <w:highlight w:val="none"/>
        </w:rPr>
        <w:t xml:space="preserve">deverá ser preenchida declaração,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Anexo V - Modelo de Declaração de Pleno Conhecimento</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color w:val="000000"/>
          <w:sz w:val="21"/>
          <w:szCs w:val="21"/>
          <w:highlight w:val="none"/>
        </w:rPr>
        <w:t>.</w:t>
      </w:r>
    </w:p>
    <w:p w14:paraId="2D902D6D">
      <w:pPr>
        <w:pStyle w:val="2"/>
        <w:spacing w:before="360" w:after="0"/>
        <w:rPr>
          <w:sz w:val="21"/>
          <w:szCs w:val="21"/>
        </w:rPr>
      </w:pPr>
      <w:bookmarkStart w:id="11" w:name="_Toc149517435"/>
      <w:r>
        <w:rPr>
          <w:rStyle w:val="53"/>
          <w:sz w:val="21"/>
          <w:szCs w:val="21"/>
        </w:rPr>
        <w:t>IMPUGNAÇÃO E ESCLARECIMENTOS</w:t>
      </w:r>
      <w:bookmarkEnd w:id="11"/>
    </w:p>
    <w:p w14:paraId="3E57C3D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Qualquer</w:t>
      </w:r>
      <w:r>
        <w:rPr>
          <w:color w:val="000000"/>
          <w:sz w:val="21"/>
          <w:szCs w:val="21"/>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 xml:space="preserve">art. 164, </w:t>
      </w:r>
      <w:r>
        <w:rPr>
          <w:rStyle w:val="62"/>
          <w:sz w:val="21"/>
          <w:szCs w:val="21"/>
        </w:rPr>
        <w:fldChar w:fldCharType="end"/>
      </w:r>
      <w:r>
        <w:rPr>
          <w:rStyle w:val="62"/>
          <w:i/>
          <w:iCs/>
          <w:sz w:val="21"/>
          <w:szCs w:val="21"/>
        </w:rPr>
        <w:t>caput</w:t>
      </w:r>
      <w:r>
        <w:rPr>
          <w:rStyle w:val="62"/>
          <w:sz w:val="21"/>
          <w:szCs w:val="21"/>
        </w:rPr>
        <w:t>, da Lei Federal nº 14.133, de 2021</w:t>
      </w:r>
      <w:r>
        <w:rPr>
          <w:color w:val="000000"/>
          <w:sz w:val="21"/>
          <w:szCs w:val="21"/>
        </w:rPr>
        <w:t>).</w:t>
      </w:r>
    </w:p>
    <w:p w14:paraId="22E064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os esclarecimentos deverão ser encaminhados exclusivamente de forma eletrônica pelo envio de mensagem eletrônica para o endereço: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w:t>
      </w:r>
    </w:p>
    <w:p w14:paraId="5856CBC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pedidos de esclarecimentos não suspendem e nem interrompem os prazos previstos no certame licitatório.</w:t>
      </w:r>
    </w:p>
    <w:p w14:paraId="40CAC7D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concessão de efeito suspensivo à impugnação é medida excepcional e deverá ser motivada pelo(a) Pregoeiro, nos autos do processo de licitação.</w:t>
      </w:r>
    </w:p>
    <w:p w14:paraId="3962D64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resposta à impugnação ou ao pedido de esclarecimento será divulgado em sítio eletrônico oficial no prazo de até 3 (três) dias úteis, limitado ao último dia útil anterior à data da abertura do certame, e </w:t>
      </w:r>
      <w:r>
        <w:rPr>
          <w:color w:val="000000"/>
          <w:sz w:val="21"/>
          <w:szCs w:val="21"/>
        </w:rPr>
        <w:t xml:space="preserve">será divulgada no sítio eletrônico </w:t>
      </w:r>
      <w:r>
        <w:rPr>
          <w:rStyle w:val="53"/>
          <w:color w:val="000000" w:themeColor="text1"/>
          <w:sz w:val="21"/>
          <w:szCs w:val="21"/>
          <w14:textFill>
            <w14:solidFill>
              <w14:schemeClr w14:val="tx1"/>
            </w14:solidFill>
          </w14:textFill>
        </w:rPr>
        <w:t>oficial</w:t>
      </w:r>
      <w:r>
        <w:rPr>
          <w:color w:val="000000"/>
          <w:sz w:val="21"/>
          <w:szCs w:val="21"/>
        </w:rPr>
        <w:t xml:space="preserve"> da </w:t>
      </w:r>
      <w:r>
        <w:rPr>
          <w:rStyle w:val="53"/>
          <w:color w:val="000000"/>
          <w:sz w:val="21"/>
          <w:szCs w:val="21"/>
        </w:rPr>
        <w:t>Câmara Municipal de Primavera do Leste – MT</w:t>
      </w:r>
      <w:r>
        <w:rPr>
          <w:sz w:val="21"/>
          <w:szCs w:val="21"/>
        </w:rPr>
        <w:t xml:space="preserve">,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 xml:space="preserve"> </w:t>
      </w:r>
      <w:r>
        <w:rPr>
          <w:color w:val="000000"/>
          <w:sz w:val="21"/>
          <w:szCs w:val="21"/>
        </w:rPr>
        <w:t>(</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art. 164, parágrafo único, da Lei Federal nº 14.133, de 2021</w:t>
      </w:r>
      <w:r>
        <w:rPr>
          <w:rStyle w:val="62"/>
          <w:sz w:val="21"/>
          <w:szCs w:val="21"/>
        </w:rPr>
        <w:fldChar w:fldCharType="end"/>
      </w:r>
      <w:r>
        <w:rPr>
          <w:color w:val="000000"/>
          <w:sz w:val="21"/>
          <w:szCs w:val="21"/>
        </w:rPr>
        <w:t>).</w:t>
      </w:r>
    </w:p>
    <w:p w14:paraId="5C9855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1"/>
          <w:szCs w:val="21"/>
        </w:rPr>
        <w:fldChar w:fldCharType="begin"/>
      </w:r>
      <w:r>
        <w:rPr>
          <w:rStyle w:val="62"/>
          <w:sz w:val="21"/>
          <w:szCs w:val="21"/>
        </w:rPr>
        <w:instrText xml:space="preserve"> HYPERLINK "https://www.planalto.gov.br/ccivil_03/_ato2019-2022/2021/lei/l14133.htm" \l "art55"</w:instrText>
      </w:r>
      <w:r>
        <w:rPr>
          <w:rStyle w:val="62"/>
          <w:sz w:val="21"/>
          <w:szCs w:val="21"/>
        </w:rPr>
        <w:fldChar w:fldCharType="separate"/>
      </w:r>
      <w:r>
        <w:rPr>
          <w:rStyle w:val="62"/>
          <w:sz w:val="21"/>
          <w:szCs w:val="21"/>
        </w:rPr>
        <w:t>art. 55, § 1º, da Lei Federal nº 14.133, de 2021</w:t>
      </w:r>
      <w:r>
        <w:rPr>
          <w:rStyle w:val="62"/>
          <w:sz w:val="21"/>
          <w:szCs w:val="21"/>
        </w:rPr>
        <w:fldChar w:fldCharType="end"/>
      </w:r>
      <w:r>
        <w:rPr>
          <w:color w:val="000000"/>
          <w:sz w:val="21"/>
          <w:szCs w:val="21"/>
        </w:rPr>
        <w:t>).</w:t>
      </w:r>
    </w:p>
    <w:p w14:paraId="48C3F9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AF8F8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0B310467">
      <w:pPr>
        <w:pStyle w:val="2"/>
        <w:spacing w:before="360" w:after="0"/>
        <w:rPr>
          <w:sz w:val="21"/>
          <w:szCs w:val="21"/>
        </w:rPr>
      </w:pPr>
      <w:bookmarkStart w:id="12" w:name="_CREDENCIAMENTO"/>
      <w:bookmarkEnd w:id="12"/>
      <w:bookmarkStart w:id="13" w:name="_Toc149517436"/>
      <w:r>
        <w:rPr>
          <w:rStyle w:val="53"/>
          <w:sz w:val="21"/>
          <w:szCs w:val="21"/>
        </w:rPr>
        <w:t>CREDENCIAMENTO</w:t>
      </w:r>
      <w:bookmarkEnd w:id="13"/>
      <w:r>
        <w:rPr>
          <w:rStyle w:val="53"/>
          <w:sz w:val="21"/>
          <w:szCs w:val="21"/>
        </w:rPr>
        <w:t> </w:t>
      </w:r>
    </w:p>
    <w:p w14:paraId="58B3EA68">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As empresas licitantes interessadas deverão proceder ao credenciamento antes da data marcada para início da Sessão Pública via internet.</w:t>
      </w:r>
    </w:p>
    <w:p w14:paraId="4E5C5CE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9DA1B9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participação do licitante no </w:t>
      </w:r>
      <w:r>
        <w:rPr>
          <w:rStyle w:val="53"/>
          <w:color w:val="000000" w:themeColor="text1"/>
          <w:sz w:val="21"/>
          <w:szCs w:val="21"/>
          <w14:textFill>
            <w14:solidFill>
              <w14:schemeClr w14:val="tx1"/>
            </w14:solidFill>
          </w14:textFill>
        </w:rPr>
        <w:t>Pregão</w:t>
      </w:r>
      <w:r>
        <w:rPr>
          <w:rStyle w:val="53"/>
          <w:color w:val="000000"/>
          <w:sz w:val="21"/>
          <w:szCs w:val="21"/>
        </w:rPr>
        <w:t xml:space="preserve"> se dará exclusivamente através de </w:t>
      </w:r>
      <w:r>
        <w:rPr>
          <w:rStyle w:val="53"/>
          <w:i/>
          <w:iCs/>
          <w:color w:val="000000"/>
          <w:sz w:val="21"/>
          <w:szCs w:val="21"/>
        </w:rPr>
        <w:t>Home Broker</w:t>
      </w:r>
      <w:r>
        <w:rPr>
          <w:rStyle w:val="53"/>
          <w:color w:val="000000"/>
          <w:sz w:val="21"/>
          <w:szCs w:val="21"/>
        </w:rPr>
        <w:t>, o qual deverá manifestar em campo próprio da plataforma Eletrônica, pleno conhecimento, aceitação e atendimento às exigências de habilitação previstas no Edital.</w:t>
      </w:r>
    </w:p>
    <w:p w14:paraId="3D0E60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credenciamento dar-se-á pela atribuição de chave de identificação e de senha, pessoal e intransferível, para acesso ao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w:t>
      </w:r>
      <w:r>
        <w:rPr>
          <w:rStyle w:val="53"/>
          <w:color w:val="000000"/>
          <w:sz w:val="21"/>
          <w:szCs w:val="21"/>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6054E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acesso do licitante ao </w:t>
      </w:r>
      <w:r>
        <w:rPr>
          <w:rStyle w:val="53"/>
          <w:color w:val="000000" w:themeColor="text1"/>
          <w:sz w:val="21"/>
          <w:szCs w:val="21"/>
          <w14:textFill>
            <w14:solidFill>
              <w14:schemeClr w14:val="tx1"/>
            </w14:solidFill>
          </w14:textFill>
        </w:rPr>
        <w:t>Pregão</w:t>
      </w:r>
      <w:r>
        <w:rPr>
          <w:rStyle w:val="53"/>
          <w:color w:val="000000"/>
          <w:sz w:val="21"/>
          <w:szCs w:val="21"/>
        </w:rPr>
        <w:t xml:space="preserve">, em sua forma eletrônica, para efeito de encaminhamento de proposta de preço e lances sucessivos de preços, somente se dará mediante prévio cadastramento e adesão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6D8B1F4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É de exclusiva responsabilidade do licitante o sigilo da senha, bem como seu uso em qualquer transação efetuada, não cabendo ao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xml:space="preserve">) e à </w:t>
      </w:r>
      <w:r>
        <w:rPr>
          <w:rStyle w:val="53"/>
          <w:color w:val="000000" w:themeColor="text1"/>
          <w:sz w:val="21"/>
          <w:szCs w:val="21"/>
          <w14:textFill>
            <w14:solidFill>
              <w14:schemeClr w14:val="tx1"/>
            </w14:solidFill>
          </w14:textFill>
        </w:rPr>
        <w:t>Câmara Municipal de Primavera do Leste - MT</w:t>
      </w:r>
      <w:r>
        <w:rPr>
          <w:rStyle w:val="53"/>
          <w:color w:val="000000"/>
          <w:sz w:val="21"/>
          <w:szCs w:val="21"/>
        </w:rPr>
        <w:t xml:space="preserve"> a responsabilidade por eventuais danos decorrentes de uso indevido da senha, ainda que por terceiros.</w:t>
      </w:r>
    </w:p>
    <w:p w14:paraId="76EE1A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 licitante junto a plataforma onde ocorrerá a disputa no presente </w:t>
      </w:r>
      <w:r>
        <w:rPr>
          <w:rStyle w:val="53"/>
          <w:color w:val="000000" w:themeColor="text1"/>
          <w:sz w:val="21"/>
          <w:szCs w:val="21"/>
          <w14:textFill>
            <w14:solidFill>
              <w14:schemeClr w14:val="tx1"/>
            </w14:solidFill>
          </w14:textFill>
        </w:rPr>
        <w:t>Pregão</w:t>
      </w:r>
      <w:r>
        <w:rPr>
          <w:rStyle w:val="53"/>
          <w:color w:val="000000"/>
          <w:sz w:val="21"/>
          <w:szCs w:val="21"/>
        </w:rPr>
        <w:t xml:space="preserve"> implica a responsabilidade legal pelos atos praticados e a presunção de capacidade técnica para realização das transações inerentes ao certame. </w:t>
      </w:r>
    </w:p>
    <w:p w14:paraId="652848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As microempresas ou as empresas de pequeno porte no momento de seu cadastro deverão manifestar em campo próprio do Sistema Eletrônico o estabelecido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w:t>
      </w:r>
    </w:p>
    <w:p w14:paraId="7A2140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não declaração, no momento do credenciamento, da licitante em referência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 caso se enquadre, implicará o IMPEDIMENTO DA LICITANTE EM BENEFICIAR-SE DA CONDIÇÃO DE MICROEMPRESA (ME) OU EMPRESA DE PEQUENO PORTE (EPP).</w:t>
      </w:r>
    </w:p>
    <w:p w14:paraId="4EA30C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dos requisitos do credenciamento sujeitará às sanções previstas neste Edital e nas demais cominações legais do certame, em especial quanto à tipificação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 xml:space="preserve">. </w:t>
      </w:r>
    </w:p>
    <w:p w14:paraId="2D92911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perda da senha ou a quebra de sigilo deverá ser comunicada ao provedor do sistema para imediato bloqueio de acesso.</w:t>
      </w:r>
    </w:p>
    <w:p w14:paraId="1A843E42">
      <w:pPr>
        <w:pStyle w:val="2"/>
        <w:spacing w:before="360" w:after="0"/>
        <w:rPr>
          <w:sz w:val="21"/>
          <w:szCs w:val="21"/>
        </w:rPr>
      </w:pPr>
      <w:bookmarkStart w:id="14" w:name="_Toc149517437"/>
      <w:r>
        <w:rPr>
          <w:rStyle w:val="53"/>
          <w:sz w:val="21"/>
          <w:szCs w:val="21"/>
        </w:rPr>
        <w:t>CADASTRAMENTO DA PROPOSTA</w:t>
      </w:r>
      <w:bookmarkEnd w:id="14"/>
      <w:r>
        <w:rPr>
          <w:rStyle w:val="53"/>
          <w:sz w:val="21"/>
          <w:szCs w:val="21"/>
        </w:rPr>
        <w:t xml:space="preserve"> </w:t>
      </w:r>
    </w:p>
    <w:p w14:paraId="34122CE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de proposta(s)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3D46AD9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1"/>
          <w:szCs w:val="21"/>
        </w:rPr>
        <w:t>“</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sz w:val="21"/>
          <w:szCs w:val="21"/>
        </w:rPr>
        <w:t>”</w:t>
      </w:r>
      <w:r>
        <w:rPr>
          <w:rStyle w:val="53"/>
          <w:color w:val="000000"/>
          <w:sz w:val="21"/>
          <w:szCs w:val="21"/>
        </w:rPr>
        <w:t>.</w:t>
      </w:r>
    </w:p>
    <w:p w14:paraId="058A8B7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registro de proposta eletrônica vinculada ao presente certame implica, independente de expressa declaração, na(o):</w:t>
      </w:r>
    </w:p>
    <w:p w14:paraId="3031EE1D">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Aceitação de todas as condições estabelecidas neste Edital e seus Anexos;</w:t>
      </w:r>
    </w:p>
    <w:p w14:paraId="0686CC0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garantia do cumprimento da proposta por prazo mínimo de 90 (noventa) dias, contados da data de abertura da sessão pública;</w:t>
      </w:r>
    </w:p>
    <w:p w14:paraId="57537C3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compromisso do licitante para com o rigoroso cumprimento das especificações técnicas, prazos e condições fixadas no Termo de Referência (Anexo I);</w:t>
      </w:r>
    </w:p>
    <w:p w14:paraId="0212F0F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Impossibilidade de posterior desistência ou declínio de proposta a partir da data da sessão eletrônica inicial, ou de requerer qualquer acréscimo de custos que deveria ter sido incluído na sua proposta;</w:t>
      </w:r>
    </w:p>
    <w:p w14:paraId="577E07E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Submissão às sanções administrativas previstas neste Edital e seus Anexos;</w:t>
      </w:r>
    </w:p>
    <w:p w14:paraId="5657C34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Obrigação de participar ativamente do certame (ON LINE) até a sua conclusão, encaminhando toda a documentação solicitada e/ou prestando as informações e esclarecimentos solicitados pelo(a) </w:t>
      </w:r>
      <w:r>
        <w:rPr>
          <w:sz w:val="21"/>
          <w:szCs w:val="21"/>
        </w:rPr>
        <w:t>Pregoeiro</w:t>
      </w:r>
      <w:r>
        <w:rPr>
          <w:rStyle w:val="53"/>
          <w:color w:val="000000"/>
          <w:sz w:val="21"/>
          <w:szCs w:val="21"/>
        </w:rPr>
        <w:t>.</w:t>
      </w:r>
    </w:p>
    <w:p w14:paraId="6641533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propostas registradas no “Sistema” NÃO DEVEM CONTER NENHUMA IDENTIFICAÇÃO DA EMPRESA PROPONENTE, visando atender o princípio da impessoalidade e preservar o sigilo das propostas, sob pena de desclassificação.</w:t>
      </w:r>
    </w:p>
    <w:p w14:paraId="33C5870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49D6CC9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Os lances serão de envio automático pelo sistema, que respeitará o preço final mínimo, bem como o intervalo de que trata o item anterior.</w:t>
      </w:r>
    </w:p>
    <w:p w14:paraId="2271879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preço final mínimo poderá ser alterado pela licitante durante a fase de lances, porém, não poderá ser superior a lance já registrado por ela no sistema.</w:t>
      </w:r>
    </w:p>
    <w:p w14:paraId="3247F7F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6EDC23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Caberá à licitante comunicar imediatamente ao provedor do sistema eletrônico utilizado no certame, qualquer acontecimento que possa comprometer o sigilo ou a segurança, para imediato bloqueio de acesso. </w:t>
      </w:r>
    </w:p>
    <w:p w14:paraId="4243439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Até a abertura da sessão, as licitantes poderão retirar ou substituir suas propostas anteriormente apresentadas. </w:t>
      </w:r>
    </w:p>
    <w:p w14:paraId="3A69DB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proposta deverá obedecer rigorosamente aos termos deste Edital e seus anexos, não sendo aceita oferta de serviços com características e quantidades diferentes das indicadas no Termo de Referência - Anexo I deste Edital.</w:t>
      </w:r>
    </w:p>
    <w:p w14:paraId="0D5B4E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Todas as especificações do objeto contidas na proposta vinculam o fornecedor registrado.</w:t>
      </w:r>
    </w:p>
    <w:p w14:paraId="141B86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Independente de declaração expressa, a simples apresentação da proposta implica submissão da licitante a todas as condições estipuladas neste Edital e seus anexos, bem como, na legislação aplicável, inclusive a </w:t>
      </w:r>
      <w:r>
        <w:rPr>
          <w:sz w:val="21"/>
          <w:szCs w:val="21"/>
        </w:rPr>
        <w:fldChar w:fldCharType="begin"/>
      </w:r>
      <w:r>
        <w:rPr>
          <w:sz w:val="21"/>
          <w:szCs w:val="21"/>
        </w:rPr>
        <w:instrText xml:space="preserve"> HYPERLINK "https://www.planalto.gov.br/ccivil_03/leis/l8078compilado.htm" \h </w:instrText>
      </w:r>
      <w:r>
        <w:rPr>
          <w:sz w:val="21"/>
          <w:szCs w:val="21"/>
        </w:rPr>
        <w:fldChar w:fldCharType="separate"/>
      </w:r>
      <w:r>
        <w:rPr>
          <w:rStyle w:val="62"/>
          <w:sz w:val="21"/>
          <w:szCs w:val="21"/>
        </w:rPr>
        <w:t>Lei Federal nº 8.078, de 1990</w:t>
      </w:r>
      <w:r>
        <w:rPr>
          <w:rStyle w:val="62"/>
          <w:sz w:val="21"/>
          <w:szCs w:val="21"/>
        </w:rPr>
        <w:fldChar w:fldCharType="end"/>
      </w:r>
      <w:r>
        <w:rPr>
          <w:rStyle w:val="53"/>
          <w:color w:val="000000"/>
          <w:sz w:val="21"/>
          <w:szCs w:val="21"/>
        </w:rPr>
        <w:t>.</w:t>
      </w:r>
    </w:p>
    <w:p w14:paraId="3A8BC13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Nenhuma indenização será devida aos licitantes pela elaboração ou apresentação de propostas relativas a presente licitação.</w:t>
      </w:r>
    </w:p>
    <w:p w14:paraId="43F1278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Nos valores propostos estarão inclusos todos os custos operacionais, encargos previdenciários, trabalhistas, tributários, comerciais, frete e quaisquer outros que incidam, direta ou indiretamente, no fornecimento dos bens.</w:t>
      </w:r>
    </w:p>
    <w:p w14:paraId="7E594F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Após a abertura da sessão pública eletrônica do presente certame não cabe, em nenhuma hipótese, desistência de proposta.</w:t>
      </w:r>
    </w:p>
    <w:p w14:paraId="455A96EF">
      <w:pPr>
        <w:pStyle w:val="50"/>
        <w:numPr>
          <w:ilvl w:val="1"/>
          <w:numId w:val="1"/>
        </w:numPr>
        <w:tabs>
          <w:tab w:val="left" w:pos="1134"/>
        </w:tabs>
        <w:spacing w:before="0" w:beforeAutospacing="0" w:after="0" w:afterAutospacing="0"/>
        <w:ind w:left="-87" w:leftChars="0" w:firstLine="567" w:firstLineChars="0"/>
        <w:jc w:val="both"/>
        <w:textAlignment w:val="baseline"/>
        <w:rPr>
          <w:rStyle w:val="53"/>
          <w:color w:val="000000"/>
          <w:sz w:val="21"/>
          <w:szCs w:val="21"/>
        </w:rPr>
      </w:pPr>
      <w:r>
        <w:rPr>
          <w:rStyle w:val="53"/>
          <w:color w:val="000000"/>
          <w:sz w:val="21"/>
          <w:szCs w:val="21"/>
        </w:rPr>
        <w:t xml:space="preserve">Nenhuma proposta ou documentação de habilitação poderá ser encaminhada ao(à) </w:t>
      </w:r>
      <w:r>
        <w:rPr>
          <w:sz w:val="21"/>
          <w:szCs w:val="21"/>
        </w:rPr>
        <w:t>Pregoeiro</w:t>
      </w:r>
      <w:r>
        <w:rPr>
          <w:rStyle w:val="53"/>
          <w:color w:val="000000"/>
          <w:sz w:val="21"/>
          <w:szCs w:val="21"/>
        </w:rPr>
        <w:t xml:space="preserve"> por e-mail ou outro meio de comunicação antes do encerramento da etapa competitiva, sob pena de quebra do anonimato da competição e, consequentemente, desclassificação da proposta.</w:t>
      </w:r>
    </w:p>
    <w:p w14:paraId="6E935193">
      <w:pPr>
        <w:pStyle w:val="2"/>
        <w:spacing w:before="360" w:after="0"/>
        <w:rPr>
          <w:sz w:val="21"/>
          <w:szCs w:val="21"/>
        </w:rPr>
      </w:pPr>
      <w:bookmarkStart w:id="15" w:name="_Toc149517438"/>
      <w:r>
        <w:rPr>
          <w:rStyle w:val="53"/>
          <w:sz w:val="21"/>
          <w:szCs w:val="21"/>
        </w:rPr>
        <w:t>CADASTRAMENTO DOS DOCUMENTOS DE HABILITAÇÃO</w:t>
      </w:r>
      <w:bookmarkEnd w:id="15"/>
      <w:r>
        <w:rPr>
          <w:rStyle w:val="53"/>
          <w:sz w:val="21"/>
          <w:szCs w:val="21"/>
        </w:rPr>
        <w:t xml:space="preserve"> </w:t>
      </w:r>
    </w:p>
    <w:p w14:paraId="3F0E28F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dos documentos de habilitação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4A63938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Microempresas (ME) e as Empresas de Pequeno Porte (EPP) deverão encaminhar a documentação</w:t>
      </w:r>
      <w:r>
        <w:rPr>
          <w:rFonts w:eastAsiaTheme="minorHAnsi"/>
          <w:sz w:val="21"/>
          <w:szCs w:val="21"/>
          <w:lang w:eastAsia="en-US"/>
        </w:rPr>
        <w:t xml:space="preserve"> de habilitação, ainda que haja alguma restrição de regularidade fiscal, social e trabalhista, nos termos do </w:t>
      </w:r>
      <w:r>
        <w:rPr>
          <w:sz w:val="21"/>
          <w:szCs w:val="21"/>
        </w:rPr>
        <w:fldChar w:fldCharType="begin"/>
      </w:r>
      <w:r>
        <w:rPr>
          <w:rStyle w:val="62"/>
          <w:rFonts w:eastAsia="Calibri"/>
          <w:sz w:val="21"/>
          <w:szCs w:val="21"/>
          <w:lang w:eastAsia="en-US"/>
        </w:rPr>
        <w:instrText xml:space="preserve"> HYPERLINK "https://www.planalto.gov.br/ccivil_03/leis/lcp/lcp123.htm" \l "art43"</w:instrText>
      </w:r>
      <w:r>
        <w:rPr>
          <w:rStyle w:val="62"/>
          <w:rFonts w:eastAsia="Calibri"/>
          <w:sz w:val="21"/>
          <w:szCs w:val="21"/>
          <w:lang w:eastAsia="en-US"/>
        </w:rPr>
        <w:fldChar w:fldCharType="separate"/>
      </w:r>
      <w:r>
        <w:rPr>
          <w:rStyle w:val="62"/>
          <w:rFonts w:eastAsiaTheme="minorHAnsi"/>
          <w:sz w:val="21"/>
          <w:szCs w:val="21"/>
          <w:lang w:eastAsia="en-US"/>
        </w:rPr>
        <w:t>art. 43, § 1º, da Lei Complementar Federal nº 123, de 2006</w:t>
      </w:r>
      <w:r>
        <w:rPr>
          <w:rStyle w:val="62"/>
          <w:rFonts w:eastAsia="Calibri"/>
          <w:sz w:val="21"/>
          <w:szCs w:val="21"/>
          <w:lang w:eastAsia="en-US"/>
        </w:rPr>
        <w:fldChar w:fldCharType="end"/>
      </w:r>
      <w:r>
        <w:rPr>
          <w:rFonts w:eastAsiaTheme="minorHAnsi"/>
          <w:sz w:val="21"/>
          <w:szCs w:val="21"/>
          <w:lang w:eastAsia="en-US"/>
        </w:rPr>
        <w:t>.</w:t>
      </w:r>
    </w:p>
    <w:p w14:paraId="2A87322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Até a abertura da sessão pública, os licitantes poderão acrescentar ou substituir a documentos de habilitação anteriormente inseridos no sistema.</w:t>
      </w:r>
    </w:p>
    <w:p w14:paraId="5F04B65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 xml:space="preserve">Os documentos que compõem a proposta e a habilitação do licitante melhor classificado somente serão disponibilizados para avaliação do(a) </w:t>
      </w:r>
      <w:r>
        <w:rPr>
          <w:sz w:val="21"/>
          <w:szCs w:val="21"/>
        </w:rPr>
        <w:t>Pregoeiro</w:t>
      </w:r>
      <w:r>
        <w:rPr>
          <w:rFonts w:eastAsiaTheme="minorHAnsi"/>
          <w:sz w:val="21"/>
          <w:szCs w:val="21"/>
          <w:lang w:eastAsia="en-US"/>
        </w:rPr>
        <w:t>, e para acesso público, após o encerramento do envio de lances.</w:t>
      </w:r>
    </w:p>
    <w:p w14:paraId="18ABC282">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sz w:val="21"/>
          <w:szCs w:val="21"/>
        </w:rPr>
      </w:pPr>
    </w:p>
    <w:p w14:paraId="7148BB7F">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ABERTURA DA SESSÃO </w:t>
      </w:r>
    </w:p>
    <w:p w14:paraId="6AB4E91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data e horário previstos no item “</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color w:val="000000"/>
          <w:sz w:val="21"/>
          <w:szCs w:val="21"/>
        </w:rPr>
        <w:t>” deste Edital, a sessão pública na internet será aberta automaticamente pelo sistema.</w:t>
      </w:r>
    </w:p>
    <w:p w14:paraId="2637BEB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verificação da conformidade da proposta será feita exclusivamente na fase de julgamento das propostas e em relação à proposta mais bem classificada.</w:t>
      </w:r>
    </w:p>
    <w:p w14:paraId="743DF7F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sistema disponibilizará campo próprio para troca de mensagens entre o(a) </w:t>
      </w:r>
      <w:r>
        <w:rPr>
          <w:sz w:val="21"/>
          <w:szCs w:val="21"/>
        </w:rPr>
        <w:t>Pregoeiro</w:t>
      </w:r>
      <w:r>
        <w:rPr>
          <w:color w:val="000000"/>
          <w:sz w:val="21"/>
          <w:szCs w:val="21"/>
        </w:rPr>
        <w:t xml:space="preserve"> e os Licitantes, vedada outra forma de comunicação.</w:t>
      </w:r>
    </w:p>
    <w:p w14:paraId="3746A8DA">
      <w:pPr>
        <w:pStyle w:val="2"/>
        <w:spacing w:before="360" w:after="0"/>
        <w:rPr>
          <w:sz w:val="21"/>
          <w:szCs w:val="21"/>
        </w:rPr>
      </w:pPr>
      <w:bookmarkStart w:id="16" w:name="_Toc149517439"/>
      <w:r>
        <w:rPr>
          <w:rStyle w:val="53"/>
          <w:sz w:val="21"/>
          <w:szCs w:val="21"/>
        </w:rPr>
        <w:t>FORMULAÇÃO DE LANCES</w:t>
      </w:r>
      <w:bookmarkEnd w:id="16"/>
      <w:r>
        <w:rPr>
          <w:rStyle w:val="53"/>
          <w:sz w:val="21"/>
          <w:szCs w:val="21"/>
        </w:rPr>
        <w:t> </w:t>
      </w:r>
    </w:p>
    <w:p w14:paraId="15172895">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Aberta a etapa competitiva - sessão pública - as licitantes deverão encaminhar lances exclusivamente por meio do sistema eletrônico, sendo a licitante imediatamente informada, </w:t>
      </w:r>
      <w:r>
        <w:rPr>
          <w:i/>
          <w:iCs/>
          <w:color w:val="000000"/>
          <w:sz w:val="21"/>
          <w:szCs w:val="21"/>
        </w:rPr>
        <w:t>on-line</w:t>
      </w:r>
      <w:r>
        <w:rPr>
          <w:color w:val="000000"/>
          <w:sz w:val="21"/>
          <w:szCs w:val="21"/>
        </w:rPr>
        <w:t>, do seu recebimento e do valor consignado no registro.</w:t>
      </w:r>
    </w:p>
    <w:p w14:paraId="35F3CE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lances serão ofertados pelo valor unitário/total do item/lote único.</w:t>
      </w:r>
    </w:p>
    <w:p w14:paraId="03A0431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As licitantes poderão oferecer lances sucessivos, observados o horário fixado para a abertura da sessão pública e as regras estabelecidas neste Edital. </w:t>
      </w:r>
    </w:p>
    <w:p w14:paraId="7302260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o licitante não apresente lances, concorrerá com o valor de sua proposta.</w:t>
      </w:r>
    </w:p>
    <w:p w14:paraId="593E21B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Durante o transcurso da sessão pública, os licitantes serão informados, em tempo real, do valor do menor lance registrado, vedada a identificação do licitante.</w:t>
      </w:r>
    </w:p>
    <w:p w14:paraId="4178DB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 licitante somente poderá oferecer lance inferior ao último por ela ofertado e registrado pelo sistema eletrônico; porém, o lance poderá ser intermediário, ou seja, igual ou superior à melhor oferta registrada (</w:t>
      </w:r>
      <w:r>
        <w:rPr>
          <w:sz w:val="21"/>
          <w:szCs w:val="21"/>
        </w:rPr>
        <w:fldChar w:fldCharType="begin"/>
      </w:r>
      <w:r>
        <w:rPr>
          <w:rStyle w:val="62"/>
          <w:sz w:val="21"/>
          <w:szCs w:val="21"/>
        </w:rPr>
        <w:instrText xml:space="preserve"> HYPERLINK "https://www.planalto.gov.br/ccivil_03/_ato2019-2022/2021/lei/l14133.htm" \l "art56"</w:instrText>
      </w:r>
      <w:r>
        <w:rPr>
          <w:rStyle w:val="62"/>
          <w:sz w:val="21"/>
          <w:szCs w:val="21"/>
        </w:rPr>
        <w:fldChar w:fldCharType="separate"/>
      </w:r>
      <w:r>
        <w:rPr>
          <w:rStyle w:val="62"/>
          <w:sz w:val="21"/>
          <w:szCs w:val="21"/>
        </w:rPr>
        <w:t>art. 56, §3º, II, da Lei Federal nº 14.133, de 2021</w:t>
      </w:r>
      <w:r>
        <w:rPr>
          <w:rStyle w:val="62"/>
          <w:sz w:val="21"/>
          <w:szCs w:val="21"/>
        </w:rPr>
        <w:fldChar w:fldCharType="end"/>
      </w:r>
      <w:r>
        <w:rPr>
          <w:color w:val="000000"/>
          <w:sz w:val="21"/>
          <w:szCs w:val="21"/>
        </w:rPr>
        <w:t>).</w:t>
      </w:r>
    </w:p>
    <w:p w14:paraId="1065BB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dois ou mais lances de mesmo valor, prevalecendo aquele que for</w:t>
      </w:r>
      <w:r>
        <w:rPr>
          <w:color w:val="000000"/>
          <w:sz w:val="21"/>
          <w:szCs w:val="21"/>
        </w:rPr>
        <w:br w:type="textWrapping"/>
      </w:r>
      <w:r>
        <w:rPr>
          <w:color w:val="000000"/>
          <w:sz w:val="21"/>
          <w:szCs w:val="21"/>
        </w:rPr>
        <w:t>recebido e registrado em primeiro lugar.</w:t>
      </w:r>
    </w:p>
    <w:p w14:paraId="184A5A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seja ofertado lance inconsistente ou inexequível, a licitante poderá, uma única vez, excluir seu último lance ofertado, no interval</w:t>
      </w:r>
      <w:r>
        <w:rPr>
          <w:color w:val="000000"/>
          <w:sz w:val="21"/>
          <w:szCs w:val="21"/>
          <w:shd w:val="clear" w:fill="auto"/>
        </w:rPr>
        <w:t>o de 15 (quinze) segundos após o registro no sistem</w:t>
      </w:r>
      <w:r>
        <w:rPr>
          <w:color w:val="000000"/>
          <w:sz w:val="21"/>
          <w:szCs w:val="21"/>
        </w:rPr>
        <w:t>a.</w:t>
      </w:r>
    </w:p>
    <w:p w14:paraId="703C1C6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medida excepcional, o(a) </w:t>
      </w:r>
      <w:r>
        <w:rPr>
          <w:sz w:val="21"/>
          <w:szCs w:val="21"/>
        </w:rPr>
        <w:t>Pregoeiro</w:t>
      </w:r>
      <w:r>
        <w:rPr>
          <w:color w:val="000000"/>
          <w:sz w:val="21"/>
          <w:szCs w:val="21"/>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073EB5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b/>
          <w:bCs/>
          <w:color w:val="000000"/>
          <w:sz w:val="21"/>
          <w:szCs w:val="21"/>
        </w:rPr>
        <w:t xml:space="preserve">Será adotado para o envio de lances neste </w:t>
      </w:r>
      <w:r>
        <w:rPr>
          <w:rStyle w:val="53"/>
          <w:b/>
          <w:bCs/>
          <w:color w:val="000000" w:themeColor="text1"/>
          <w:sz w:val="21"/>
          <w:szCs w:val="21"/>
          <w14:textFill>
            <w14:solidFill>
              <w14:schemeClr w14:val="tx1"/>
            </w14:solidFill>
          </w14:textFill>
        </w:rPr>
        <w:t>Pregão</w:t>
      </w:r>
      <w:r>
        <w:rPr>
          <w:b/>
          <w:bCs/>
          <w:color w:val="000000"/>
          <w:sz w:val="21"/>
          <w:szCs w:val="21"/>
        </w:rPr>
        <w:t xml:space="preserve"> o modo de disputa “aberto”, em que as licitantes apresentarão lances públicos e sucessivos, </w:t>
      </w:r>
      <w:r>
        <w:rPr>
          <w:b/>
          <w:bCs/>
          <w:color w:val="000000"/>
          <w:sz w:val="21"/>
          <w:szCs w:val="21"/>
          <w:lang w:val="pt-BR"/>
        </w:rPr>
        <w:t xml:space="preserve">inclusive o </w:t>
      </w:r>
      <w:r>
        <w:rPr>
          <w:b/>
          <w:bCs/>
          <w:color w:val="000000"/>
          <w:sz w:val="21"/>
          <w:szCs w:val="21"/>
        </w:rPr>
        <w:t>lance final.</w:t>
      </w:r>
    </w:p>
    <w:p w14:paraId="49D0B7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11A90C2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tempo de que trata o item 15.11, será prorrogado automaticamente pelo sistema quando houver lance ofertado nos 02 (dois) últimos minutos do período de duração</w:t>
      </w:r>
      <w:r>
        <w:rPr>
          <w:color w:val="000000"/>
          <w:sz w:val="21"/>
          <w:szCs w:val="21"/>
        </w:rPr>
        <w:t>.</w:t>
      </w:r>
    </w:p>
    <w:p w14:paraId="7EA50CD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período de duração da disputa será prorrogado automaticamente por mais 02 (dois) minutos, sempre que houver lance enviado no período de prorrogação de que trata o item 15.12</w:t>
      </w:r>
      <w:r>
        <w:rPr>
          <w:color w:val="000000"/>
          <w:sz w:val="21"/>
          <w:szCs w:val="21"/>
        </w:rPr>
        <w:t xml:space="preserve">. </w:t>
      </w:r>
    </w:p>
    <w:p w14:paraId="752B6C1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lang w:val="pt-BR"/>
        </w:rPr>
        <w:t>Na hipótese de não haver novos lances nos termos do subitem 15.12. a disputa será encerrada automaticamente.</w:t>
      </w:r>
    </w:p>
    <w:p w14:paraId="1F146AD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Os lances apresentados e levados em consideração para efeito de julgamento serão de exclusiva e total responsabilidade de cada licitante, não lhe cabendo o direito de pleitear qualquer alteração posterior.</w:t>
      </w:r>
    </w:p>
    <w:p w14:paraId="1C1F42D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16FF6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Após o término dos prazos estabelecidos nos itens anteriores, o sistema ordenará os lances segundo a ordem crescente de valores.</w:t>
      </w:r>
    </w:p>
    <w:p w14:paraId="5389408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licitantes serão informadas, em tempo real, do valor do melhor lance registrado, durante a sessão pública do </w:t>
      </w:r>
      <w:r>
        <w:rPr>
          <w:rStyle w:val="53"/>
          <w:color w:val="000000" w:themeColor="text1"/>
          <w:sz w:val="21"/>
          <w:szCs w:val="21"/>
          <w14:textFill>
            <w14:solidFill>
              <w14:schemeClr w14:val="tx1"/>
            </w14:solidFill>
          </w14:textFill>
        </w:rPr>
        <w:t>Pregão</w:t>
      </w:r>
      <w:r>
        <w:rPr>
          <w:color w:val="000000"/>
          <w:sz w:val="21"/>
          <w:szCs w:val="21"/>
        </w:rPr>
        <w:t>, sendo vedada a identificação do seu detentor.</w:t>
      </w:r>
    </w:p>
    <w:p w14:paraId="73A7F2D8">
      <w:pPr>
        <w:pStyle w:val="2"/>
        <w:spacing w:before="360" w:after="0"/>
        <w:rPr>
          <w:sz w:val="21"/>
          <w:szCs w:val="21"/>
        </w:rPr>
      </w:pPr>
      <w:bookmarkStart w:id="17" w:name="_Toc149517440"/>
      <w:r>
        <w:rPr>
          <w:rStyle w:val="53"/>
          <w:sz w:val="21"/>
          <w:szCs w:val="21"/>
        </w:rPr>
        <w:t>DESCONEXÃO DO</w:t>
      </w:r>
      <w:bookmarkEnd w:id="17"/>
      <w:r>
        <w:rPr>
          <w:rStyle w:val="53"/>
          <w:sz w:val="21"/>
          <w:szCs w:val="21"/>
        </w:rPr>
        <w:t xml:space="preserve"> PREGOEIRO</w:t>
      </w:r>
    </w:p>
    <w:p w14:paraId="4DAF16B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caso de desconexão do </w:t>
      </w:r>
      <w:r>
        <w:rPr>
          <w:sz w:val="21"/>
          <w:szCs w:val="21"/>
        </w:rPr>
        <w:t>Pregoeiro</w:t>
      </w:r>
      <w:r>
        <w:rPr>
          <w:color w:val="000000"/>
          <w:sz w:val="21"/>
          <w:szCs w:val="21"/>
        </w:rPr>
        <w:t xml:space="preserve">, no decorrer da etapa competitiva do </w:t>
      </w:r>
      <w:r>
        <w:rPr>
          <w:rStyle w:val="53"/>
          <w:color w:val="000000" w:themeColor="text1"/>
          <w:sz w:val="21"/>
          <w:szCs w:val="21"/>
          <w14:textFill>
            <w14:solidFill>
              <w14:schemeClr w14:val="tx1"/>
            </w14:solidFill>
          </w14:textFill>
        </w:rPr>
        <w:t>Pregão</w:t>
      </w:r>
      <w:r>
        <w:rPr>
          <w:color w:val="000000"/>
          <w:sz w:val="21"/>
          <w:szCs w:val="21"/>
        </w:rPr>
        <w:t xml:space="preserve">, o sistema poderá permanecer acessível às licitantes para a recepção dos lances, retornando o </w:t>
      </w:r>
      <w:r>
        <w:rPr>
          <w:sz w:val="21"/>
          <w:szCs w:val="21"/>
        </w:rPr>
        <w:t>Pregoeiro</w:t>
      </w:r>
      <w:r>
        <w:rPr>
          <w:color w:val="000000"/>
          <w:sz w:val="21"/>
          <w:szCs w:val="21"/>
        </w:rPr>
        <w:t>, quando possível, sua atuação no certame, sem prejuízo dos atos realizados.</w:t>
      </w:r>
    </w:p>
    <w:p w14:paraId="244DAC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Quando a desconexão do </w:t>
      </w:r>
      <w:r>
        <w:rPr>
          <w:sz w:val="21"/>
          <w:szCs w:val="21"/>
        </w:rPr>
        <w:t>Pregoeiro</w:t>
      </w:r>
      <w:r>
        <w:rPr>
          <w:color w:val="000000"/>
          <w:sz w:val="21"/>
          <w:szCs w:val="21"/>
        </w:rPr>
        <w:t xml:space="preserve"> persistir </w:t>
      </w:r>
      <w:r>
        <w:rPr>
          <w:sz w:val="21"/>
          <w:szCs w:val="21"/>
        </w:rPr>
        <w:t>por</w:t>
      </w:r>
      <w:r>
        <w:rPr>
          <w:color w:val="000000"/>
          <w:sz w:val="21"/>
          <w:szCs w:val="21"/>
        </w:rPr>
        <w:t xml:space="preserve"> tempo superior a 10 (dez) minutos, a sessão do </w:t>
      </w:r>
      <w:r>
        <w:rPr>
          <w:rStyle w:val="53"/>
          <w:color w:val="000000" w:themeColor="text1"/>
          <w:sz w:val="21"/>
          <w:szCs w:val="21"/>
          <w14:textFill>
            <w14:solidFill>
              <w14:schemeClr w14:val="tx1"/>
            </w14:solidFill>
          </w14:textFill>
        </w:rPr>
        <w:t>Pregão</w:t>
      </w:r>
      <w:r>
        <w:rPr>
          <w:color w:val="000000"/>
          <w:sz w:val="21"/>
          <w:szCs w:val="21"/>
        </w:rPr>
        <w:t xml:space="preserve"> será suspensa e reiniciada somente após a comunicação expressa aos participantes, com no mínimo, 12 (doze) horas de antecedência,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0F2CE3D">
      <w:pPr>
        <w:pStyle w:val="2"/>
        <w:spacing w:before="360" w:after="0"/>
        <w:rPr>
          <w:sz w:val="21"/>
          <w:szCs w:val="21"/>
        </w:rPr>
      </w:pPr>
      <w:bookmarkStart w:id="18" w:name="_Toc149517441"/>
      <w:r>
        <w:rPr>
          <w:rStyle w:val="53"/>
          <w:sz w:val="21"/>
          <w:szCs w:val="21"/>
        </w:rPr>
        <w:t>BENEFÍCIOS ÀS MICROEMPRESAS</w:t>
      </w:r>
      <w:r>
        <w:rPr>
          <w:rStyle w:val="53"/>
          <w:sz w:val="21"/>
          <w:szCs w:val="21"/>
          <w:lang w:val="pt-BR"/>
        </w:rPr>
        <w:t>,</w:t>
      </w:r>
      <w:r>
        <w:rPr>
          <w:rStyle w:val="53"/>
          <w:sz w:val="21"/>
          <w:szCs w:val="21"/>
        </w:rPr>
        <w:t xml:space="preserve"> EMPRESAS DE PEQUENO PORTE</w:t>
      </w:r>
      <w:bookmarkEnd w:id="18"/>
      <w:r>
        <w:rPr>
          <w:rStyle w:val="53"/>
          <w:sz w:val="21"/>
          <w:szCs w:val="21"/>
          <w:lang w:val="pt-BR"/>
        </w:rPr>
        <w:t xml:space="preserve"> E REGIONAIS</w:t>
      </w:r>
    </w:p>
    <w:p w14:paraId="4E3D3A4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obtenção de benefícios previstos dos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artigos 42 a 49 da Lei Complementar Federal nº 123, de 2006</w:t>
      </w:r>
      <w:r>
        <w:rPr>
          <w:rStyle w:val="62"/>
          <w:sz w:val="21"/>
          <w:szCs w:val="21"/>
        </w:rPr>
        <w:fldChar w:fldCharType="end"/>
      </w:r>
      <w:r>
        <w:rPr>
          <w:color w:val="000000"/>
          <w:sz w:val="21"/>
          <w:szCs w:val="21"/>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1A0D8A3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art. 4º, §§ 1º ao 3º, da Lei Federal nº 14.133, de 2021.</w:t>
      </w:r>
      <w:r>
        <w:rPr>
          <w:rStyle w:val="62"/>
          <w:sz w:val="21"/>
          <w:szCs w:val="21"/>
        </w:rPr>
        <w:fldChar w:fldCharType="end"/>
      </w:r>
    </w:p>
    <w:p w14:paraId="512C21E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Após a fase de lances, o sistema </w:t>
      </w:r>
      <w:r>
        <w:rPr>
          <w:sz w:val="21"/>
          <w:szCs w:val="21"/>
        </w:rPr>
        <w:t>identificará</w:t>
      </w:r>
      <w:r>
        <w:rPr>
          <w:color w:val="000000"/>
          <w:sz w:val="21"/>
          <w:szCs w:val="21"/>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1"/>
          <w:szCs w:val="21"/>
        </w:rPr>
        <w:t>Pregoeiro</w:t>
      </w:r>
      <w:r>
        <w:rPr>
          <w:color w:val="000000"/>
          <w:sz w:val="21"/>
          <w:szCs w:val="21"/>
        </w:rPr>
        <w:t xml:space="preserve"> e do fornecedor e encaminhada em</w:t>
      </w:r>
      <w:r>
        <w:rPr>
          <w:color w:val="00B050"/>
          <w:sz w:val="21"/>
          <w:szCs w:val="21"/>
        </w:rPr>
        <w:t xml:space="preserve"> </w:t>
      </w:r>
      <w:r>
        <w:rPr>
          <w:color w:val="000000"/>
          <w:sz w:val="21"/>
          <w:szCs w:val="21"/>
        </w:rPr>
        <w:t>mensagem por meio de </w:t>
      </w:r>
      <w:r>
        <w:rPr>
          <w:i/>
          <w:iCs/>
          <w:color w:val="000000"/>
          <w:sz w:val="21"/>
          <w:szCs w:val="21"/>
        </w:rPr>
        <w:t>chat</w:t>
      </w:r>
      <w:r>
        <w:rPr>
          <w:color w:val="000000"/>
          <w:sz w:val="21"/>
          <w:szCs w:val="21"/>
        </w:rPr>
        <w:t>.</w:t>
      </w:r>
    </w:p>
    <w:p w14:paraId="1BA54A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automaticamente, procederá da seguinte forma:</w:t>
      </w:r>
    </w:p>
    <w:p w14:paraId="16B45E0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ME/EPP mais bem classificada poderá, no prazo de 5 (cinco) minutos, apresentar proposta de preço inferior a do licitante mais bem classificado e, atendidas as exigências deste Edital e seus Anexos, será reclassificada como melhor proposta do certame;</w:t>
      </w:r>
    </w:p>
    <w:p w14:paraId="4950315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não sendo registrado um novo lance pela ME/EPP convocada através do sistema na forma do subitem anterior, e havendo outros licitantes que se enquadrem na condição prevista no </w:t>
      </w:r>
      <w:r>
        <w:rPr>
          <w:i/>
          <w:iCs/>
          <w:sz w:val="21"/>
          <w:szCs w:val="21"/>
        </w:rPr>
        <w:t>caput</w:t>
      </w:r>
      <w:r>
        <w:rPr>
          <w:sz w:val="21"/>
          <w:szCs w:val="21"/>
        </w:rPr>
        <w:t>, estes serão convocados, na ordem classificatória, para o exercício do mesmo direito, também no prazo de 5 (cinco) minutos;</w:t>
      </w:r>
    </w:p>
    <w:p w14:paraId="735358E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havendo empate de valor entre duas empresas beneficiárias do direito de preferência fixada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sz w:val="21"/>
          <w:szCs w:val="21"/>
        </w:rPr>
        <w:t>, exercerá tal direito prioritariamente aquela cuja proposta tenha sido recebida e registrada pelo sistema primeiramente;</w:t>
      </w:r>
    </w:p>
    <w:p w14:paraId="6FC61CF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o sistema encaminhará mensagem automática, por meio do “chat”, convocando a ME/EPP mais bem classificada a fazer sua última oferta no prazo de 5 (cinco) minutos, sob pena de decadência do direito concedido;</w:t>
      </w:r>
    </w:p>
    <w:p w14:paraId="4535590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 hipótese em que nenhuma dos licitantes exerça o direito de tratamento diferenciado, será mantida a ordem classificatória do certame.</w:t>
      </w:r>
    </w:p>
    <w:p w14:paraId="4E77218C">
      <w:pPr>
        <w:pStyle w:val="50"/>
        <w:numPr>
          <w:ilvl w:val="1"/>
          <w:numId w:val="1"/>
        </w:numPr>
        <w:tabs>
          <w:tab w:val="left" w:pos="1134"/>
        </w:tabs>
        <w:spacing w:before="0" w:beforeAutospacing="0" w:after="0" w:afterAutospacing="0"/>
        <w:ind w:left="705" w:leftChars="0" w:firstLineChars="0"/>
        <w:jc w:val="both"/>
        <w:textAlignment w:val="baseline"/>
        <w:rPr>
          <w:sz w:val="21"/>
          <w:szCs w:val="21"/>
        </w:rPr>
      </w:pPr>
      <w:r>
        <w:rPr>
          <w:sz w:val="21"/>
          <w:szCs w:val="21"/>
        </w:rPr>
        <w:t xml:space="preserve">Na fase de HABILITAÇÃO, será concedido TRATAMENTO DIFERENCIADO às ME's/EPP's que estejam com problemas de REGULARIDADE FISCAL, SOCIAL E TRABALHISTA, à luz do disposto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e 43 da Lei Complementar Federal nº 123, de 2006</w:t>
      </w:r>
      <w:r>
        <w:rPr>
          <w:rStyle w:val="62"/>
          <w:sz w:val="21"/>
          <w:szCs w:val="21"/>
        </w:rPr>
        <w:fldChar w:fldCharType="end"/>
      </w:r>
      <w:r>
        <w:rPr>
          <w:sz w:val="21"/>
          <w:szCs w:val="21"/>
        </w:rPr>
        <w:t>, conforme as seguintes regras:</w:t>
      </w:r>
    </w:p>
    <w:p w14:paraId="696BCA3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DED44C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será assegurado o prazo de 5 (cinco) dias úteis, prorrogáveis por igual período, a critério da Administração, para a regularização da documentação, pagamento ou parcelamento do débito, e emissão de eventuais certidões;</w:t>
      </w:r>
    </w:p>
    <w:p w14:paraId="307276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não regularização da documentação fiscal, social ou trabalhista, implicará na decadência do direito à contratação, sem prejuízo das sanções previstas neste Edital e seus Anexos;</w:t>
      </w:r>
    </w:p>
    <w:p w14:paraId="25A338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decadência do direito por não regularização da situação, será facultada à Câmara Municipal de Primavera do Leste – MT a convocação dos licitantes remanescentes, na ordem de classificação.</w:t>
      </w:r>
    </w:p>
    <w:p w14:paraId="426251F5">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 xml:space="preserve">A fim de cumprir o disposto no </w:t>
      </w:r>
      <w:r>
        <w:rPr>
          <w:b/>
          <w:bCs/>
          <w:sz w:val="21"/>
          <w:szCs w:val="21"/>
          <w:lang w:val="pt-BR"/>
        </w:rPr>
        <w:t>Artigo 3º da Lei Municipal 1.953 de 27/05/2021</w:t>
      </w:r>
      <w:r>
        <w:rPr>
          <w:sz w:val="21"/>
          <w:szCs w:val="21"/>
          <w:lang w:val="pt-BR"/>
        </w:rPr>
        <w:t xml:space="preserve">, a prioridade de contratação com a microempresas e empresas de pequeno porte sediadas local ou regionalmente, até o limite de </w:t>
      </w:r>
      <w:r>
        <w:rPr>
          <w:b/>
          <w:bCs/>
          <w:sz w:val="21"/>
          <w:szCs w:val="21"/>
          <w:lang w:val="pt-BR"/>
        </w:rPr>
        <w:t>10% (dez por cento)</w:t>
      </w:r>
      <w:r>
        <w:rPr>
          <w:sz w:val="21"/>
          <w:szCs w:val="21"/>
          <w:lang w:val="pt-BR"/>
        </w:rPr>
        <w:t xml:space="preserve"> do melhor preço válido, proporciona a está o direito de ofertar um preço menor do que aquela classificada (empate Ficto).</w:t>
      </w:r>
    </w:p>
    <w:p w14:paraId="4B8649FE">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67777E2">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A7D74A0">
      <w:pPr>
        <w:pStyle w:val="2"/>
        <w:spacing w:before="360" w:after="0"/>
        <w:rPr>
          <w:sz w:val="21"/>
          <w:szCs w:val="21"/>
        </w:rPr>
      </w:pPr>
      <w:bookmarkStart w:id="19" w:name="_Toc149517442"/>
      <w:r>
        <w:rPr>
          <w:rStyle w:val="53"/>
          <w:sz w:val="21"/>
          <w:szCs w:val="21"/>
        </w:rPr>
        <w:t>EMPATE FICTO</w:t>
      </w:r>
      <w:bookmarkEnd w:id="19"/>
    </w:p>
    <w:p w14:paraId="265D318B">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Se o melhor lance for ofertado por licitante que não se enquadre na condição de ME ou EPP, o sistema facultará a estas o exercício do direito de preferência para fins de desempate, conforme determina 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xml:space="preserve">, momento no qual a ME ou EPP mais bem classificada será convocada para apresentar nova proposta, no prazo máximo </w:t>
      </w:r>
      <w:r>
        <w:rPr>
          <w:color w:val="000000"/>
          <w:sz w:val="21"/>
          <w:szCs w:val="21"/>
          <w:shd w:val="clear" w:fill="auto"/>
        </w:rPr>
        <w:t>de 5 (cinco) mi</w:t>
      </w:r>
      <w:r>
        <w:rPr>
          <w:color w:val="000000"/>
          <w:sz w:val="21"/>
          <w:szCs w:val="21"/>
        </w:rPr>
        <w:t xml:space="preserve">nutos controlados pelo sistema, sob pena de preclusão, consoante determina o </w:t>
      </w:r>
      <w:r>
        <w:rPr>
          <w:sz w:val="21"/>
          <w:szCs w:val="21"/>
        </w:rPr>
        <w:fldChar w:fldCharType="begin"/>
      </w:r>
      <w:r>
        <w:rPr>
          <w:rStyle w:val="62"/>
          <w:sz w:val="21"/>
          <w:szCs w:val="21"/>
        </w:rPr>
        <w:instrText xml:space="preserve"> HYPERLINK "https://www.planalto.gov.br/ccivil_03/leis/lcp/lcp123.htm" \l "art45"</w:instrText>
      </w:r>
      <w:r>
        <w:rPr>
          <w:rStyle w:val="62"/>
          <w:sz w:val="21"/>
          <w:szCs w:val="21"/>
        </w:rPr>
        <w:fldChar w:fldCharType="separate"/>
      </w:r>
      <w:r>
        <w:rPr>
          <w:rStyle w:val="62"/>
          <w:sz w:val="21"/>
          <w:szCs w:val="21"/>
        </w:rPr>
        <w:t>art. 45, §3º, da Lei Complementar Federal nº 123, de 2006</w:t>
      </w:r>
      <w:r>
        <w:rPr>
          <w:rStyle w:val="62"/>
          <w:sz w:val="21"/>
          <w:szCs w:val="21"/>
        </w:rPr>
        <w:fldChar w:fldCharType="end"/>
      </w:r>
      <w:r>
        <w:rPr>
          <w:color w:val="000000"/>
          <w:sz w:val="21"/>
          <w:szCs w:val="21"/>
        </w:rPr>
        <w:t>.</w:t>
      </w:r>
    </w:p>
    <w:p w14:paraId="4DF8742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direito de preferência de que trata o item anterior será concedido da seguinte forma:</w:t>
      </w:r>
    </w:p>
    <w:p w14:paraId="550A749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Ocorrendo o empate, a microempresa ou a empresa de pequeno porte melhor classificada poderá apresentar proposta de preço inferior àquela considerada vencedora do certame, situação em que será adjudicado o objeto em seu favor; e</w:t>
      </w:r>
    </w:p>
    <w:p w14:paraId="3F5454B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4FD2E2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equivalência dos valores apresentados pelas microempresas e empresas de pequeno porte que se encontrem em situação de empate, será realizado sorteio entre elas para que se identifique aquela que primeiro poderá apresentar melhor oferta.</w:t>
      </w:r>
    </w:p>
    <w:p w14:paraId="291ACDE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 houver equivalência de valores apresentados pelas MEs ou EPPs, que se encontrem no intervalo estabelecido no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o sistema efetuará sorteio para identificar a empresa que primeiro poderá apresentar melhor oferta.</w:t>
      </w:r>
    </w:p>
    <w:p w14:paraId="5EF072A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ME ou EPP convocada decline de exercer o direito de preferência, o sistema convocará as remanescentes que porventura se enquadrem na hipótese do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na ordem de classificação. </w:t>
      </w:r>
    </w:p>
    <w:p w14:paraId="6D07C4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houver êxito no procedimento especificado acima, o sistema disponibilizará nova classificação dos fornecedores para fins de aceitação pelo(a) </w:t>
      </w:r>
      <w:r>
        <w:rPr>
          <w:sz w:val="21"/>
          <w:szCs w:val="21"/>
        </w:rPr>
        <w:t>Pregoeiro</w:t>
      </w:r>
      <w:r>
        <w:rPr>
          <w:color w:val="000000"/>
          <w:sz w:val="21"/>
          <w:szCs w:val="21"/>
        </w:rPr>
        <w:t>. Não havendo êxito ou não existindo ME ou EPP participante, prevalecerá a classificação inicial.</w:t>
      </w:r>
    </w:p>
    <w:p w14:paraId="32C07F6F">
      <w:pPr>
        <w:pStyle w:val="2"/>
        <w:spacing w:before="360" w:after="0"/>
        <w:rPr>
          <w:sz w:val="21"/>
          <w:szCs w:val="21"/>
        </w:rPr>
      </w:pPr>
      <w:bookmarkStart w:id="20" w:name="_Toc149517443"/>
      <w:r>
        <w:rPr>
          <w:rStyle w:val="53"/>
          <w:sz w:val="21"/>
          <w:szCs w:val="21"/>
        </w:rPr>
        <w:t>EMPATE REAL</w:t>
      </w:r>
      <w:bookmarkEnd w:id="20"/>
    </w:p>
    <w:p w14:paraId="79709A2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caso de empate entre 2 (duas) ou mais propostas, desde que não se enquadre em situação prevista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xml:space="preserve">,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naquela ordem, mesmo não havendo envio de lances na fase competitiva.</w:t>
      </w:r>
    </w:p>
    <w:p w14:paraId="6A92138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Persistindo</w:t>
      </w:r>
      <w:r>
        <w:rPr>
          <w:sz w:val="21"/>
          <w:szCs w:val="21"/>
        </w:rPr>
        <w:t xml:space="preserve"> o empate, será assegurada preferência, sucessivamente, aos produtos produzidos por:</w:t>
      </w:r>
    </w:p>
    <w:p w14:paraId="178F1AF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brasileiras;</w:t>
      </w:r>
    </w:p>
    <w:p w14:paraId="15A79AB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estabelecidas no território de Mato Grosso;</w:t>
      </w:r>
    </w:p>
    <w:p w14:paraId="2E0B91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que invistam em pesquisa e no desenvolvimento de tecnologia no País;</w:t>
      </w:r>
    </w:p>
    <w:p w14:paraId="124900E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Empresas que comprovem a prática de mitigação, nos termos da </w:t>
      </w:r>
      <w:r>
        <w:rPr>
          <w:sz w:val="21"/>
          <w:szCs w:val="21"/>
        </w:rPr>
        <w:fldChar w:fldCharType="begin"/>
      </w:r>
      <w:r>
        <w:rPr>
          <w:sz w:val="21"/>
          <w:szCs w:val="21"/>
        </w:rPr>
        <w:instrText xml:space="preserve"> HYPERLINK "https://www.planalto.gov.br/ccivil_03/_ato2007-2010/2009/lei/l12187.htm" \h </w:instrText>
      </w:r>
      <w:r>
        <w:rPr>
          <w:sz w:val="21"/>
          <w:szCs w:val="21"/>
        </w:rPr>
        <w:fldChar w:fldCharType="separate"/>
      </w:r>
      <w:r>
        <w:rPr>
          <w:rStyle w:val="62"/>
          <w:sz w:val="21"/>
          <w:szCs w:val="21"/>
        </w:rPr>
        <w:t>Lei Federal nº 12.187, de 2009</w:t>
      </w:r>
      <w:r>
        <w:rPr>
          <w:rStyle w:val="62"/>
          <w:sz w:val="21"/>
          <w:szCs w:val="21"/>
        </w:rPr>
        <w:fldChar w:fldCharType="end"/>
      </w:r>
      <w:r>
        <w:rPr>
          <w:sz w:val="21"/>
          <w:szCs w:val="21"/>
        </w:rPr>
        <w:t>.</w:t>
      </w:r>
    </w:p>
    <w:p w14:paraId="55D58F80">
      <w:pPr>
        <w:pStyle w:val="50"/>
        <w:numPr>
          <w:ilvl w:val="0"/>
          <w:numId w:val="0"/>
        </w:numPr>
        <w:tabs>
          <w:tab w:val="left" w:pos="1134"/>
        </w:tabs>
        <w:spacing w:before="0" w:beforeAutospacing="0" w:after="0" w:afterAutospacing="0"/>
        <w:ind w:left="720" w:firstLine="0"/>
        <w:jc w:val="both"/>
        <w:textAlignment w:val="baseline"/>
        <w:rPr>
          <w:rFonts w:ascii="Times New Roman" w:hAnsi="Times New Roman"/>
          <w:sz w:val="21"/>
          <w:szCs w:val="21"/>
        </w:rPr>
      </w:pPr>
    </w:p>
    <w:p w14:paraId="7E75D62A">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CONFORMIDADE DA PROPOSTA CLASSIFICADA EM PRIMEIRO LUGAR </w:t>
      </w:r>
    </w:p>
    <w:p w14:paraId="55D91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Encerrada a etapa de lances, após observado o disposto no item “</w:t>
      </w:r>
      <w:r>
        <w:rPr>
          <w:sz w:val="21"/>
          <w:szCs w:val="21"/>
        </w:rPr>
        <w:fldChar w:fldCharType="begin"/>
      </w:r>
      <w:r>
        <w:rPr>
          <w:sz w:val="21"/>
          <w:szCs w:val="21"/>
        </w:rPr>
        <w:instrText xml:space="preserve"> HYPERLINK \l "_CONSÓRCIO" \h </w:instrText>
      </w:r>
      <w:r>
        <w:rPr>
          <w:sz w:val="21"/>
          <w:szCs w:val="21"/>
        </w:rPr>
        <w:fldChar w:fldCharType="separate"/>
      </w:r>
      <w:r>
        <w:rPr>
          <w:rStyle w:val="62"/>
          <w:sz w:val="21"/>
          <w:szCs w:val="21"/>
        </w:rPr>
        <w:t>8 - CONSÓRCIO</w:t>
      </w:r>
      <w:r>
        <w:rPr>
          <w:rStyle w:val="62"/>
          <w:sz w:val="21"/>
          <w:szCs w:val="21"/>
        </w:rPr>
        <w:fldChar w:fldCharType="end"/>
      </w:r>
      <w:r>
        <w:rPr>
          <w:color w:val="000000"/>
          <w:sz w:val="21"/>
          <w:szCs w:val="21"/>
        </w:rPr>
        <w:t xml:space="preserve">” deste Edital, o(a) </w:t>
      </w:r>
      <w:r>
        <w:rPr>
          <w:sz w:val="21"/>
          <w:szCs w:val="21"/>
        </w:rPr>
        <w:t>Pregoeiro</w:t>
      </w:r>
      <w:r>
        <w:rPr>
          <w:color w:val="000000"/>
          <w:sz w:val="21"/>
          <w:szCs w:val="21"/>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1"/>
          <w:szCs w:val="21"/>
          <w:lang w:val="pt-BR"/>
        </w:rPr>
        <w:t>por item</w:t>
      </w:r>
      <w:r>
        <w:rPr>
          <w:color w:val="000000"/>
          <w:sz w:val="21"/>
          <w:szCs w:val="21"/>
        </w:rPr>
        <w:t xml:space="preserve">/lote e realizará a verificação da conformidade da proposta em relação ao objeto e à compatibilidade do preço em relação ao máximo para a contratação, conforme definido neste edital. </w:t>
      </w:r>
    </w:p>
    <w:p w14:paraId="038FA22C">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1"/>
          <w:szCs w:val="21"/>
        </w:rPr>
      </w:pPr>
    </w:p>
    <w:p w14:paraId="55312B51">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NEGOCIAÇÃO</w:t>
      </w:r>
    </w:p>
    <w:p w14:paraId="5885CBC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Definido o resultado do julgamento, o(a) </w:t>
      </w:r>
      <w:r>
        <w:rPr>
          <w:sz w:val="21"/>
          <w:szCs w:val="21"/>
        </w:rPr>
        <w:t>Pregoeiro</w:t>
      </w:r>
      <w:r>
        <w:rPr>
          <w:color w:val="000000"/>
          <w:sz w:val="21"/>
          <w:szCs w:val="21"/>
        </w:rPr>
        <w:t xml:space="preserve"> poderá negociar condições mais vantajosas com o primeiro colocado, pelo sistema eletrônico, podendo, a negociação ser acompanhada pelos demais licitantes.</w:t>
      </w:r>
    </w:p>
    <w:p w14:paraId="34EE53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proposta da licitante classificada em primeiro lugar apresente preço superior ao máximo para a contratação, o(a) </w:t>
      </w:r>
      <w:r>
        <w:rPr>
          <w:sz w:val="21"/>
          <w:szCs w:val="21"/>
        </w:rPr>
        <w:t>Pregoeiro</w:t>
      </w:r>
      <w:r>
        <w:rPr>
          <w:color w:val="000000"/>
          <w:sz w:val="21"/>
          <w:szCs w:val="21"/>
        </w:rPr>
        <w:t xml:space="preserve"> deverá negociar condições mais vantajosas, pelo sistema eletrônico, podendo, a negociação ser acompanhada pelos demais licitantes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 61, §1º, da Lei Federal nº 14.133, de 2021</w:t>
      </w:r>
      <w:r>
        <w:rPr>
          <w:rStyle w:val="62"/>
          <w:sz w:val="21"/>
          <w:szCs w:val="21"/>
        </w:rPr>
        <w:fldChar w:fldCharType="end"/>
      </w:r>
      <w:r>
        <w:rPr>
          <w:color w:val="000000"/>
          <w:sz w:val="21"/>
          <w:szCs w:val="21"/>
        </w:rPr>
        <w:t>).</w:t>
      </w:r>
    </w:p>
    <w:p w14:paraId="09C7F11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art.61, §1º da Lei Federal nº 14.133, de 2021</w:t>
      </w:r>
      <w:r>
        <w:rPr>
          <w:rStyle w:val="62"/>
          <w:sz w:val="21"/>
          <w:szCs w:val="21"/>
        </w:rPr>
        <w:fldChar w:fldCharType="end"/>
      </w:r>
      <w:r>
        <w:rPr>
          <w:color w:val="000000"/>
          <w:sz w:val="21"/>
          <w:szCs w:val="21"/>
        </w:rPr>
        <w:t>).</w:t>
      </w:r>
    </w:p>
    <w:p w14:paraId="783E26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valor final aceito pelo(a) </w:t>
      </w:r>
      <w:r>
        <w:rPr>
          <w:sz w:val="21"/>
          <w:szCs w:val="21"/>
        </w:rPr>
        <w:t>Pregoeiro</w:t>
      </w:r>
      <w:r>
        <w:rPr>
          <w:color w:val="000000"/>
          <w:sz w:val="21"/>
          <w:szCs w:val="21"/>
        </w:rPr>
        <w:t xml:space="preserve"> após a devida negociação, deverá ser anexada ao sistema eletrônico após solicitação do(a) </w:t>
      </w:r>
      <w:r>
        <w:rPr>
          <w:sz w:val="21"/>
          <w:szCs w:val="21"/>
        </w:rPr>
        <w:t>Pregoeiro</w:t>
      </w:r>
      <w:r>
        <w:rPr>
          <w:color w:val="000000"/>
          <w:sz w:val="21"/>
          <w:szCs w:val="21"/>
        </w:rPr>
        <w:t xml:space="preserve"> pela opção "Convocar Anexo", no prazo de 2 (duas) horas, contado de sua solicitação.</w:t>
      </w:r>
    </w:p>
    <w:p w14:paraId="63610FA1">
      <w:pPr>
        <w:pStyle w:val="2"/>
        <w:spacing w:before="360" w:after="0"/>
        <w:rPr>
          <w:sz w:val="21"/>
          <w:szCs w:val="21"/>
        </w:rPr>
      </w:pPr>
      <w:bookmarkStart w:id="21" w:name="_Toc149517444"/>
      <w:r>
        <w:rPr>
          <w:rStyle w:val="53"/>
          <w:sz w:val="21"/>
          <w:szCs w:val="21"/>
        </w:rPr>
        <w:t>DESCLASSIFICAÇÃO DE PROPOSTA</w:t>
      </w:r>
      <w:bookmarkEnd w:id="21"/>
    </w:p>
    <w:p w14:paraId="34250F1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Será desclassificada a proposta, que (</w:t>
      </w:r>
      <w:r>
        <w:rPr>
          <w:sz w:val="21"/>
          <w:szCs w:val="21"/>
        </w:rPr>
        <w:fldChar w:fldCharType="begin"/>
      </w:r>
      <w:r>
        <w:rPr>
          <w:rStyle w:val="62"/>
          <w:sz w:val="21"/>
          <w:szCs w:val="21"/>
        </w:rPr>
        <w:instrText xml:space="preserve"> HYPERLINK "https://www.planalto.gov.br/ccivil_03/_ato2019-2022/2021/lei/l14133.htm" \l "art59"</w:instrText>
      </w:r>
      <w:r>
        <w:rPr>
          <w:rStyle w:val="62"/>
          <w:sz w:val="21"/>
          <w:szCs w:val="21"/>
        </w:rPr>
        <w:fldChar w:fldCharType="separate"/>
      </w:r>
      <w:r>
        <w:rPr>
          <w:rStyle w:val="62"/>
          <w:sz w:val="21"/>
          <w:szCs w:val="21"/>
        </w:rPr>
        <w:t>art. 59, da Lei Federal nº 14.133, de 2021</w:t>
      </w:r>
      <w:r>
        <w:rPr>
          <w:rStyle w:val="62"/>
          <w:sz w:val="21"/>
          <w:szCs w:val="21"/>
        </w:rPr>
        <w:fldChar w:fldCharType="end"/>
      </w:r>
      <w:r>
        <w:rPr>
          <w:color w:val="000000"/>
          <w:sz w:val="21"/>
          <w:szCs w:val="21"/>
        </w:rPr>
        <w:t>):</w:t>
      </w:r>
    </w:p>
    <w:p w14:paraId="2468B62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contiverem vícios insanáveis;</w:t>
      </w:r>
    </w:p>
    <w:p w14:paraId="505A5E9D">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2" w:name="art59ii"/>
      <w:bookmarkEnd w:id="22"/>
      <w:r>
        <w:rPr>
          <w:rFonts w:hint="default" w:ascii="Times New Roman" w:hAnsi="Times New Roman" w:cs="Times New Roman"/>
          <w:color w:val="000000"/>
          <w:sz w:val="21"/>
          <w:szCs w:val="21"/>
        </w:rPr>
        <w:t>não obedecerem às especificações técnicas pormenorizadas no edital;</w:t>
      </w:r>
    </w:p>
    <w:p w14:paraId="2A6D4A66">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3" w:name="art59iii"/>
      <w:bookmarkEnd w:id="23"/>
      <w:r>
        <w:rPr>
          <w:rFonts w:hint="default" w:ascii="Times New Roman" w:hAnsi="Times New Roman" w:cs="Times New Roman"/>
          <w:color w:val="000000"/>
          <w:sz w:val="21"/>
          <w:szCs w:val="21"/>
        </w:rPr>
        <w:t>apresentarem preços inexequíveis;</w:t>
      </w:r>
    </w:p>
    <w:p w14:paraId="0FCD394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com preço superior ao estimado para a contratação;</w:t>
      </w:r>
    </w:p>
    <w:p w14:paraId="37C4F58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4" w:name="art59iv"/>
      <w:bookmarkEnd w:id="24"/>
      <w:r>
        <w:rPr>
          <w:rFonts w:hint="default" w:ascii="Times New Roman" w:hAnsi="Times New Roman" w:cs="Times New Roman"/>
          <w:color w:val="000000"/>
          <w:sz w:val="21"/>
          <w:szCs w:val="21"/>
        </w:rPr>
        <w:t>não tiverem sua exequibilidade demonstrada, quando exigido pela Administração;</w:t>
      </w:r>
    </w:p>
    <w:p w14:paraId="07D5261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sz w:val="21"/>
          <w:szCs w:val="21"/>
          <w:highlight w:val="none"/>
        </w:rPr>
      </w:pPr>
      <w:bookmarkStart w:id="25" w:name="art59v"/>
      <w:bookmarkEnd w:id="25"/>
      <w:r>
        <w:rPr>
          <w:rFonts w:hint="default" w:ascii="Times New Roman" w:hAnsi="Times New Roman" w:cs="Times New Roman"/>
          <w:color w:val="000000"/>
          <w:sz w:val="21"/>
          <w:szCs w:val="21"/>
        </w:rPr>
        <w:t>não tiver com</w:t>
      </w:r>
      <w:r>
        <w:rPr>
          <w:rFonts w:hint="default" w:ascii="Times New Roman" w:hAnsi="Times New Roman" w:cs="Times New Roman"/>
          <w:color w:val="000000"/>
          <w:sz w:val="21"/>
          <w:szCs w:val="21"/>
          <w:highlight w:val="none"/>
        </w:rPr>
        <w:t xml:space="preserve">o anexo </w:t>
      </w:r>
      <w:r>
        <w:rPr>
          <w:rFonts w:hint="default" w:ascii="Times New Roman" w:hAnsi="Times New Roman" w:cs="Times New Roman"/>
          <w:sz w:val="21"/>
          <w:szCs w:val="21"/>
          <w:highlight w:val="none"/>
        </w:rPr>
        <w:t>atestado de vistoria técnica,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Anexo I</w:t>
      </w:r>
      <w:r>
        <w:rPr>
          <w:rStyle w:val="22"/>
          <w:rFonts w:hint="default" w:ascii="Times New Roman" w:hAnsi="Times New Roman" w:cs="Times New Roman"/>
          <w:sz w:val="21"/>
          <w:szCs w:val="21"/>
          <w:highlight w:val="none"/>
          <w:lang w:val="pt-BR"/>
        </w:rPr>
        <w:t>V</w:t>
      </w:r>
      <w:r>
        <w:rPr>
          <w:rStyle w:val="22"/>
          <w:rFonts w:hint="default" w:ascii="Times New Roman" w:hAnsi="Times New Roman" w:cs="Times New Roman"/>
          <w:sz w:val="21"/>
          <w:szCs w:val="21"/>
          <w:highlight w:val="none"/>
        </w:rPr>
        <w:t xml:space="preserve"> - Modelo de Atestado de Vistoria Técnica</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ou a declaração de pleno conhecimento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Anexo V - Modelo de Declaração de Pleno Conhecimento</w:t>
      </w:r>
      <w:r>
        <w:rPr>
          <w:rStyle w:val="22"/>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5127D78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highlight w:val="none"/>
        </w:rPr>
        <w:t>apresentarem descon</w:t>
      </w:r>
      <w:r>
        <w:rPr>
          <w:rFonts w:hint="default" w:ascii="Times New Roman" w:hAnsi="Times New Roman" w:cs="Times New Roman"/>
          <w:color w:val="000000"/>
          <w:sz w:val="21"/>
          <w:szCs w:val="21"/>
        </w:rPr>
        <w:t>formidade com quaisquer outras exigências do edital, desde que insanável.</w:t>
      </w:r>
    </w:p>
    <w:p w14:paraId="2E9EDE6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1"/>
          <w:szCs w:val="21"/>
        </w:rPr>
        <w:fldChar w:fldCharType="begin"/>
      </w:r>
      <w:r>
        <w:rPr>
          <w:sz w:val="21"/>
          <w:szCs w:val="21"/>
        </w:rPr>
        <w:instrText xml:space="preserve"> HYPERLINK "https://pesquisa.apps.tcu.gov.br/documento/acordao-completo/*/NUMACORDAO%253A1217%2520ANOACORDAO%253A2023%2520/DTRELEVANCIA%2520desc%252C%2520NUMACORDAOINT%2520desc/0" \h </w:instrText>
      </w:r>
      <w:r>
        <w:rPr>
          <w:sz w:val="21"/>
          <w:szCs w:val="21"/>
        </w:rPr>
        <w:fldChar w:fldCharType="separate"/>
      </w:r>
      <w:r>
        <w:rPr>
          <w:rStyle w:val="62"/>
          <w:sz w:val="21"/>
          <w:szCs w:val="21"/>
        </w:rPr>
        <w:t>Acórdão 1217/2023 Plenário - TCU</w:t>
      </w:r>
      <w:r>
        <w:rPr>
          <w:rStyle w:val="62"/>
          <w:sz w:val="21"/>
          <w:szCs w:val="21"/>
        </w:rPr>
        <w:fldChar w:fldCharType="end"/>
      </w:r>
      <w:r>
        <w:rPr>
          <w:sz w:val="21"/>
          <w:szCs w:val="21"/>
        </w:rPr>
        <w:t>).</w:t>
      </w:r>
    </w:p>
    <w:p w14:paraId="2843695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Será desclassificada a proposta que não corrigir ou não justificar eventuais falhas apontadas pelo(a) </w:t>
      </w:r>
      <w:r>
        <w:rPr>
          <w:sz w:val="21"/>
          <w:szCs w:val="21"/>
        </w:rPr>
        <w:t>Pregoeiro</w:t>
      </w:r>
      <w:r>
        <w:rPr>
          <w:color w:val="000000"/>
          <w:sz w:val="21"/>
          <w:szCs w:val="21"/>
        </w:rPr>
        <w:t>.</w:t>
      </w:r>
    </w:p>
    <w:p w14:paraId="7E605468">
      <w:pPr>
        <w:pStyle w:val="2"/>
        <w:spacing w:before="360" w:after="0"/>
        <w:rPr>
          <w:sz w:val="21"/>
          <w:szCs w:val="21"/>
        </w:rPr>
      </w:pPr>
      <w:bookmarkStart w:id="26" w:name="_Toc149517445"/>
      <w:r>
        <w:rPr>
          <w:rStyle w:val="53"/>
          <w:sz w:val="21"/>
          <w:szCs w:val="21"/>
        </w:rPr>
        <w:t>INEXEQUIBILIDADE DE PROPOSTA</w:t>
      </w:r>
      <w:bookmarkEnd w:id="26"/>
    </w:p>
    <w:p w14:paraId="03B4B75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É considerado indício de inexequibilidade das propostas valores inferiores a 50% (cinquenta por cento) do valor orçado pela Administração.</w:t>
      </w:r>
    </w:p>
    <w:p w14:paraId="518B02E1">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Se houver indícios de inexequibilidade da proposta de preço, ou em caso da necessidade de esclarecimentos complementares, poderá ser efetuada diligência, e adotados, entre outros e no que couber, os seguintes procedimentos:</w:t>
      </w:r>
    </w:p>
    <w:p w14:paraId="1AD36605">
      <w:pPr>
        <w:pStyle w:val="50"/>
        <w:numPr>
          <w:ilvl w:val="2"/>
          <w:numId w:val="6"/>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Questionamentos junto à proponente para a apresentação de justificativas e comprovações em relação aos custos com indícios de inexequibilidade;</w:t>
      </w:r>
    </w:p>
    <w:p w14:paraId="286574E7">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acordos, convenções coletivas ou sentenças normativas;</w:t>
      </w:r>
    </w:p>
    <w:p w14:paraId="06740C9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informações no Ministério do Trabalho e Previdência e consultas às Secretarias de Fazenda Federal, Distrital, Estadual ou Municipal;</w:t>
      </w:r>
    </w:p>
    <w:p w14:paraId="5EBDB140">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consultas a entidades ou conselhos de classe, sindicatos ou similares;</w:t>
      </w:r>
    </w:p>
    <w:p w14:paraId="3880326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pesquisas em órgãos públicos ou empresas privadas para verificação de contratos da mesma natureza;</w:t>
      </w:r>
    </w:p>
    <w:p w14:paraId="71734CD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 de preço com fornecedores dos insumos utilizados, tais como atacadistas, lojas de suprimentos, supermercados e fabricantes;</w:t>
      </w:r>
    </w:p>
    <w:p w14:paraId="0EB71E3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notas fiscais dos produtos adquiridos pelo proponente;</w:t>
      </w:r>
    </w:p>
    <w:p w14:paraId="7523EF1A">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indicadores salariais ou trabalhistas publicados por órgãos de pesquisa;</w:t>
      </w:r>
    </w:p>
    <w:p w14:paraId="4D2F105E">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estudos setoriais;</w:t>
      </w:r>
    </w:p>
    <w:p w14:paraId="705D0165">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análise de soluções técnicas e/ou condições excepcionalmente favoráveis que o proponente detenha para o fornecimento dos produtos; e</w:t>
      </w:r>
    </w:p>
    <w:p w14:paraId="22C003C6">
      <w:pPr>
        <w:pStyle w:val="50"/>
        <w:numPr>
          <w:ilvl w:val="2"/>
          <w:numId w:val="6"/>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demais verificações que porventura se fizerem necessárias.</w:t>
      </w:r>
    </w:p>
    <w:p w14:paraId="2C93AFBE">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A </w:t>
      </w:r>
      <w:r>
        <w:rPr>
          <w:color w:val="000000"/>
          <w:sz w:val="21"/>
          <w:szCs w:val="21"/>
        </w:rPr>
        <w:t>inexequibilidade</w:t>
      </w:r>
      <w:r>
        <w:rPr>
          <w:sz w:val="21"/>
          <w:szCs w:val="21"/>
        </w:rPr>
        <w:t xml:space="preserve"> só será considerada após diligência do pregoeiro, que comprove:</w:t>
      </w:r>
    </w:p>
    <w:p w14:paraId="1F20AA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que o </w:t>
      </w:r>
      <w:r>
        <w:rPr>
          <w:color w:val="000000"/>
          <w:sz w:val="21"/>
          <w:szCs w:val="21"/>
        </w:rPr>
        <w:t>custo</w:t>
      </w:r>
      <w:r>
        <w:rPr>
          <w:sz w:val="21"/>
          <w:szCs w:val="21"/>
        </w:rPr>
        <w:t xml:space="preserve"> do licitante ultrapassa o valor da proposta; e</w:t>
      </w:r>
    </w:p>
    <w:p w14:paraId="4B5A7E2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inexistirem custos de oportunidade capazes de justificar o vulto da oferta.</w:t>
      </w:r>
    </w:p>
    <w:p w14:paraId="4B3D6C7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inexequibilidade da proposta será considerada quando a diligência comprovar que os custos da licitante ultrapassam o valor da proposta, bem como se inexistirem custos de oportunidade capazes de justificar o vulto da oferta.</w:t>
      </w:r>
    </w:p>
    <w:p w14:paraId="202367EE">
      <w:pPr>
        <w:pStyle w:val="2"/>
        <w:spacing w:before="360" w:after="0"/>
        <w:rPr>
          <w:sz w:val="21"/>
          <w:szCs w:val="21"/>
        </w:rPr>
      </w:pPr>
      <w:bookmarkStart w:id="27" w:name="_Toc149517446"/>
      <w:r>
        <w:rPr>
          <w:rStyle w:val="53"/>
          <w:sz w:val="21"/>
          <w:szCs w:val="21"/>
        </w:rPr>
        <w:t>PROPOSTA CLASSIFICADA EM PRIMEIRO LUGAR</w:t>
      </w:r>
      <w:bookmarkEnd w:id="27"/>
      <w:r>
        <w:rPr>
          <w:rStyle w:val="53"/>
          <w:sz w:val="21"/>
          <w:szCs w:val="21"/>
        </w:rPr>
        <w:t> </w:t>
      </w:r>
    </w:p>
    <w:p w14:paraId="2FAE8A7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hipótese de a proposta não ser aceitável ou se a licitante classificada em primeiro lugar não atender às exigências para a habilitação, o(a) </w:t>
      </w:r>
      <w:r>
        <w:rPr>
          <w:sz w:val="21"/>
          <w:szCs w:val="21"/>
        </w:rPr>
        <w:t>Pregoeiro</w:t>
      </w:r>
      <w:r>
        <w:rPr>
          <w:color w:val="000000"/>
          <w:sz w:val="21"/>
          <w:szCs w:val="21"/>
        </w:rPr>
        <w:t xml:space="preserve"> examinará a proposta subsequente até a apuração de uma proposta que atenda aos requisitos descritos neste Edital.</w:t>
      </w:r>
    </w:p>
    <w:p w14:paraId="111737B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Constatado o atendimento às exigências fixadas neste Edital, a licitante classificada em primeiro lugar será declarada vencedora da licitação.</w:t>
      </w:r>
    </w:p>
    <w:p w14:paraId="2313022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julgamento da habilitação e das propostas, o </w:t>
      </w:r>
      <w:r>
        <w:rPr>
          <w:sz w:val="21"/>
          <w:szCs w:val="21"/>
        </w:rPr>
        <w:t>Pregoeiro</w:t>
      </w:r>
      <w:r>
        <w:rPr>
          <w:color w:val="000000"/>
          <w:sz w:val="21"/>
          <w:szCs w:val="21"/>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1"/>
          <w:szCs w:val="21"/>
        </w:rPr>
        <w:fldChar w:fldCharType="begin"/>
      </w:r>
      <w:r>
        <w:rPr>
          <w:rStyle w:val="62"/>
          <w:sz w:val="21"/>
          <w:szCs w:val="21"/>
        </w:rPr>
        <w:instrText xml:space="preserve"> HYPERLINK "https://www.planalto.gov.br/ccivil_03/_ato2019-2022/2021/lei/l14133.htm" \l "art64"</w:instrText>
      </w:r>
      <w:r>
        <w:rPr>
          <w:rStyle w:val="62"/>
          <w:sz w:val="21"/>
          <w:szCs w:val="21"/>
        </w:rPr>
        <w:fldChar w:fldCharType="separate"/>
      </w:r>
      <w:r>
        <w:rPr>
          <w:rStyle w:val="62"/>
          <w:sz w:val="21"/>
          <w:szCs w:val="21"/>
        </w:rPr>
        <w:t>art. 64, §1º, da Lei Federal nº 14.133, de 2021</w:t>
      </w:r>
      <w:r>
        <w:rPr>
          <w:rStyle w:val="62"/>
          <w:sz w:val="21"/>
          <w:szCs w:val="21"/>
        </w:rPr>
        <w:fldChar w:fldCharType="end"/>
      </w:r>
      <w:r>
        <w:rPr>
          <w:color w:val="000000"/>
          <w:sz w:val="21"/>
          <w:szCs w:val="21"/>
        </w:rPr>
        <w:t>).</w:t>
      </w:r>
    </w:p>
    <w:p w14:paraId="6B7A95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066CC1A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último lance ofertado pela licitante e, se necessário, com os documentos complementares solicitados pelo(a) </w:t>
      </w:r>
      <w:r>
        <w:rPr>
          <w:sz w:val="21"/>
          <w:szCs w:val="21"/>
        </w:rPr>
        <w:t>Pregoeiro</w:t>
      </w:r>
      <w:r>
        <w:rPr>
          <w:color w:val="000000"/>
          <w:sz w:val="21"/>
          <w:szCs w:val="21"/>
        </w:rPr>
        <w:t>, deverá ser anexada ao sistema eletrônico após a solicitação pela opção “Convocar Anexo”, no prazo de 2 (duas) horas, contado de sua solicitação.</w:t>
      </w:r>
    </w:p>
    <w:p w14:paraId="51C77ED7">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O prazo definido no item anterior poderá ser prorrogado por igual período, quando:</w:t>
      </w:r>
    </w:p>
    <w:p w14:paraId="50D20A9C">
      <w:pPr>
        <w:pStyle w:val="50"/>
        <w:numPr>
          <w:ilvl w:val="2"/>
          <w:numId w:val="7"/>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 xml:space="preserve">solicitado pela licitante, mediante justificativa aceita pelo </w:t>
      </w:r>
      <w:r>
        <w:rPr>
          <w:sz w:val="21"/>
          <w:szCs w:val="21"/>
        </w:rPr>
        <w:t>Pregoeiro</w:t>
      </w:r>
      <w:r>
        <w:rPr>
          <w:color w:val="000000"/>
          <w:sz w:val="21"/>
          <w:szCs w:val="21"/>
        </w:rPr>
        <w:t>; ou</w:t>
      </w:r>
    </w:p>
    <w:p w14:paraId="0669DAD7">
      <w:pPr>
        <w:pStyle w:val="50"/>
        <w:numPr>
          <w:ilvl w:val="2"/>
          <w:numId w:val="7"/>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 xml:space="preserve">de ofício, a critério do </w:t>
      </w:r>
      <w:r>
        <w:rPr>
          <w:sz w:val="21"/>
          <w:szCs w:val="21"/>
        </w:rPr>
        <w:t>Pregoeiro</w:t>
      </w:r>
      <w:r>
        <w:rPr>
          <w:color w:val="000000"/>
          <w:sz w:val="21"/>
          <w:szCs w:val="21"/>
        </w:rPr>
        <w:t>, quando constatado que o prazo estabelecido não é suficiente para o envio dos documentos exigidos.</w:t>
      </w:r>
    </w:p>
    <w:p w14:paraId="494D73D3">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proposta de preços deverá ser elaborada com observância das seguintes exigências:</w:t>
      </w:r>
    </w:p>
    <w:p w14:paraId="747468CB">
      <w:pPr>
        <w:pStyle w:val="50"/>
        <w:numPr>
          <w:ilvl w:val="2"/>
          <w:numId w:val="8"/>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não conter cotações alternativas, emendas ou entrelinhas;</w:t>
      </w:r>
    </w:p>
    <w:p w14:paraId="1C89F49D">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fazer menção ao número deste Edital, conter a razão social do licitante, seu CNPJ, dados bancários e endereço completo;</w:t>
      </w:r>
    </w:p>
    <w:p w14:paraId="0B801F1E">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falta do CNPJ e (ou) endereço completo poderá ser preenchida pelos dados constantes no sistema eletrônico.</w:t>
      </w:r>
    </w:p>
    <w:p w14:paraId="2608D997">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cotação de preço unitário e total para o item/lote ofertado, em moeda corrente nacional (Real), incluídos todos os tributos, taxas, fretes e demais encargos pertinentes, conforme Modelo de Proposta previsto no Anexo VI deste Edital;</w:t>
      </w:r>
    </w:p>
    <w:p w14:paraId="3B1CFD1B">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os custos relacionados ao fornecimento do objeto deverão ser detalhados para efeito de eventual reequilíbrio dos preços contratados; </w:t>
      </w:r>
    </w:p>
    <w:p w14:paraId="2B5D6C7C">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o preço unitário/total máximo para o item/lote é o que consta do </w:t>
      </w:r>
      <w:r>
        <w:rPr>
          <w:rStyle w:val="53"/>
          <w:color w:val="000000"/>
          <w:sz w:val="21"/>
          <w:szCs w:val="21"/>
        </w:rPr>
        <w:t>Termo de Referência</w:t>
      </w:r>
      <w:r>
        <w:rPr>
          <w:color w:val="000000"/>
          <w:sz w:val="21"/>
          <w:szCs w:val="21"/>
        </w:rPr>
        <w:t xml:space="preserve"> - Anexo I deste Edital;</w:t>
      </w:r>
    </w:p>
    <w:p w14:paraId="1CF0F076">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marca e, se existir, informar o modelo;</w:t>
      </w:r>
    </w:p>
    <w:p w14:paraId="4F563580">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será aceita a oferta de produtos com marcas diferentes da marca de referência, desde que apresentem qualidade igual ou superior, observado o </w:t>
      </w:r>
      <w:r>
        <w:rPr>
          <w:sz w:val="21"/>
          <w:szCs w:val="21"/>
        </w:rPr>
        <w:fldChar w:fldCharType="begin"/>
      </w:r>
      <w:r>
        <w:rPr>
          <w:rStyle w:val="62"/>
          <w:sz w:val="21"/>
          <w:szCs w:val="21"/>
        </w:rPr>
        <w:instrText xml:space="preserve"> HYPERLINK "https://www.planalto.gov.br/ccivil_03/_ato2019-2022/2021/lei/l14133.htm" \l "art42"</w:instrText>
      </w:r>
      <w:r>
        <w:rPr>
          <w:rStyle w:val="62"/>
          <w:sz w:val="21"/>
          <w:szCs w:val="21"/>
        </w:rPr>
        <w:fldChar w:fldCharType="separate"/>
      </w:r>
      <w:r>
        <w:rPr>
          <w:rStyle w:val="62"/>
          <w:sz w:val="21"/>
          <w:szCs w:val="21"/>
        </w:rPr>
        <w:t>art. 42 da Lei Federal nº 14.133, de 2021</w:t>
      </w:r>
      <w:r>
        <w:rPr>
          <w:rStyle w:val="62"/>
          <w:sz w:val="21"/>
          <w:szCs w:val="21"/>
        </w:rPr>
        <w:fldChar w:fldCharType="end"/>
      </w:r>
      <w:r>
        <w:rPr>
          <w:color w:val="000000"/>
          <w:sz w:val="21"/>
          <w:szCs w:val="21"/>
        </w:rPr>
        <w:t>.</w:t>
      </w:r>
    </w:p>
    <w:p w14:paraId="65CA18AD">
      <w:pPr>
        <w:pStyle w:val="50"/>
        <w:numPr>
          <w:ilvl w:val="2"/>
          <w:numId w:val="8"/>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717DEBA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apresentação da proposta implicará, necessariamente, a anuência a todas as exigências contidas neste Edital e seus anexos, inclusive quanto ao prazo de entrega e condições de garantia, conforme </w:t>
      </w:r>
      <w:r>
        <w:rPr>
          <w:rStyle w:val="53"/>
          <w:color w:val="000000"/>
          <w:sz w:val="21"/>
          <w:szCs w:val="21"/>
        </w:rPr>
        <w:t>Termo de Referência</w:t>
      </w:r>
      <w:r>
        <w:rPr>
          <w:color w:val="000000"/>
          <w:sz w:val="21"/>
          <w:szCs w:val="21"/>
        </w:rPr>
        <w:t xml:space="preserve"> - Anexo I deste Edital, bem como quanto ao prazo de validade da proposta, não inferior a 60 (sessenta) dias, contados da data de sua entrega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080B37BC">
      <w:pPr>
        <w:pStyle w:val="2"/>
        <w:spacing w:before="360" w:after="0"/>
        <w:rPr>
          <w:sz w:val="21"/>
          <w:szCs w:val="21"/>
        </w:rPr>
      </w:pPr>
      <w:bookmarkStart w:id="28" w:name="_Toc149517447"/>
      <w:r>
        <w:rPr>
          <w:rStyle w:val="53"/>
          <w:sz w:val="21"/>
          <w:szCs w:val="21"/>
        </w:rPr>
        <w:t>ACEITABILIDADE DA PROPOSTA</w:t>
      </w:r>
      <w:bookmarkEnd w:id="28"/>
    </w:p>
    <w:p w14:paraId="0CF0366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etapa de negociação, o </w:t>
      </w:r>
      <w:r>
        <w:rPr>
          <w:sz w:val="21"/>
          <w:szCs w:val="21"/>
        </w:rPr>
        <w:t>Pregoeiro</w:t>
      </w:r>
      <w:r>
        <w:rPr>
          <w:color w:val="000000"/>
          <w:sz w:val="21"/>
          <w:szCs w:val="21"/>
        </w:rPr>
        <w:t xml:space="preserve"> examinará a proposta classificada em primeiro lugar quanto à adequação ao objeto e à compatibilidade do preço em relação ao máximo estipulado para contratação neste Edital e em seus anexos.</w:t>
      </w:r>
    </w:p>
    <w:p w14:paraId="39ECA9F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licitante classificada em primeiro lugar deverá encaminhar a proposta de preços adequada ao novo valor por ela ofertado, em até 2 (duas) horas, bem como as especificações estipuladas no Edital e seus anexos.</w:t>
      </w:r>
    </w:p>
    <w:p w14:paraId="369AE9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interessado poderá requerer que se realizem diligências para aferir a exequibilidade e a legalidade das propostas, devendo apresentar as provas ou os indícios que fundamentam a suspeita.</w:t>
      </w:r>
    </w:p>
    <w:p w14:paraId="0F5F19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593CCEA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convocar o licitante para enviar documento digital complementar, por meio de funcionalidade disponível no sistema, no prazo mínimo de 2 (duas) horas, sob pena de não aceitação da proposta.</w:t>
      </w:r>
    </w:p>
    <w:p w14:paraId="13F8AD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prazo estabelecido no item anterior poderá ser prorrogado pelo </w:t>
      </w:r>
      <w:r>
        <w:rPr>
          <w:sz w:val="21"/>
          <w:szCs w:val="21"/>
        </w:rPr>
        <w:t>Pregoeiro</w:t>
      </w:r>
      <w:r>
        <w:rPr>
          <w:color w:val="000000"/>
          <w:sz w:val="21"/>
          <w:szCs w:val="21"/>
        </w:rPr>
        <w:t xml:space="preserve"> por solicitação escrita e justificada do licitante, formulada antes de findo o prazo, e formalmente aceita pelo </w:t>
      </w:r>
      <w:r>
        <w:rPr>
          <w:sz w:val="21"/>
          <w:szCs w:val="21"/>
        </w:rPr>
        <w:t>Pregoeiro</w:t>
      </w:r>
      <w:r>
        <w:rPr>
          <w:color w:val="000000"/>
          <w:sz w:val="21"/>
          <w:szCs w:val="21"/>
        </w:rPr>
        <w:t>.</w:t>
      </w:r>
    </w:p>
    <w:p w14:paraId="52597DE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Para fins de análise da proposta quanto ao cumprimento das especificações do objeto, poderá ser colhida a manifestação escrita do setor requisitante do produto ou da área especializada no objeto.</w:t>
      </w:r>
    </w:p>
    <w:p w14:paraId="7FF8091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a proposta ou lance vencedor for desclassificado, o </w:t>
      </w:r>
      <w:r>
        <w:rPr>
          <w:sz w:val="21"/>
          <w:szCs w:val="21"/>
        </w:rPr>
        <w:t>Pregoeiro</w:t>
      </w:r>
      <w:r>
        <w:rPr>
          <w:color w:val="000000"/>
          <w:sz w:val="21"/>
          <w:szCs w:val="21"/>
        </w:rPr>
        <w:t xml:space="preserve"> examinará a proposta ou lance subsequente, e, assim sucessivamente, na ordem de classificação.</w:t>
      </w:r>
    </w:p>
    <w:p w14:paraId="4CF9992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15FEB2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Também nas hipóteses em que o </w:t>
      </w:r>
      <w:r>
        <w:rPr>
          <w:sz w:val="21"/>
          <w:szCs w:val="21"/>
        </w:rPr>
        <w:t>Pregoeiro</w:t>
      </w:r>
      <w:r>
        <w:rPr>
          <w:color w:val="000000"/>
          <w:sz w:val="21"/>
          <w:szCs w:val="21"/>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FEFAD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Sempre que a proposta não for aceita, e antes de o </w:t>
      </w:r>
      <w:r>
        <w:rPr>
          <w:sz w:val="21"/>
          <w:szCs w:val="21"/>
        </w:rPr>
        <w:t>Pregoeiro</w:t>
      </w:r>
      <w:r>
        <w:rPr>
          <w:color w:val="000000"/>
          <w:sz w:val="21"/>
          <w:szCs w:val="21"/>
        </w:rPr>
        <w:t xml:space="preserve"> passar à subsequente,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se for o caso.</w:t>
      </w:r>
    </w:p>
    <w:p w14:paraId="22937B5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xml:space="preserve">” a nova data e horário para a continuidade da mesma. </w:t>
      </w:r>
    </w:p>
    <w:p w14:paraId="74DB9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análise quanto à aceitação da proposta, o </w:t>
      </w:r>
      <w:r>
        <w:rPr>
          <w:sz w:val="21"/>
          <w:szCs w:val="21"/>
        </w:rPr>
        <w:t>Pregoeiro</w:t>
      </w:r>
      <w:r>
        <w:rPr>
          <w:color w:val="000000"/>
          <w:sz w:val="21"/>
          <w:szCs w:val="21"/>
        </w:rPr>
        <w:t xml:space="preserve"> verificará a habilitação do licitante classificado em primeiro lugar, observado o disposto neste Edital.</w:t>
      </w:r>
    </w:p>
    <w:p w14:paraId="785E7C85">
      <w:pPr>
        <w:pStyle w:val="2"/>
        <w:spacing w:before="360" w:after="0"/>
        <w:rPr>
          <w:sz w:val="21"/>
          <w:szCs w:val="21"/>
        </w:rPr>
      </w:pPr>
      <w:bookmarkStart w:id="29" w:name="_Toc149517448"/>
      <w:r>
        <w:rPr>
          <w:rStyle w:val="53"/>
          <w:sz w:val="21"/>
          <w:szCs w:val="21"/>
        </w:rPr>
        <w:t>HABILITAÇÃO DA LICITANTE CLASSIFICADA EM PRIMEIRO LUGAR</w:t>
      </w:r>
      <w:bookmarkEnd w:id="29"/>
    </w:p>
    <w:p w14:paraId="2FF76219">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licitante classificado em primeiro lugar na fase de propostas deverá encaminhar, nos termos deste Edital, a documentação relacionada nos itens a seguir, para fins de habilitação:</w:t>
      </w:r>
    </w:p>
    <w:p w14:paraId="4719C9C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Habilitação Jurídica;</w:t>
      </w:r>
    </w:p>
    <w:p w14:paraId="5247D3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Qualificação Técnica;</w:t>
      </w:r>
    </w:p>
    <w:p w14:paraId="37A004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Regularidade Fiscal, Social e Trabalhista;</w:t>
      </w:r>
    </w:p>
    <w:p w14:paraId="441E64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Outros Documentos.</w:t>
      </w:r>
    </w:p>
    <w:p w14:paraId="01F594A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194B73A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de habilitação poderá ser:</w:t>
      </w:r>
    </w:p>
    <w:p w14:paraId="37D482EC">
      <w:pPr>
        <w:pStyle w:val="50"/>
        <w:numPr>
          <w:ilvl w:val="2"/>
          <w:numId w:val="1"/>
        </w:numPr>
        <w:tabs>
          <w:tab w:val="left" w:pos="1134"/>
        </w:tabs>
        <w:spacing w:before="0" w:beforeAutospacing="0" w:after="0" w:afterAutospacing="0"/>
        <w:jc w:val="both"/>
        <w:textAlignment w:val="baseline"/>
        <w:rPr>
          <w:sz w:val="21"/>
          <w:szCs w:val="21"/>
        </w:rPr>
      </w:pPr>
      <w:bookmarkStart w:id="30" w:name="art70i"/>
      <w:bookmarkEnd w:id="30"/>
      <w:r>
        <w:rPr>
          <w:color w:val="000000"/>
          <w:sz w:val="21"/>
          <w:szCs w:val="21"/>
        </w:rPr>
        <w:t>apresentada em original, por cópia ou por qualquer outro meio expressamente admitido pela Administração (</w:t>
      </w:r>
      <w:r>
        <w:rPr>
          <w:sz w:val="21"/>
          <w:szCs w:val="21"/>
        </w:rPr>
        <w:fldChar w:fldCharType="begin"/>
      </w:r>
      <w:r>
        <w:rPr>
          <w:rStyle w:val="62"/>
          <w:sz w:val="21"/>
          <w:szCs w:val="21"/>
        </w:rPr>
        <w:instrText xml:space="preserve"> HYPERLINK "https://www.planalto.gov.br/ccivil_03/_ato2019-2022/2021/lei/l14133.htm" \l "art70"</w:instrText>
      </w:r>
      <w:r>
        <w:rPr>
          <w:rStyle w:val="62"/>
          <w:sz w:val="21"/>
          <w:szCs w:val="21"/>
        </w:rPr>
        <w:fldChar w:fldCharType="separate"/>
      </w:r>
      <w:r>
        <w:rPr>
          <w:rStyle w:val="62"/>
          <w:sz w:val="21"/>
          <w:szCs w:val="21"/>
        </w:rPr>
        <w:t>art. 70, I, da Lei Federal nº 14.133, de 2021</w:t>
      </w:r>
      <w:r>
        <w:rPr>
          <w:rStyle w:val="62"/>
          <w:sz w:val="21"/>
          <w:szCs w:val="21"/>
        </w:rPr>
        <w:fldChar w:fldCharType="end"/>
      </w:r>
      <w:r>
        <w:rPr>
          <w:color w:val="000000"/>
          <w:sz w:val="21"/>
          <w:szCs w:val="21"/>
        </w:rPr>
        <w:t xml:space="preserve">); </w:t>
      </w:r>
    </w:p>
    <w:p w14:paraId="650A64C2">
      <w:pPr>
        <w:pStyle w:val="50"/>
        <w:numPr>
          <w:ilvl w:val="2"/>
          <w:numId w:val="1"/>
        </w:numPr>
        <w:tabs>
          <w:tab w:val="left" w:pos="1134"/>
        </w:tabs>
        <w:spacing w:before="0" w:beforeAutospacing="0" w:after="0" w:afterAutospacing="0"/>
        <w:jc w:val="both"/>
        <w:textAlignment w:val="baseline"/>
        <w:rPr>
          <w:sz w:val="21"/>
          <w:szCs w:val="21"/>
        </w:rPr>
      </w:pPr>
      <w:bookmarkStart w:id="31" w:name="art70ii"/>
      <w:bookmarkEnd w:id="31"/>
      <w:r>
        <w:rPr>
          <w:color w:val="000000"/>
          <w:sz w:val="21"/>
          <w:szCs w:val="21"/>
        </w:rPr>
        <w:t>substituída por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03C38A9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envio dos documentos de habilitação exigidos neste Edital, ocorrerá por meio de chave de acesso e senha.</w:t>
      </w:r>
    </w:p>
    <w:p w14:paraId="489C08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licitantes poderão deixar de apresentar, total ou parcialmente, os documentos de habilitação que constem no sistema de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4413A7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que optarem por utilizar um dos cadastros indicados no item anterior deverão apresentar o certificado cadastral respectivo, sendo assegurado aos demais licitantes o direito de acesso aos dados constantes dos sistemas.</w:t>
      </w:r>
    </w:p>
    <w:p w14:paraId="77186DF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de responsabilidade do licitante conferir a exatidão dos seus dados cadastrais no registro cadastral unificado do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ou do SICAF e mantê-los atualizados junto aos órgãos responsáveis pela informação, devendo proceder, imediatamente, à correção ou à alteração dos registros tão logo identifique incorreção ou aqueles se tornem desatualizados.</w:t>
      </w:r>
    </w:p>
    <w:p w14:paraId="365ED72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Microempresas (ME) e Empresas de Pequeno Porte (EPP) deverão encaminhar a documentação de habilitação, ainda que haja alguma restrição de regularidade fiscal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 1º, da Lei Complementar Federal nº 123, de 2006</w:t>
      </w:r>
      <w:r>
        <w:rPr>
          <w:rStyle w:val="62"/>
          <w:sz w:val="21"/>
          <w:szCs w:val="21"/>
        </w:rPr>
        <w:fldChar w:fldCharType="end"/>
      </w:r>
      <w:r>
        <w:rPr>
          <w:color w:val="000000"/>
          <w:sz w:val="21"/>
          <w:szCs w:val="21"/>
        </w:rPr>
        <w:t>.</w:t>
      </w:r>
    </w:p>
    <w:p w14:paraId="56655F5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w:t>
      </w:r>
      <w:r>
        <w:rPr>
          <w:color w:val="000000"/>
          <w:sz w:val="21"/>
          <w:szCs w:val="21"/>
        </w:rPr>
        <w:t>hipótese</w:t>
      </w:r>
      <w:r>
        <w:rPr>
          <w:sz w:val="21"/>
          <w:szCs w:val="21"/>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1"/>
          <w:szCs w:val="21"/>
        </w:rPr>
        <w:fldChar w:fldCharType="begin"/>
      </w:r>
      <w:r>
        <w:rPr>
          <w:sz w:val="21"/>
          <w:szCs w:val="21"/>
        </w:rPr>
        <w:instrText xml:space="preserve"> HYPERLINK "https://www.planalto.gov.br/ccivil_03/_ato2015-2018/2016/decreto/d8660.htm" \h </w:instrText>
      </w:r>
      <w:r>
        <w:rPr>
          <w:sz w:val="21"/>
          <w:szCs w:val="21"/>
        </w:rPr>
        <w:fldChar w:fldCharType="separate"/>
      </w:r>
      <w:r>
        <w:rPr>
          <w:rStyle w:val="62"/>
          <w:sz w:val="21"/>
          <w:szCs w:val="21"/>
        </w:rPr>
        <w:t>Decreto Federal nº 8.660, de 2016</w:t>
      </w:r>
      <w:r>
        <w:rPr>
          <w:rStyle w:val="62"/>
          <w:sz w:val="21"/>
          <w:szCs w:val="21"/>
        </w:rPr>
        <w:fldChar w:fldCharType="end"/>
      </w:r>
      <w:r>
        <w:rPr>
          <w:sz w:val="21"/>
          <w:szCs w:val="21"/>
        </w:rPr>
        <w:t>, ou de outro que venha a substituí-lo, ou consularizados pelos respectivos consulados ou embaixadas.</w:t>
      </w:r>
    </w:p>
    <w:p w14:paraId="405484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Até a abertura da sessão pública, os licitantes poderão retirar ou substituir os documentos de habilitação anteriormente inseridos no sistema.</w:t>
      </w:r>
    </w:p>
    <w:p w14:paraId="5CA106A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Os documentos que compõem a proposta e a habilitação do licitante melhor classificado somente serão disponibilizados para avaliação do </w:t>
      </w:r>
      <w:r>
        <w:rPr>
          <w:sz w:val="21"/>
          <w:szCs w:val="21"/>
        </w:rPr>
        <w:t>Pregoeiro</w:t>
      </w:r>
      <w:r>
        <w:rPr>
          <w:color w:val="000000"/>
          <w:sz w:val="21"/>
          <w:szCs w:val="21"/>
        </w:rPr>
        <w:t xml:space="preserve"> e para acesso público após o encerramento da fase de lances.</w:t>
      </w:r>
    </w:p>
    <w:p w14:paraId="3DFE128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condição prévia ao exame da documentação de habilitação do licitante detentor da proposta classificada em primeiro lugar, o </w:t>
      </w:r>
      <w:r>
        <w:rPr>
          <w:sz w:val="21"/>
          <w:szCs w:val="21"/>
        </w:rPr>
        <w:t>Pregoeiro</w:t>
      </w:r>
      <w:r>
        <w:rPr>
          <w:color w:val="000000"/>
          <w:sz w:val="21"/>
          <w:szCs w:val="21"/>
        </w:rPr>
        <w:t xml:space="preserve"> verificará o eventual descumprimento das condições de participação, especialmente quanto à existência de sanção que impeça a participação no certame ou a futura contratação, mediante a consulta aos seguintes cadastros:</w:t>
      </w:r>
    </w:p>
    <w:p w14:paraId="25301EB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Punidas – CNEP, mantido pela Controladoria-Geral da União (CGU);</w:t>
      </w:r>
    </w:p>
    <w:p w14:paraId="0FEEB1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Inidôneas e Suspensas – CEIS, mantido pela Controladoria-Geral da União (CGU);</w:t>
      </w:r>
    </w:p>
    <w:p w14:paraId="45DBF8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Condenações Cíveis por Atos de Improbidade Administrativa, mantido pelo Conselho Nacional de Justiça (CNJ);</w:t>
      </w:r>
    </w:p>
    <w:p w14:paraId="29CDA47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Sistema de Inabilitados e Inidôneos, mantida pelo Tribunal de Contas da União;</w:t>
      </w:r>
    </w:p>
    <w:p w14:paraId="3D31ACB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consulta aos cadastros será realizada em nome da empresa licitante e também de seu sócio majoritário, por força do </w:t>
      </w:r>
      <w:r>
        <w:rPr>
          <w:sz w:val="21"/>
          <w:szCs w:val="21"/>
        </w:rPr>
        <w:fldChar w:fldCharType="begin"/>
      </w:r>
      <w:r>
        <w:rPr>
          <w:rStyle w:val="62"/>
          <w:sz w:val="21"/>
          <w:szCs w:val="21"/>
        </w:rPr>
        <w:instrText xml:space="preserve"> HYPERLINK "https://www.planalto.gov.br/ccivil_03/leis/l8429.htm" \l "art12"</w:instrText>
      </w:r>
      <w:r>
        <w:rPr>
          <w:rStyle w:val="62"/>
          <w:sz w:val="21"/>
          <w:szCs w:val="21"/>
        </w:rPr>
        <w:fldChar w:fldCharType="separate"/>
      </w:r>
      <w:r>
        <w:rPr>
          <w:rStyle w:val="62"/>
          <w:sz w:val="21"/>
          <w:szCs w:val="21"/>
        </w:rPr>
        <w:t>art. 12 da Lei Federal nº 8.429, de 1992</w:t>
      </w:r>
      <w:r>
        <w:rPr>
          <w:rStyle w:val="62"/>
          <w:sz w:val="21"/>
          <w:szCs w:val="21"/>
        </w:rPr>
        <w:fldChar w:fldCharType="end"/>
      </w:r>
      <w:r>
        <w:rPr>
          <w:color w:val="000000"/>
          <w:sz w:val="21"/>
          <w:szCs w:val="21"/>
        </w:rPr>
        <w:t>, que prevê, dentre as sanções impostas ao responsável pela prática de ato de improbidade administrativa, a proibição de contratar com o Poder Público, inclusive por intermédio de pessoa jurídica da qual seja sócio majoritário.</w:t>
      </w:r>
    </w:p>
    <w:p w14:paraId="691F293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Caso conste na Consulta de Situação do Fornecedor a existência de Ocorrências Impeditivas Indiretas, o </w:t>
      </w:r>
      <w:r>
        <w:rPr>
          <w:sz w:val="21"/>
          <w:szCs w:val="21"/>
        </w:rPr>
        <w:t>Pregoeiro</w:t>
      </w:r>
      <w:r>
        <w:rPr>
          <w:color w:val="000000"/>
          <w:sz w:val="21"/>
          <w:szCs w:val="21"/>
        </w:rPr>
        <w:t xml:space="preserve"> diligenciará para verificar se houve fraude por parte das empresas apontadas no Relatório de Ocorrências Impeditivas Indiretas, seguindo os seguintes procedimentos:</w:t>
      </w:r>
    </w:p>
    <w:p w14:paraId="29B477C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tentativa de burla será verificada por meio dos vínculos societários, linhas de fornecimento similares, dentre outros;</w:t>
      </w:r>
    </w:p>
    <w:p w14:paraId="186517E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 licitante será convocado para manifestação previamente à sua inabilitação;</w:t>
      </w:r>
    </w:p>
    <w:p w14:paraId="7D1860E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Constatada a existência de sanção, o </w:t>
      </w:r>
      <w:r>
        <w:rPr>
          <w:sz w:val="21"/>
          <w:szCs w:val="21"/>
        </w:rPr>
        <w:t>Pregoeiro</w:t>
      </w:r>
      <w:r>
        <w:rPr>
          <w:color w:val="000000"/>
          <w:sz w:val="21"/>
          <w:szCs w:val="21"/>
        </w:rPr>
        <w:t xml:space="preserve"> reputará o licitante inabilitado, por falta de condição de participação;</w:t>
      </w:r>
    </w:p>
    <w:p w14:paraId="1E0750A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No caso de inabilitação,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para aceitação da proposta subsequente.</w:t>
      </w:r>
    </w:p>
    <w:p w14:paraId="237CAE5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Após a entrega dos documentos para habilitação, não será permitida a substituição ou a apresentação de novos documentos, salvo em sede de diligência, para (</w:t>
      </w:r>
      <w:r>
        <w:rPr>
          <w:sz w:val="21"/>
          <w:szCs w:val="21"/>
        </w:rPr>
        <w:fldChar w:fldCharType="begin"/>
      </w:r>
      <w:r>
        <w:rPr>
          <w:rStyle w:val="62"/>
          <w:sz w:val="21"/>
          <w:szCs w:val="21"/>
        </w:rPr>
        <w:instrText xml:space="preserve"> HYPERLINK "http://www.planalto.gov.br/ccivil_03/_ato2019-2022/2021/lei/L14133.htm" \l "art64"</w:instrText>
      </w:r>
      <w:r>
        <w:rPr>
          <w:rStyle w:val="62"/>
          <w:sz w:val="21"/>
          <w:szCs w:val="21"/>
        </w:rPr>
        <w:fldChar w:fldCharType="separate"/>
      </w:r>
      <w:r>
        <w:rPr>
          <w:rStyle w:val="62"/>
          <w:sz w:val="21"/>
          <w:szCs w:val="21"/>
        </w:rPr>
        <w:t>art. 64 da Lei Federal nº 14.133, de 2021</w:t>
      </w:r>
      <w:r>
        <w:rPr>
          <w:rStyle w:val="62"/>
          <w:sz w:val="21"/>
          <w:szCs w:val="21"/>
        </w:rPr>
        <w:fldChar w:fldCharType="end"/>
      </w:r>
      <w:r>
        <w:rPr>
          <w:sz w:val="21"/>
          <w:szCs w:val="21"/>
        </w:rPr>
        <w:t>):</w:t>
      </w:r>
    </w:p>
    <w:p w14:paraId="710F26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complementação de informações acerca dos documentos já apresentados pelos licitantes e desde que necessária para apurar fatos existentes à época da abertura do certame;</w:t>
      </w:r>
    </w:p>
    <w:p w14:paraId="7FDEAD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atualização de documentos cuja validade tenha expirado após a data de recebimento das propostas.</w:t>
      </w:r>
    </w:p>
    <w:p w14:paraId="2952076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D6CC8E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Somente poderá haver a prorrogação no prazo do item anterior, caso o licitante solicite sua prorrogação dentro do tempo limite concedido.</w:t>
      </w:r>
    </w:p>
    <w:p w14:paraId="361BB31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Somente haverá a necessidade de comprovação do preenchimento de requisitos mediante apresentação dos documentos originais não-digitais quando houver dúvida em relação à integridade do documento digital </w:t>
      </w:r>
      <w:r>
        <w:rPr>
          <w:sz w:val="21"/>
          <w:szCs w:val="21"/>
        </w:rPr>
        <w:t>ou quando a lei expressamente o exigir</w:t>
      </w:r>
      <w:r>
        <w:rPr>
          <w:color w:val="000000"/>
          <w:sz w:val="21"/>
          <w:szCs w:val="21"/>
        </w:rPr>
        <w:t>.</w:t>
      </w:r>
    </w:p>
    <w:p w14:paraId="2A85D9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documentos de habilitação com indicação de CNPJ/CPF diferentes, salvo aqueles legalmente permitidos.</w:t>
      </w:r>
    </w:p>
    <w:p w14:paraId="3CCC91C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6650AB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1075077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bookmarkStart w:id="32" w:name="art64§1"/>
      <w:bookmarkEnd w:id="32"/>
      <w:bookmarkStart w:id="33" w:name="art64§2"/>
      <w:bookmarkEnd w:id="33"/>
      <w:r>
        <w:rPr>
          <w:color w:val="000000"/>
          <w:sz w:val="21"/>
          <w:szCs w:val="21"/>
        </w:rPr>
        <w:t>Para os documentos que têm prazo de validade e este não estiver expresso no documento, será considerada a validade de 90 (noventa) dias, a partir de sua emissão, se outro prazo não estiver fixado em lei.</w:t>
      </w:r>
    </w:p>
    <w:p w14:paraId="584911E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de analisar minuciosamente os documentos exigidos,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a nova data e horário para a continuidade.</w:t>
      </w:r>
    </w:p>
    <w:p w14:paraId="4BE0BE4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 xml:space="preserve">Atendidas </w:t>
      </w:r>
      <w:r>
        <w:rPr>
          <w:color w:val="000000"/>
          <w:sz w:val="21"/>
          <w:szCs w:val="21"/>
        </w:rPr>
        <w:t>todas</w:t>
      </w:r>
      <w:r>
        <w:rPr>
          <w:color w:val="000000" w:themeColor="text1"/>
          <w:sz w:val="21"/>
          <w:szCs w:val="21"/>
          <w14:textFill>
            <w14:solidFill>
              <w14:schemeClr w14:val="tx1"/>
            </w14:solidFill>
          </w14:textFill>
        </w:rPr>
        <w:t xml:space="preserve"> as disposições deste Edital, a licitante classificada em primeiro lugar será declarada vencedora da licitação.</w:t>
      </w:r>
    </w:p>
    <w:p w14:paraId="2323CD7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Serão disponibilizados para acesso público os documentos que compõem a proposta dos licitantes convocados para apresentação de propostas, após a fase de envio de lances.</w:t>
      </w:r>
    </w:p>
    <w:p w14:paraId="57755427">
      <w:pPr>
        <w:pStyle w:val="2"/>
        <w:spacing w:before="360" w:after="0"/>
        <w:rPr>
          <w:sz w:val="21"/>
          <w:szCs w:val="21"/>
        </w:rPr>
      </w:pPr>
      <w:bookmarkStart w:id="34" w:name="_Toc149517449"/>
      <w:r>
        <w:rPr>
          <w:rStyle w:val="53"/>
          <w:sz w:val="21"/>
          <w:szCs w:val="21"/>
        </w:rPr>
        <w:t>HABILITAÇÃO JURÍDICA</w:t>
      </w:r>
      <w:bookmarkEnd w:id="34"/>
    </w:p>
    <w:p w14:paraId="05DF843D">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color w:val="000000"/>
          <w:sz w:val="21"/>
          <w:szCs w:val="21"/>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1"/>
          <w:szCs w:val="21"/>
        </w:rPr>
        <w:fldChar w:fldCharType="begin"/>
      </w:r>
      <w:r>
        <w:rPr>
          <w:rStyle w:val="62"/>
          <w:sz w:val="21"/>
          <w:szCs w:val="21"/>
        </w:rPr>
        <w:instrText xml:space="preserve"> HYPERLINK "https://www.planalto.gov.br/ccivil_03/_ato2019-2022/2021/lei/l14133.htm" \l "art66"</w:instrText>
      </w:r>
      <w:r>
        <w:rPr>
          <w:rStyle w:val="62"/>
          <w:sz w:val="21"/>
          <w:szCs w:val="21"/>
        </w:rPr>
        <w:fldChar w:fldCharType="separate"/>
      </w:r>
      <w:r>
        <w:rPr>
          <w:rStyle w:val="62"/>
          <w:sz w:val="21"/>
          <w:szCs w:val="21"/>
        </w:rPr>
        <w:t>art. 66 da Lei Federal nº 14.133, de 2021</w:t>
      </w:r>
      <w:r>
        <w:rPr>
          <w:rStyle w:val="62"/>
          <w:sz w:val="21"/>
          <w:szCs w:val="21"/>
        </w:rPr>
        <w:fldChar w:fldCharType="end"/>
      </w:r>
      <w:r>
        <w:rPr>
          <w:color w:val="000000"/>
          <w:sz w:val="21"/>
          <w:szCs w:val="21"/>
        </w:rPr>
        <w:t>), nos seguintes termos:</w:t>
      </w:r>
    </w:p>
    <w:p w14:paraId="407192BB">
      <w:pPr>
        <w:pStyle w:val="50"/>
        <w:numPr>
          <w:ilvl w:val="2"/>
          <w:numId w:val="9"/>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No caso de empresário individual, inscrição no Registro Público de Empresas Mercantis, a cargo da Junta Comercial da respectiva sede;</w:t>
      </w:r>
    </w:p>
    <w:p w14:paraId="43DC185F">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BCB2B8">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sociedades por ações, registro na Comissão de Valores Mobiliários - CVM, acompanhado de documentos que comprovem a eleição de seus administradores;</w:t>
      </w:r>
    </w:p>
    <w:p w14:paraId="549E8B7D">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ser o participante sucursal, filial ou agência, inscrição no Registro Público de Empresas Mercantis onde opera, com averbação no Registro onde tem sede a matriz;</w:t>
      </w:r>
    </w:p>
    <w:p w14:paraId="22A20C87">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simples, inscrição do ato constitutivo no Registro Civil das Pessoas Jurídicas do local de sua sede, acompanhada de prova da indicação dos seus administradores;</w:t>
      </w:r>
    </w:p>
    <w:p w14:paraId="6AC7EA6F">
      <w:pPr>
        <w:pStyle w:val="50"/>
        <w:numPr>
          <w:ilvl w:val="2"/>
          <w:numId w:val="9"/>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No caso de sociedade empresária estrangeira em funcionamento no País, decreto de autorização.</w:t>
      </w:r>
    </w:p>
    <w:p w14:paraId="250332A3">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documentos acima deverão estar acompanhados de todas as alterações ou da</w:t>
      </w:r>
      <w:r>
        <w:rPr>
          <w:color w:val="000000"/>
          <w:sz w:val="21"/>
          <w:szCs w:val="21"/>
        </w:rPr>
        <w:br w:type="textWrapping"/>
      </w:r>
      <w:r>
        <w:rPr>
          <w:color w:val="000000"/>
          <w:sz w:val="21"/>
          <w:szCs w:val="21"/>
        </w:rPr>
        <w:t>consolidação respectiva.</w:t>
      </w:r>
    </w:p>
    <w:p w14:paraId="36B781BD">
      <w:pPr>
        <w:pStyle w:val="50"/>
        <w:numPr>
          <w:ilvl w:val="0"/>
          <w:numId w:val="0"/>
        </w:numPr>
        <w:tabs>
          <w:tab w:val="left" w:pos="1134"/>
        </w:tabs>
        <w:spacing w:before="120" w:beforeAutospacing="0" w:after="0" w:afterAutospacing="0"/>
        <w:ind w:left="480" w:leftChars="0"/>
        <w:jc w:val="both"/>
        <w:textAlignment w:val="baseline"/>
        <w:rPr>
          <w:rFonts w:ascii="Times New Roman" w:hAnsi="Times New Roman"/>
          <w:sz w:val="21"/>
          <w:szCs w:val="21"/>
        </w:rPr>
      </w:pPr>
    </w:p>
    <w:p w14:paraId="31B325D0">
      <w:pPr>
        <w:pStyle w:val="2"/>
        <w:spacing w:before="360" w:after="0"/>
        <w:rPr>
          <w:sz w:val="21"/>
          <w:szCs w:val="21"/>
        </w:rPr>
      </w:pPr>
      <w:bookmarkStart w:id="35" w:name="_Toc149517450"/>
      <w:r>
        <w:rPr>
          <w:rStyle w:val="53"/>
          <w:sz w:val="21"/>
          <w:szCs w:val="21"/>
        </w:rPr>
        <w:t>QUALIFICAÇÃO TÉCNICO-PROFISSIONAL E TÉCNICO-OPERACIONAL</w:t>
      </w:r>
      <w:bookmarkEnd w:id="35"/>
    </w:p>
    <w:p w14:paraId="31B5B241">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documentação relativa à qualificação </w:t>
      </w:r>
      <w:r>
        <w:rPr>
          <w:rFonts w:hint="default"/>
          <w:color w:val="000000"/>
          <w:sz w:val="21"/>
          <w:szCs w:val="21"/>
          <w:lang w:val="pt-BR"/>
        </w:rPr>
        <w:t>técnico-operacional</w:t>
      </w:r>
      <w:r>
        <w:rPr>
          <w:color w:val="000000"/>
          <w:sz w:val="21"/>
          <w:szCs w:val="21"/>
        </w:rPr>
        <w:t xml:space="preserve"> consistirá em apresentar as seguintes comprovações:</w:t>
      </w:r>
    </w:p>
    <w:p w14:paraId="505B4E05">
      <w:pPr>
        <w:pStyle w:val="50"/>
        <w:numPr>
          <w:ilvl w:val="2"/>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Prova de Registro ou Inscrição da licitante </w:t>
      </w:r>
      <w:r>
        <w:rPr>
          <w:rFonts w:hint="default" w:ascii="Times New Roman" w:hAnsi="Times New Roman" w:cs="Times New Roman"/>
          <w:color w:val="000000"/>
          <w:sz w:val="21"/>
          <w:szCs w:val="21"/>
          <w:lang w:val="pt-BR"/>
        </w:rPr>
        <w:t xml:space="preserve">em Conselho </w:t>
      </w:r>
      <w:r>
        <w:rPr>
          <w:rFonts w:hint="default" w:ascii="Times New Roman" w:hAnsi="Times New Roman" w:cs="Times New Roman"/>
          <w:color w:val="000000"/>
          <w:sz w:val="21"/>
          <w:szCs w:val="21"/>
        </w:rPr>
        <w:t>da região da sede da empresa</w:t>
      </w:r>
      <w:r>
        <w:rPr>
          <w:rFonts w:hint="default" w:ascii="Times New Roman" w:hAnsi="Times New Roman" w:cs="Times New Roman"/>
          <w:color w:val="000000"/>
          <w:sz w:val="21"/>
          <w:szCs w:val="21"/>
          <w:lang w:val="pt-BR"/>
        </w:rPr>
        <w:t xml:space="preserve"> coerente com os itens deste Certame</w:t>
      </w:r>
      <w:r>
        <w:rPr>
          <w:rFonts w:hint="default" w:ascii="Times New Roman" w:hAnsi="Times New Roman" w:cs="Times New Roman"/>
          <w:color w:val="000000"/>
          <w:sz w:val="21"/>
          <w:szCs w:val="21"/>
        </w:rPr>
        <w:t>;</w:t>
      </w:r>
    </w:p>
    <w:p w14:paraId="30CAB9A4">
      <w:pPr>
        <w:pStyle w:val="50"/>
        <w:numPr>
          <w:ilvl w:val="2"/>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Prova de Registro ou Inscrição do Responsável Técnico </w:t>
      </w:r>
      <w:r>
        <w:rPr>
          <w:rFonts w:hint="default" w:ascii="Times New Roman" w:hAnsi="Times New Roman" w:cs="Times New Roman"/>
          <w:color w:val="000000"/>
          <w:sz w:val="21"/>
          <w:szCs w:val="21"/>
          <w:lang w:val="pt-BR"/>
        </w:rPr>
        <w:t>em Conselho coerente com os itens deste Certame</w:t>
      </w:r>
      <w:r>
        <w:rPr>
          <w:rFonts w:hint="default" w:ascii="Times New Roman" w:hAnsi="Times New Roman" w:cs="Times New Roman"/>
          <w:color w:val="000000"/>
          <w:sz w:val="21"/>
          <w:szCs w:val="21"/>
        </w:rPr>
        <w:t>, sendo vedada a indicação de um mesmo responsável técnico para mais de uma licitante, sendo que a inobservância dessa condição inabilitará as licitantes envolvidas;</w:t>
      </w:r>
    </w:p>
    <w:p w14:paraId="7C0DEC87">
      <w:pPr>
        <w:pStyle w:val="50"/>
        <w:numPr>
          <w:ilvl w:val="2"/>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Prova de vínculo do Responsável Técnico com a empresa licitante. A comprovação pode ser feita da seguinte forma:</w:t>
      </w:r>
    </w:p>
    <w:p w14:paraId="37951FB2">
      <w:pPr>
        <w:pStyle w:val="50"/>
        <w:numPr>
          <w:ilvl w:val="3"/>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Apresentação do contrato social, quando o responsável técnico pertencer ao quadro societário da empresa;</w:t>
      </w:r>
    </w:p>
    <w:p w14:paraId="7EA6A4CF">
      <w:pPr>
        <w:pStyle w:val="50"/>
        <w:numPr>
          <w:ilvl w:val="3"/>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Apresentação de cópia da CTPS do responsável técnico com a devida anotação de emprego na licitante, ou outro documento trabalhista legalmente reconhecido que comprove o emprego na licitante;</w:t>
      </w:r>
    </w:p>
    <w:p w14:paraId="7AF20F07">
      <w:pPr>
        <w:pStyle w:val="50"/>
        <w:numPr>
          <w:ilvl w:val="3"/>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Apresentação do Contrato de natureza privada, que comprove o vínculo entre o responsável técnico e a licitantes.</w:t>
      </w:r>
    </w:p>
    <w:p w14:paraId="2742DB2A">
      <w:pPr>
        <w:pStyle w:val="50"/>
        <w:numPr>
          <w:ilvl w:val="2"/>
          <w:numId w:val="10"/>
        </w:numPr>
        <w:spacing w:before="120" w:beforeAutospacing="0" w:after="120" w:afterAutospacing="0"/>
        <w:ind w:left="1076" w:leftChars="327" w:hanging="357" w:hangingChars="170"/>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Comprovação de capacidade técnico-profissional, por meio de certidões ou atestado(s) regularmente emitidos </w:t>
      </w:r>
      <w:r>
        <w:rPr>
          <w:rFonts w:hint="default" w:ascii="Times New Roman" w:hAnsi="Times New Roman" w:cs="Times New Roman"/>
          <w:color w:val="000000"/>
          <w:sz w:val="21"/>
          <w:szCs w:val="21"/>
          <w:highlight w:val="none"/>
          <w:lang w:val="pt-BR"/>
        </w:rPr>
        <w:t>por</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lang w:val="pt-BR"/>
        </w:rPr>
        <w:t>Conselho coerente com os itens deste Certame</w:t>
      </w:r>
      <w:r>
        <w:rPr>
          <w:rFonts w:hint="default" w:ascii="Times New Roman" w:hAnsi="Times New Roman" w:cs="Times New Roman"/>
          <w:color w:val="000000"/>
          <w:sz w:val="21"/>
          <w:szCs w:val="21"/>
          <w:highlight w:val="none"/>
        </w:rPr>
        <w:t>, acompanhado</w:t>
      </w:r>
      <w:r>
        <w:rPr>
          <w:rFonts w:hint="default" w:ascii="Times New Roman" w:hAnsi="Times New Roman" w:cs="Times New Roman"/>
          <w:color w:val="000000"/>
          <w:sz w:val="21"/>
          <w:szCs w:val="21"/>
          <w:highlight w:val="none"/>
          <w:lang w:val="pt-BR"/>
        </w:rPr>
        <w:t>(s)</w:t>
      </w:r>
      <w:r>
        <w:rPr>
          <w:rFonts w:hint="default" w:ascii="Times New Roman" w:hAnsi="Times New Roman" w:cs="Times New Roman"/>
          <w:color w:val="000000"/>
          <w:sz w:val="21"/>
          <w:szCs w:val="21"/>
          <w:highlight w:val="none"/>
        </w:rPr>
        <w:t xml:space="preserve"> de Certidão de Acervo Técnico - CAT, comprovando que o(s) Responsável(is) Técnico(s)</w:t>
      </w:r>
      <w:r>
        <w:rPr>
          <w:rFonts w:hint="default" w:ascii="Times New Roman" w:hAnsi="Times New Roman" w:cs="Times New Roman"/>
          <w:color w:val="000000"/>
          <w:sz w:val="21"/>
          <w:szCs w:val="21"/>
          <w:highlight w:val="none"/>
          <w:lang w:val="pt-BR"/>
        </w:rPr>
        <w:t xml:space="preserve"> ou a Licitante</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lang w:val="pt-BR"/>
        </w:rPr>
        <w:t>elaborou</w:t>
      </w:r>
      <w:r>
        <w:rPr>
          <w:rFonts w:hint="default" w:ascii="Times New Roman" w:hAnsi="Times New Roman" w:cs="Times New Roman"/>
          <w:color w:val="000000"/>
          <w:sz w:val="21"/>
          <w:szCs w:val="21"/>
          <w:highlight w:val="none"/>
        </w:rPr>
        <w:t xml:space="preserve">(aram) projeto(s) com característica(s) similar/semelhante ao objeto ora licitado, </w:t>
      </w:r>
      <w:r>
        <w:rPr>
          <w:rFonts w:hint="default" w:ascii="Times New Roman" w:hAnsi="Times New Roman" w:cs="Times New Roman"/>
          <w:b/>
          <w:bCs/>
          <w:color w:val="000000"/>
          <w:sz w:val="21"/>
          <w:szCs w:val="21"/>
          <w:highlight w:val="none"/>
        </w:rPr>
        <w:t>em montante mínimo de 50% (cinquenta por cento) da quantidade descrita no</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FF"/>
          <w:sz w:val="21"/>
          <w:szCs w:val="21"/>
          <w:highlight w:val="none"/>
        </w:rPr>
        <w:fldChar w:fldCharType="begin"/>
      </w:r>
      <w:r>
        <w:rPr>
          <w:rFonts w:hint="default" w:ascii="Times New Roman" w:hAnsi="Times New Roman" w:cs="Times New Roman"/>
          <w:color w:val="0000FF"/>
          <w:sz w:val="21"/>
          <w:szCs w:val="21"/>
          <w:highlight w:val="none"/>
        </w:rPr>
        <w:instrText xml:space="preserve"> HYPERLINK \l "_ANEXO_I_-" </w:instrText>
      </w:r>
      <w:r>
        <w:rPr>
          <w:rFonts w:hint="default" w:ascii="Times New Roman" w:hAnsi="Times New Roman" w:cs="Times New Roman"/>
          <w:color w:val="0000FF"/>
          <w:sz w:val="21"/>
          <w:szCs w:val="21"/>
          <w:highlight w:val="none"/>
        </w:rPr>
        <w:fldChar w:fldCharType="separate"/>
      </w:r>
      <w:r>
        <w:rPr>
          <w:rStyle w:val="18"/>
          <w:rFonts w:hint="default" w:ascii="Times New Roman" w:hAnsi="Times New Roman" w:cs="Times New Roman"/>
          <w:color w:val="0000FF"/>
          <w:sz w:val="21"/>
          <w:szCs w:val="21"/>
          <w:highlight w:val="none"/>
        </w:rPr>
        <w:t xml:space="preserve">Anexo I - </w:t>
      </w:r>
      <w:r>
        <w:rPr>
          <w:rStyle w:val="18"/>
          <w:rFonts w:hint="default" w:ascii="Times New Roman" w:hAnsi="Times New Roman" w:cs="Times New Roman"/>
          <w:color w:val="0000FF"/>
          <w:sz w:val="21"/>
          <w:szCs w:val="21"/>
          <w:highlight w:val="none"/>
          <w:lang w:val="pt-BR"/>
        </w:rPr>
        <w:t>T</w:t>
      </w:r>
      <w:r>
        <w:rPr>
          <w:rStyle w:val="22"/>
          <w:rFonts w:hint="default" w:ascii="Times New Roman" w:hAnsi="Times New Roman" w:cs="Times New Roman"/>
          <w:color w:val="0000FF"/>
          <w:sz w:val="21"/>
          <w:szCs w:val="21"/>
          <w:highlight w:val="none"/>
        </w:rPr>
        <w:fldChar w:fldCharType="end"/>
      </w:r>
      <w:r>
        <w:rPr>
          <w:rStyle w:val="22"/>
          <w:rFonts w:hint="default" w:ascii="Times New Roman" w:hAnsi="Times New Roman" w:cs="Times New Roman"/>
          <w:color w:val="0000FF"/>
          <w:sz w:val="21"/>
          <w:szCs w:val="21"/>
          <w:highlight w:val="none"/>
          <w:lang w:val="pt-BR"/>
        </w:rPr>
        <w:t>ermo de Referência</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lang w:val="pt-BR"/>
        </w:rPr>
        <w:t xml:space="preserve">não sendo aceita a somatória de documentos distintos. </w:t>
      </w:r>
      <w:r>
        <w:rPr>
          <w:rFonts w:hint="default" w:ascii="Times New Roman" w:hAnsi="Times New Roman" w:cs="Times New Roman"/>
          <w:color w:val="0000FF"/>
          <w:sz w:val="21"/>
          <w:szCs w:val="21"/>
          <w:highlight w:val="none"/>
        </w:rPr>
        <w:t>(</w:t>
      </w:r>
      <w:r>
        <w:rPr>
          <w:rFonts w:hint="default" w:ascii="Times New Roman" w:hAnsi="Times New Roman" w:cs="Times New Roman"/>
          <w:color w:val="0000FF"/>
          <w:sz w:val="21"/>
          <w:szCs w:val="21"/>
          <w:highlight w:val="none"/>
        </w:rPr>
        <w:fldChar w:fldCharType="begin"/>
      </w:r>
      <w:r>
        <w:rPr>
          <w:rFonts w:hint="default" w:ascii="Times New Roman" w:hAnsi="Times New Roman" w:cs="Times New Roman"/>
          <w:color w:val="0000FF"/>
          <w:sz w:val="21"/>
          <w:szCs w:val="21"/>
          <w:highlight w:val="none"/>
        </w:rPr>
        <w:instrText xml:space="preserve"> HYPERLINK "https://www.planalto.gov.br/ccivil_03/_ato2019-2022/2021/lei/l14133.htm" \l "art67" </w:instrText>
      </w:r>
      <w:r>
        <w:rPr>
          <w:rFonts w:hint="default" w:ascii="Times New Roman" w:hAnsi="Times New Roman" w:cs="Times New Roman"/>
          <w:color w:val="0000FF"/>
          <w:sz w:val="21"/>
          <w:szCs w:val="21"/>
          <w:highlight w:val="none"/>
        </w:rPr>
        <w:fldChar w:fldCharType="separate"/>
      </w:r>
      <w:r>
        <w:rPr>
          <w:rStyle w:val="22"/>
          <w:rFonts w:hint="default" w:ascii="Times New Roman" w:hAnsi="Times New Roman" w:cs="Times New Roman"/>
          <w:color w:val="0000FF"/>
          <w:sz w:val="21"/>
          <w:szCs w:val="21"/>
          <w:highlight w:val="none"/>
        </w:rPr>
        <w:t>art. 67, I e §§ 1º e 2º, da Lei Federal nº 14.133, de 2021</w:t>
      </w:r>
      <w:r>
        <w:rPr>
          <w:rStyle w:val="22"/>
          <w:rFonts w:hint="default" w:ascii="Times New Roman" w:hAnsi="Times New Roman" w:cs="Times New Roman"/>
          <w:color w:val="0000FF"/>
          <w:sz w:val="21"/>
          <w:szCs w:val="21"/>
          <w:highlight w:val="none"/>
        </w:rPr>
        <w:fldChar w:fldCharType="end"/>
      </w:r>
      <w:r>
        <w:rPr>
          <w:rFonts w:hint="default" w:ascii="Times New Roman" w:hAnsi="Times New Roman" w:cs="Times New Roman"/>
          <w:color w:val="0000FF"/>
          <w:sz w:val="21"/>
          <w:szCs w:val="21"/>
          <w:highlight w:val="none"/>
        </w:rPr>
        <w:t>)</w:t>
      </w:r>
    </w:p>
    <w:p w14:paraId="62514DB0">
      <w:pPr>
        <w:pStyle w:val="181"/>
        <w:numPr>
          <w:ilvl w:val="0"/>
          <w:numId w:val="0"/>
        </w:numPr>
        <w:ind w:left="1076" w:leftChars="327" w:hanging="357" w:hangingChars="170"/>
        <w:jc w:val="both"/>
        <w:rPr>
          <w:rFonts w:ascii="Times New Roman" w:hAnsi="Times New Roman" w:eastAsia="Calibri" w:cs="Times New Roman"/>
          <w:b/>
          <w:bCs/>
          <w:color w:val="000000"/>
          <w:sz w:val="21"/>
          <w:szCs w:val="21"/>
        </w:rPr>
      </w:pPr>
    </w:p>
    <w:p w14:paraId="42B5355D">
      <w:pPr>
        <w:pStyle w:val="181"/>
        <w:widowControl/>
        <w:numPr>
          <w:ilvl w:val="0"/>
          <w:numId w:val="0"/>
        </w:numPr>
        <w:suppressAutoHyphens/>
        <w:bidi w:val="0"/>
        <w:spacing w:before="0" w:after="0" w:line="100" w:lineRule="atLeast"/>
        <w:ind w:left="1076" w:leftChars="327" w:right="0" w:hanging="357" w:hangingChars="170"/>
        <w:jc w:val="both"/>
        <w:rPr>
          <w:rFonts w:ascii="Times New Roman" w:hAnsi="Times New Roman"/>
          <w:sz w:val="21"/>
          <w:szCs w:val="21"/>
        </w:rPr>
      </w:pPr>
      <w:r>
        <w:rPr>
          <w:rFonts w:hint="default" w:ascii="Times New Roman" w:hAnsi="Times New Roman" w:cs="Times New Roman"/>
          <w:b/>
          <w:bCs/>
          <w:color w:val="000000"/>
          <w:sz w:val="21"/>
          <w:szCs w:val="21"/>
          <w:shd w:val="clear" w:fill="auto"/>
          <w:lang w:val="pt-BR"/>
        </w:rPr>
        <w:t>e</w:t>
      </w:r>
      <w:r>
        <w:rPr>
          <w:rFonts w:ascii="Times New Roman" w:hAnsi="Times New Roman" w:cs="Times New Roman" w:eastAsiaTheme="minorHAnsi"/>
          <w:b/>
          <w:bCs/>
          <w:color w:val="000000"/>
          <w:sz w:val="21"/>
          <w:szCs w:val="21"/>
          <w:shd w:val="clear" w:fill="auto"/>
        </w:rPr>
        <w:t xml:space="preserve">) </w:t>
      </w:r>
      <w:r>
        <w:rPr>
          <w:rFonts w:ascii="Times New Roman" w:hAnsi="Times New Roman" w:cs="Times New Roman" w:eastAsiaTheme="minorHAnsi"/>
          <w:color w:val="000000"/>
          <w:sz w:val="21"/>
          <w:szCs w:val="21"/>
          <w:shd w:val="clear" w:fill="auto"/>
        </w:rPr>
        <w:t xml:space="preserve">A Câmara de Primavera do Leste para comprovar a veracidade dos atestados, poderá </w:t>
      </w:r>
      <w:r>
        <w:rPr>
          <w:rFonts w:hint="default" w:ascii="Times New Roman" w:hAnsi="Times New Roman" w:cs="Times New Roman"/>
          <w:color w:val="000000"/>
          <w:sz w:val="21"/>
          <w:szCs w:val="21"/>
          <w:shd w:val="clear" w:fill="auto"/>
          <w:lang w:val="pt-BR"/>
        </w:rPr>
        <w:t xml:space="preserve">diligenciar e até mesmo </w:t>
      </w:r>
      <w:r>
        <w:rPr>
          <w:rFonts w:ascii="Times New Roman" w:hAnsi="Times New Roman" w:cs="Times New Roman" w:eastAsiaTheme="minorHAnsi"/>
          <w:color w:val="000000"/>
          <w:sz w:val="21"/>
          <w:szCs w:val="21"/>
          <w:shd w:val="clear" w:fill="auto"/>
        </w:rPr>
        <w:t>requisitar cópias dos respectivos contratos</w:t>
      </w:r>
      <w:r>
        <w:rPr>
          <w:rFonts w:hint="default" w:ascii="Times New Roman" w:hAnsi="Times New Roman" w:cs="Times New Roman"/>
          <w:color w:val="000000"/>
          <w:sz w:val="21"/>
          <w:szCs w:val="21"/>
          <w:shd w:val="clear" w:fill="auto"/>
          <w:lang w:val="pt-BR"/>
        </w:rPr>
        <w:t>,</w:t>
      </w:r>
      <w:r>
        <w:rPr>
          <w:rFonts w:ascii="Times New Roman" w:hAnsi="Times New Roman" w:cs="Times New Roman" w:eastAsiaTheme="minorHAnsi"/>
          <w:color w:val="000000"/>
          <w:sz w:val="21"/>
          <w:szCs w:val="21"/>
          <w:shd w:val="clear" w:fill="auto"/>
        </w:rPr>
        <w:t xml:space="preserve"> aditivos e/ou outros documentos comprobatórios do conteúdo declarado.</w:t>
      </w:r>
    </w:p>
    <w:p w14:paraId="7770A914">
      <w:pPr>
        <w:pStyle w:val="181"/>
        <w:numPr>
          <w:ilvl w:val="0"/>
          <w:numId w:val="0"/>
        </w:numPr>
        <w:ind w:left="1076" w:leftChars="327" w:hanging="357" w:hangingChars="170"/>
        <w:jc w:val="both"/>
        <w:rPr>
          <w:rFonts w:ascii="Times New Roman" w:hAnsi="Times New Roman"/>
          <w:sz w:val="21"/>
          <w:szCs w:val="21"/>
        </w:rPr>
      </w:pPr>
      <w:r>
        <w:rPr>
          <w:rFonts w:ascii="Times New Roman" w:hAnsi="Times New Roman" w:cs="Times New Roman" w:eastAsiaTheme="minorHAnsi"/>
          <w:color w:val="000000"/>
          <w:sz w:val="21"/>
          <w:szCs w:val="21"/>
          <w:shd w:val="clear" w:fill="auto"/>
        </w:rPr>
        <w:t xml:space="preserve"> </w:t>
      </w:r>
    </w:p>
    <w:p w14:paraId="47EF8F37">
      <w:pPr>
        <w:pStyle w:val="181"/>
        <w:numPr>
          <w:ilvl w:val="0"/>
          <w:numId w:val="0"/>
        </w:numPr>
        <w:ind w:left="1076" w:leftChars="327" w:hanging="357" w:hangingChars="170"/>
        <w:jc w:val="both"/>
        <w:rPr>
          <w:rFonts w:ascii="Times New Roman" w:hAnsi="Times New Roman"/>
          <w:sz w:val="21"/>
          <w:szCs w:val="21"/>
        </w:rPr>
      </w:pPr>
      <w:r>
        <w:rPr>
          <w:rFonts w:hint="default" w:ascii="Times New Roman" w:hAnsi="Times New Roman" w:cs="Times New Roman"/>
          <w:b/>
          <w:bCs/>
          <w:color w:val="000000"/>
          <w:sz w:val="21"/>
          <w:szCs w:val="21"/>
          <w:shd w:val="clear" w:fill="auto"/>
          <w:lang w:val="pt-BR"/>
        </w:rPr>
        <w:t>f</w:t>
      </w:r>
      <w:r>
        <w:rPr>
          <w:rFonts w:ascii="Times New Roman" w:hAnsi="Times New Roman" w:cs="Times New Roman" w:eastAsiaTheme="minorHAnsi"/>
          <w:b/>
          <w:bCs/>
          <w:color w:val="000000"/>
          <w:sz w:val="21"/>
          <w:szCs w:val="21"/>
          <w:shd w:val="clear" w:fill="auto"/>
        </w:rPr>
        <w:t>)</w:t>
      </w:r>
      <w:r>
        <w:rPr>
          <w:rFonts w:ascii="Times New Roman" w:hAnsi="Times New Roman" w:cs="Times New Roman" w:eastAsiaTheme="minorHAnsi"/>
          <w:color w:val="000000"/>
          <w:sz w:val="21"/>
          <w:szCs w:val="21"/>
          <w:shd w:val="clear" w:fill="auto"/>
        </w:rPr>
        <w:t xml:space="preserve"> </w:t>
      </w:r>
      <w:r>
        <w:rPr>
          <w:rFonts w:ascii="Times New Roman" w:hAnsi="Times New Roman" w:cs="Times New Roman"/>
          <w:color w:val="000000"/>
          <w:sz w:val="21"/>
          <w:szCs w:val="21"/>
          <w:shd w:val="clear" w:fill="auto"/>
          <w:lang w:val="pt-BR"/>
        </w:rPr>
        <w:t>D</w:t>
      </w:r>
      <w:r>
        <w:rPr>
          <w:rFonts w:ascii="Times New Roman" w:hAnsi="Times New Roman" w:cs="Times New Roman" w:eastAsiaTheme="minorHAnsi"/>
          <w:color w:val="000000"/>
          <w:sz w:val="21"/>
          <w:szCs w:val="21"/>
          <w:shd w:val="clear" w:fill="auto"/>
        </w:rPr>
        <w:t>emais itens relativ</w:t>
      </w:r>
      <w:r>
        <w:rPr>
          <w:rFonts w:ascii="Times New Roman" w:hAnsi="Times New Roman" w:cs="Times New Roman"/>
          <w:color w:val="000000"/>
          <w:sz w:val="21"/>
          <w:szCs w:val="21"/>
          <w:shd w:val="clear" w:fill="auto"/>
          <w:lang w:val="pt-BR"/>
        </w:rPr>
        <w:t>os</w:t>
      </w:r>
      <w:r>
        <w:rPr>
          <w:rFonts w:ascii="Times New Roman" w:hAnsi="Times New Roman" w:cs="Times New Roman" w:eastAsiaTheme="minorHAnsi"/>
          <w:color w:val="000000"/>
          <w:sz w:val="21"/>
          <w:szCs w:val="21"/>
          <w:shd w:val="clear" w:fill="auto"/>
        </w:rPr>
        <w:t xml:space="preserve"> à qualificação técnica</w:t>
      </w:r>
      <w:r>
        <w:rPr>
          <w:rFonts w:ascii="Times New Roman" w:hAnsi="Times New Roman" w:cs="Times New Roman"/>
          <w:color w:val="000000"/>
          <w:sz w:val="21"/>
          <w:szCs w:val="21"/>
          <w:shd w:val="clear" w:fill="auto"/>
          <w:lang w:val="pt-BR"/>
        </w:rPr>
        <w:t xml:space="preserve"> </w:t>
      </w:r>
      <w:r>
        <w:rPr>
          <w:rFonts w:ascii="Times New Roman" w:hAnsi="Times New Roman" w:cs="Times New Roman" w:eastAsiaTheme="minorHAnsi"/>
          <w:color w:val="000000"/>
          <w:sz w:val="21"/>
          <w:szCs w:val="21"/>
          <w:shd w:val="clear" w:fill="auto"/>
        </w:rPr>
        <w:t xml:space="preserve">solicitados no Anexo I  - Termo de Referência. </w:t>
      </w:r>
    </w:p>
    <w:p w14:paraId="324BC04E">
      <w:pPr>
        <w:pStyle w:val="2"/>
        <w:spacing w:before="360" w:after="0"/>
        <w:rPr>
          <w:sz w:val="21"/>
          <w:szCs w:val="21"/>
        </w:rPr>
      </w:pPr>
      <w:bookmarkStart w:id="36" w:name="_Toc149517451"/>
      <w:r>
        <w:rPr>
          <w:rStyle w:val="53"/>
          <w:sz w:val="21"/>
          <w:szCs w:val="21"/>
        </w:rPr>
        <w:t>REGULARIDADE FISCAL, SOCIAL E TRABALHISTA</w:t>
      </w:r>
      <w:bookmarkEnd w:id="36"/>
    </w:p>
    <w:p w14:paraId="22E3380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As habilitações fiscal, social e trabalhista serão aferidas mediante a verificação dos seguintes requisitos:</w:t>
      </w:r>
    </w:p>
    <w:p w14:paraId="6FF72CD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inscrição no Cadastro Nacional da Pessoa Jurídica (CNPJ);</w:t>
      </w:r>
    </w:p>
    <w:p w14:paraId="3CC0C4B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Fazenda federal, estadual e municipal do domicílio ou sede do licitante, ou outra equivalente, na forma da lei;</w:t>
      </w:r>
    </w:p>
    <w:p w14:paraId="5A4EF7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relativa à Seguridade Social e ao FGTS, que demonstre cumprimento dos encargos sociais instituídos por lei;</w:t>
      </w:r>
    </w:p>
    <w:p w14:paraId="41F5B38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Justiça do Trabalho;</w:t>
      </w:r>
    </w:p>
    <w:p w14:paraId="0C083E8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cumprimento do disposto no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7º, inc. XXXIII, da Constituição Federal de 1988</w:t>
      </w:r>
      <w:r>
        <w:rPr>
          <w:rStyle w:val="62"/>
          <w:sz w:val="21"/>
          <w:szCs w:val="21"/>
        </w:rPr>
        <w:fldChar w:fldCharType="end"/>
      </w:r>
      <w:r>
        <w:rPr>
          <w:color w:val="000000"/>
          <w:sz w:val="21"/>
          <w:szCs w:val="21"/>
        </w:rPr>
        <w:t>.</w:t>
      </w:r>
    </w:p>
    <w:p w14:paraId="6D156C2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Serão aceitas certidões negativas e certidões positivas com efeito de negativas.</w:t>
      </w:r>
    </w:p>
    <w:p w14:paraId="42B04F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2237662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33B5F6DF">
      <w:pPr>
        <w:pStyle w:val="2"/>
        <w:spacing w:before="360" w:after="0"/>
        <w:rPr>
          <w:sz w:val="21"/>
          <w:szCs w:val="21"/>
        </w:rPr>
      </w:pPr>
      <w:bookmarkStart w:id="37" w:name="_Toc149517452"/>
      <w:r>
        <w:rPr>
          <w:rStyle w:val="53"/>
          <w:sz w:val="21"/>
          <w:szCs w:val="21"/>
        </w:rPr>
        <w:t>HABILITAÇÃO ECONÔMICO-FINANCEIRA</w:t>
      </w:r>
      <w:bookmarkEnd w:id="37"/>
    </w:p>
    <w:p w14:paraId="3E32A2BB">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bookmarkStart w:id="38" w:name="_Toc149517453"/>
      <w:r>
        <w:rPr>
          <w:rFonts w:hint="default" w:ascii="Times New Roman" w:hAnsi="Times New Roman" w:cs="Times New Roman"/>
          <w:color w:val="000000"/>
          <w:sz w:val="21"/>
          <w:szCs w:val="21"/>
          <w:highlight w:val="none"/>
        </w:rPr>
        <w:t>Balanço Patrimonial, demonstração de resultado de exercício e demais demonstrações contábeis dos 2 (dois) últimos exercícios sociais</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"art69"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art. 69</w:t>
      </w:r>
      <w:r>
        <w:rPr>
          <w:rStyle w:val="22"/>
          <w:rFonts w:hint="default" w:ascii="Times New Roman" w:hAnsi="Times New Roman" w:cs="Times New Roman"/>
          <w:sz w:val="21"/>
          <w:szCs w:val="21"/>
          <w:highlight w:val="none"/>
          <w:lang w:val="pt-BR"/>
        </w:rPr>
        <w:t>, I,</w:t>
      </w:r>
      <w:r>
        <w:rPr>
          <w:rStyle w:val="22"/>
          <w:rFonts w:hint="default" w:ascii="Times New Roman" w:hAnsi="Times New Roman" w:cs="Times New Roman"/>
          <w:sz w:val="21"/>
          <w:szCs w:val="21"/>
          <w:highlight w:val="none"/>
        </w:rPr>
        <w:t xml:space="preserve"> da Lei Federal nº 14.133, de 2021</w:t>
      </w:r>
      <w:r>
        <w:rPr>
          <w:rStyle w:val="22"/>
          <w:rFonts w:hint="default" w:ascii="Times New Roman" w:hAnsi="Times New Roman" w:cs="Times New Roman"/>
          <w:sz w:val="21"/>
          <w:szCs w:val="21"/>
          <w:highlight w:val="none"/>
        </w:rPr>
        <w:fldChar w:fldCharType="end"/>
      </w:r>
      <w:r>
        <w:rPr>
          <w:rStyle w:val="22"/>
          <w:rFonts w:hint="default" w:ascii="Times New Roman" w:hAnsi="Times New Roman" w:cs="Times New Roman"/>
          <w:sz w:val="21"/>
          <w:szCs w:val="21"/>
          <w:highlight w:val="none"/>
          <w:lang w:val="pt-BR"/>
        </w:rPr>
        <w:t>)</w:t>
      </w:r>
      <w:r>
        <w:rPr>
          <w:rFonts w:hint="default" w:ascii="Times New Roman" w:hAnsi="Times New Roman" w:cs="Times New Roman"/>
          <w:color w:val="000000"/>
          <w:sz w:val="21"/>
          <w:szCs w:val="21"/>
          <w:highlight w:val="none"/>
          <w:lang w:val="pt-BR"/>
        </w:rPr>
        <w:t>.</w:t>
      </w:r>
    </w:p>
    <w:p w14:paraId="3D288F1F">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Certidão Negativa de Feitos sobre Falência expedida pelo distribuidor da sede do licitante</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"art69"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art. 69</w:t>
      </w:r>
      <w:r>
        <w:rPr>
          <w:rStyle w:val="22"/>
          <w:rFonts w:hint="default" w:ascii="Times New Roman" w:hAnsi="Times New Roman" w:cs="Times New Roman"/>
          <w:sz w:val="21"/>
          <w:szCs w:val="21"/>
          <w:highlight w:val="none"/>
          <w:lang w:val="pt-BR"/>
        </w:rPr>
        <w:t>, II,</w:t>
      </w:r>
      <w:r>
        <w:rPr>
          <w:rStyle w:val="22"/>
          <w:rFonts w:hint="default" w:ascii="Times New Roman" w:hAnsi="Times New Roman" w:cs="Times New Roman"/>
          <w:sz w:val="21"/>
          <w:szCs w:val="21"/>
          <w:highlight w:val="none"/>
        </w:rPr>
        <w:t xml:space="preserve"> da Lei Federal nº 14.133, de 2021</w:t>
      </w:r>
      <w:r>
        <w:rPr>
          <w:rStyle w:val="22"/>
          <w:rFonts w:hint="default" w:ascii="Times New Roman" w:hAnsi="Times New Roman" w:cs="Times New Roman"/>
          <w:sz w:val="21"/>
          <w:szCs w:val="21"/>
          <w:highlight w:val="none"/>
        </w:rPr>
        <w:fldChar w:fldCharType="end"/>
      </w:r>
      <w:r>
        <w:rPr>
          <w:rStyle w:val="22"/>
          <w:rFonts w:hint="default" w:ascii="Times New Roman" w:hAnsi="Times New Roman" w:cs="Times New Roman"/>
          <w:sz w:val="21"/>
          <w:szCs w:val="21"/>
          <w:highlight w:val="none"/>
          <w:lang w:val="pt-BR"/>
        </w:rPr>
        <w:t>)</w:t>
      </w:r>
      <w:r>
        <w:rPr>
          <w:rFonts w:hint="default" w:ascii="Times New Roman" w:hAnsi="Times New Roman" w:cs="Times New Roman"/>
          <w:color w:val="000000"/>
          <w:sz w:val="21"/>
          <w:szCs w:val="21"/>
          <w:highlight w:val="none"/>
          <w:lang w:val="pt-BR"/>
        </w:rPr>
        <w:t>.</w:t>
      </w:r>
    </w:p>
    <w:p w14:paraId="67167F2E">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pt-BR"/>
        </w:rPr>
        <w:t xml:space="preserve">Comprovação de Capital ou de Patrimônio Líquido </w:t>
      </w:r>
      <w:r>
        <w:rPr>
          <w:rFonts w:hint="default" w:ascii="Times New Roman" w:hAnsi="Times New Roman" w:cs="Times New Roman"/>
          <w:b/>
          <w:bCs/>
          <w:color w:val="000000"/>
          <w:sz w:val="21"/>
          <w:szCs w:val="21"/>
          <w:highlight w:val="none"/>
          <w:lang w:val="pt-BR"/>
        </w:rPr>
        <w:t>mínimo de 10% (dez por cento) do valor estimado da contratação</w:t>
      </w:r>
      <w:r>
        <w:rPr>
          <w:rFonts w:hint="default" w:ascii="Times New Roman" w:hAnsi="Times New Roman" w:cs="Times New Roman"/>
          <w:b w:val="0"/>
          <w:bCs w:val="0"/>
          <w:color w:val="000000"/>
          <w:sz w:val="21"/>
          <w:szCs w:val="21"/>
          <w:highlight w:val="none"/>
          <w:lang w:val="pt-BR"/>
        </w:rPr>
        <w:t>.</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"art69" </w:instrText>
      </w:r>
      <w:r>
        <w:rPr>
          <w:rFonts w:hint="default" w:ascii="Times New Roman" w:hAnsi="Times New Roman" w:cs="Times New Roman"/>
          <w:sz w:val="21"/>
          <w:szCs w:val="21"/>
          <w:highlight w:val="none"/>
        </w:rPr>
        <w:fldChar w:fldCharType="separate"/>
      </w:r>
      <w:r>
        <w:rPr>
          <w:rStyle w:val="22"/>
          <w:rFonts w:hint="default" w:ascii="Times New Roman" w:hAnsi="Times New Roman" w:cs="Times New Roman"/>
          <w:sz w:val="21"/>
          <w:szCs w:val="21"/>
          <w:highlight w:val="none"/>
        </w:rPr>
        <w:t>art. 69</w:t>
      </w:r>
      <w:r>
        <w:rPr>
          <w:rStyle w:val="22"/>
          <w:rFonts w:hint="default" w:ascii="Times New Roman" w:hAnsi="Times New Roman" w:cs="Times New Roman"/>
          <w:sz w:val="21"/>
          <w:szCs w:val="21"/>
          <w:highlight w:val="none"/>
          <w:lang w:val="pt-BR"/>
        </w:rPr>
        <w:t>, § 4º,</w:t>
      </w:r>
      <w:r>
        <w:rPr>
          <w:rStyle w:val="22"/>
          <w:rFonts w:hint="default" w:ascii="Times New Roman" w:hAnsi="Times New Roman" w:cs="Times New Roman"/>
          <w:sz w:val="21"/>
          <w:szCs w:val="21"/>
          <w:highlight w:val="none"/>
        </w:rPr>
        <w:t xml:space="preserve"> da Lei Federal nº 14.133, de 2021</w:t>
      </w:r>
      <w:r>
        <w:rPr>
          <w:rStyle w:val="22"/>
          <w:rFonts w:hint="default" w:ascii="Times New Roman" w:hAnsi="Times New Roman" w:cs="Times New Roman"/>
          <w:sz w:val="21"/>
          <w:szCs w:val="21"/>
          <w:highlight w:val="none"/>
        </w:rPr>
        <w:fldChar w:fldCharType="end"/>
      </w:r>
      <w:r>
        <w:rPr>
          <w:rStyle w:val="22"/>
          <w:rFonts w:hint="default" w:ascii="Times New Roman" w:hAnsi="Times New Roman" w:cs="Times New Roman"/>
          <w:sz w:val="21"/>
          <w:szCs w:val="21"/>
          <w:highlight w:val="none"/>
          <w:lang w:val="pt-BR"/>
        </w:rPr>
        <w:t>)</w:t>
      </w:r>
      <w:r>
        <w:rPr>
          <w:rFonts w:hint="default" w:ascii="Times New Roman" w:hAnsi="Times New Roman" w:cs="Times New Roman"/>
          <w:color w:val="000000"/>
          <w:sz w:val="21"/>
          <w:szCs w:val="21"/>
          <w:highlight w:val="none"/>
          <w:lang w:val="pt-BR"/>
        </w:rPr>
        <w:t>.</w:t>
      </w:r>
    </w:p>
    <w:p w14:paraId="6C877B87">
      <w:pPr>
        <w:pStyle w:val="2"/>
        <w:spacing w:before="360" w:after="0"/>
        <w:rPr>
          <w:sz w:val="21"/>
          <w:szCs w:val="21"/>
        </w:rPr>
      </w:pPr>
      <w:r>
        <w:rPr>
          <w:rStyle w:val="53"/>
          <w:sz w:val="21"/>
          <w:szCs w:val="21"/>
        </w:rPr>
        <w:t>OUTROS DOCUMENTOS</w:t>
      </w:r>
      <w:bookmarkEnd w:id="38"/>
    </w:p>
    <w:p w14:paraId="38B898E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Sob pena de inabilitação, o licitante deverá apresentar declarações, conforme modelo constante no </w:t>
      </w:r>
      <w:r>
        <w:rPr>
          <w:sz w:val="21"/>
          <w:szCs w:val="21"/>
        </w:rPr>
        <w:fldChar w:fldCharType="begin"/>
      </w:r>
      <w:r>
        <w:rPr>
          <w:sz w:val="21"/>
          <w:szCs w:val="21"/>
        </w:rPr>
        <w:instrText xml:space="preserve"> HYPERLINK \l "_ANEXO_III_-" \h </w:instrText>
      </w:r>
      <w:r>
        <w:rPr>
          <w:sz w:val="21"/>
          <w:szCs w:val="21"/>
        </w:rPr>
        <w:fldChar w:fldCharType="separate"/>
      </w:r>
      <w:r>
        <w:rPr>
          <w:rStyle w:val="62"/>
          <w:sz w:val="21"/>
          <w:szCs w:val="21"/>
        </w:rPr>
        <w:t>Anexo III - Modelo de Declarações</w:t>
      </w:r>
      <w:r>
        <w:rPr>
          <w:rStyle w:val="62"/>
          <w:sz w:val="21"/>
          <w:szCs w:val="21"/>
        </w:rPr>
        <w:fldChar w:fldCharType="end"/>
      </w:r>
      <w:r>
        <w:rPr>
          <w:color w:val="000000"/>
          <w:sz w:val="21"/>
          <w:szCs w:val="21"/>
        </w:rPr>
        <w:t>, de que:</w:t>
      </w:r>
    </w:p>
    <w:p w14:paraId="663772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45EF7788">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29B4D0FD">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575D859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não possui empregados executando trabalho degradante ou forçado, observando o disposto nos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incisos III e IV do art. 1º e no inciso III do art. 5º da Constituição Federal de 1988</w:t>
      </w:r>
      <w:r>
        <w:rPr>
          <w:rStyle w:val="62"/>
          <w:sz w:val="21"/>
          <w:szCs w:val="21"/>
        </w:rPr>
        <w:fldChar w:fldCharType="end"/>
      </w:r>
      <w:r>
        <w:rPr>
          <w:sz w:val="21"/>
          <w:szCs w:val="21"/>
        </w:rPr>
        <w:t>;</w:t>
      </w:r>
    </w:p>
    <w:p w14:paraId="70F7D14A">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mantém vínculo de natureza técnica, comercial, econômica, financeira, trabalhista ou civil com dirigente da </w:t>
      </w:r>
      <w:bookmarkStart w:id="39" w:name="_Hlk149515729"/>
      <w:r>
        <w:rPr>
          <w:color w:val="000000"/>
          <w:sz w:val="21"/>
          <w:szCs w:val="21"/>
        </w:rPr>
        <w:t>Câmara Municipal de Primavera do Leste - MT</w:t>
      </w:r>
      <w:bookmarkEnd w:id="39"/>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24BDDB6F">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C76B06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bookmarkStart w:id="40" w:name="_Ref117000019"/>
      <w:r>
        <w:rPr>
          <w:sz w:val="21"/>
          <w:szCs w:val="21"/>
        </w:rPr>
        <w:t xml:space="preserve">O </w:t>
      </w:r>
      <w:r>
        <w:rPr>
          <w:color w:val="000000"/>
          <w:sz w:val="21"/>
          <w:szCs w:val="21"/>
        </w:rPr>
        <w:t>fornecedor</w:t>
      </w:r>
      <w:r>
        <w:rPr>
          <w:sz w:val="21"/>
          <w:szCs w:val="21"/>
        </w:rPr>
        <w:t xml:space="preserv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em seus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bookmarkEnd w:id="40"/>
      <w:r>
        <w:rPr>
          <w:rStyle w:val="62"/>
          <w:sz w:val="21"/>
          <w:szCs w:val="21"/>
        </w:rPr>
        <w:t>arts. 42 a 49</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 1º ao 3º do art. 4º, da Lei Federal nº 14.133, de 2021.</w:t>
      </w:r>
      <w:r>
        <w:rPr>
          <w:rStyle w:val="62"/>
          <w:sz w:val="21"/>
          <w:szCs w:val="21"/>
        </w:rPr>
        <w:fldChar w:fldCharType="end"/>
      </w:r>
    </w:p>
    <w:p w14:paraId="5407592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declaração falsa relativa ao cumprimento de qualquer condição sujeitará o licitante às sanções previstas em lei e neste Edital, em especial a infração administrativa prevista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IV, da Lei Federal nº 14.133, de 2021</w:t>
      </w:r>
      <w:r>
        <w:rPr>
          <w:rStyle w:val="62"/>
          <w:sz w:val="21"/>
          <w:szCs w:val="21"/>
        </w:rPr>
        <w:fldChar w:fldCharType="end"/>
      </w:r>
      <w:r>
        <w:rPr>
          <w:color w:val="000000"/>
          <w:sz w:val="21"/>
          <w:szCs w:val="21"/>
        </w:rPr>
        <w:t>.</w:t>
      </w:r>
    </w:p>
    <w:p w14:paraId="23BAEA79">
      <w:pPr>
        <w:pStyle w:val="2"/>
        <w:spacing w:before="360" w:after="0"/>
        <w:rPr>
          <w:sz w:val="21"/>
          <w:szCs w:val="21"/>
        </w:rPr>
      </w:pPr>
      <w:bookmarkStart w:id="41" w:name="_Toc149517454"/>
      <w:r>
        <w:rPr>
          <w:rStyle w:val="53"/>
          <w:sz w:val="21"/>
          <w:szCs w:val="21"/>
        </w:rPr>
        <w:t>ENCAMINHAMENTO DA PROPOSTA VENCEDORA</w:t>
      </w:r>
      <w:bookmarkEnd w:id="41"/>
    </w:p>
    <w:p w14:paraId="3A808B1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final do licitante habilitado e declarado vencedor deverá ser encaminhada no prazo de 2 (duas) horas, a contar da solicitação do </w:t>
      </w:r>
      <w:r>
        <w:rPr>
          <w:sz w:val="21"/>
          <w:szCs w:val="21"/>
        </w:rPr>
        <w:t>Pregoeiro</w:t>
      </w:r>
      <w:r>
        <w:rPr>
          <w:color w:val="000000"/>
          <w:sz w:val="21"/>
          <w:szCs w:val="21"/>
        </w:rPr>
        <w:t xml:space="preserve"> no sistema eletrônico e deverá:</w:t>
      </w:r>
    </w:p>
    <w:p w14:paraId="2D5A131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05B2E2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indicação do banco, número da conta e agência do licitante vencedor, para fins de pagamento;</w:t>
      </w:r>
    </w:p>
    <w:p w14:paraId="27D9E4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os dados pessoais do responsável pela assinatura da contratação, devendo ser enviado cópia dos documentos pessoais e documento que comprove a representatividade.</w:t>
      </w:r>
    </w:p>
    <w:p w14:paraId="7BE1C2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final deverá ser documentada nos autos e será levada em consideração no decorrer da execução do contrato e aplicação de eventual sanção administrativa à futura contratada, se for o caso.</w:t>
      </w:r>
    </w:p>
    <w:p w14:paraId="4CB12F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Todas as especificações do objeto contidas na proposta, tais como marca, modelo, tipo, fabricante e procedência, vinculam a futura contratada.</w:t>
      </w:r>
    </w:p>
    <w:p w14:paraId="620879F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preços deverão ser expressos em moeda corrente nacional, o valor unitário em algarismos e o valor global em algarismos (</w:t>
      </w:r>
      <w:r>
        <w:rPr>
          <w:sz w:val="21"/>
          <w:szCs w:val="21"/>
        </w:rPr>
        <w:fldChar w:fldCharType="begin"/>
      </w:r>
      <w:r>
        <w:rPr>
          <w:rStyle w:val="62"/>
          <w:sz w:val="21"/>
          <w:szCs w:val="21"/>
        </w:rPr>
        <w:instrText xml:space="preserve"> HYPERLINK "https://www.planalto.gov.br/ccivil_03/_ato2019-2022/2021/lei/l14133.htm" \l "art12"</w:instrText>
      </w:r>
      <w:r>
        <w:rPr>
          <w:rStyle w:val="62"/>
          <w:sz w:val="21"/>
          <w:szCs w:val="21"/>
        </w:rPr>
        <w:fldChar w:fldCharType="separate"/>
      </w:r>
      <w:r>
        <w:rPr>
          <w:rStyle w:val="62"/>
          <w:sz w:val="21"/>
          <w:szCs w:val="21"/>
        </w:rPr>
        <w:t>art. 12, II, da Lei Federal nº 14.133, de 2021</w:t>
      </w:r>
      <w:r>
        <w:rPr>
          <w:rStyle w:val="62"/>
          <w:sz w:val="21"/>
          <w:szCs w:val="21"/>
        </w:rPr>
        <w:fldChar w:fldCharType="end"/>
      </w:r>
      <w:r>
        <w:rPr>
          <w:color w:val="000000"/>
          <w:sz w:val="21"/>
          <w:szCs w:val="21"/>
        </w:rPr>
        <w:t>).</w:t>
      </w:r>
    </w:p>
    <w:p w14:paraId="3DA110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oferta deverá ser firme e precisa, limitada, rigorosamente, ao objeto deste Edital, sem conter alternativas de preço ou de qualquer outra condição que induza o julgamento a mais de um resultado, sob pena de desclassificação.</w:t>
      </w:r>
    </w:p>
    <w:p w14:paraId="5E3DB5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deverá obedecer aos termos deste Edital e seus Anexos, não sendo considerada aquela que não corresponda às especificações ali contidas ou que estabeleça vínculo à proposta de outro licitante.</w:t>
      </w:r>
    </w:p>
    <w:p w14:paraId="5DD089A2">
      <w:pPr>
        <w:pStyle w:val="2"/>
        <w:spacing w:before="360" w:after="0"/>
        <w:rPr>
          <w:sz w:val="21"/>
          <w:szCs w:val="21"/>
        </w:rPr>
      </w:pPr>
      <w:bookmarkStart w:id="42" w:name="_Toc149517455"/>
      <w:r>
        <w:rPr>
          <w:rStyle w:val="53"/>
          <w:sz w:val="21"/>
          <w:szCs w:val="21"/>
        </w:rPr>
        <w:t>RECURSO(S) ADMINISTRATIVO(S)</w:t>
      </w:r>
      <w:bookmarkEnd w:id="42"/>
    </w:p>
    <w:p w14:paraId="1FE789B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interposição de recurso referente ao julgamento das propostas, à habilitação ou inabilitação de licitantes, à anulação ou revogação da licitação, observará o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da Lei Federal nº 14.133, de 2021</w:t>
      </w:r>
      <w:r>
        <w:rPr>
          <w:rStyle w:val="62"/>
          <w:sz w:val="21"/>
          <w:szCs w:val="21"/>
        </w:rPr>
        <w:fldChar w:fldCharType="end"/>
      </w:r>
      <w:r>
        <w:rPr>
          <w:color w:val="000000"/>
          <w:sz w:val="21"/>
          <w:szCs w:val="21"/>
        </w:rPr>
        <w:t>.</w:t>
      </w:r>
    </w:p>
    <w:p w14:paraId="69444FE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4574FC3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1"/>
          <w:szCs w:val="21"/>
        </w:rPr>
        <w:t>Pregoeiro</w:t>
      </w:r>
      <w:r>
        <w:rPr>
          <w:color w:val="000000"/>
          <w:sz w:val="21"/>
          <w:szCs w:val="21"/>
        </w:rPr>
        <w:t xml:space="preserve"> em face dos demais itens do objeto da licitação.</w:t>
      </w:r>
    </w:p>
    <w:p w14:paraId="6E035AB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03512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RECURSO ADMINISTRATIVO poderá atacar qualquer ato decisório ou procedimento adotado pelo </w:t>
      </w:r>
      <w:r>
        <w:rPr>
          <w:sz w:val="21"/>
          <w:szCs w:val="21"/>
        </w:rPr>
        <w:t>Pregoeiro</w:t>
      </w:r>
      <w:r>
        <w:rPr>
          <w:color w:val="000000"/>
          <w:sz w:val="21"/>
          <w:szCs w:val="21"/>
        </w:rPr>
        <w:t xml:space="preserve"> durante todo o certame licitatório, não sendo meio adequado para impugnar regras do Edital e seus Anexos.</w:t>
      </w:r>
    </w:p>
    <w:p w14:paraId="655466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registro de INTENÇÃO DE RECURSO, o </w:t>
      </w:r>
      <w:r>
        <w:rPr>
          <w:sz w:val="21"/>
          <w:szCs w:val="21"/>
        </w:rPr>
        <w:t>Pregoeiro</w:t>
      </w:r>
      <w:r>
        <w:rPr>
          <w:color w:val="000000"/>
          <w:sz w:val="21"/>
          <w:szCs w:val="21"/>
        </w:rPr>
        <w:t xml:space="preserve"> fará JUÍZO DE ADMISSIBILIDADE da intenção de recorrer manifestada, aceitando-a ou, motivadamente, rejeitando-a, em campo próprio do sistema, em razão da não observância dos pressupostos recursais de admissibilidade.</w:t>
      </w:r>
    </w:p>
    <w:p w14:paraId="2DE352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Será rejeitada a INTENÇÃO DE RECURSO de caráter protelatório que:</w:t>
      </w:r>
    </w:p>
    <w:p w14:paraId="2DE42E9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registrada por quem não tenha legítimo interesse;</w:t>
      </w:r>
    </w:p>
    <w:p w14:paraId="5B22C73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intempestiva;</w:t>
      </w:r>
    </w:p>
    <w:p w14:paraId="6EB0F50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não ataque ato decisório ou procedimental praticado pelo </w:t>
      </w:r>
      <w:r>
        <w:rPr>
          <w:sz w:val="21"/>
          <w:szCs w:val="21"/>
        </w:rPr>
        <w:t>Pregoeiro</w:t>
      </w:r>
      <w:r>
        <w:rPr>
          <w:color w:val="000000"/>
          <w:sz w:val="21"/>
          <w:szCs w:val="21"/>
        </w:rPr>
        <w:t xml:space="preserve"> no certame; e/ou</w:t>
      </w:r>
    </w:p>
    <w:p w14:paraId="0F991C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fundamentada em mera insatisfação do licitante, sem alegação de qualquer fato prejudicial ou desconforme com o presente Edital e/ou com a legislação vigente.</w:t>
      </w:r>
    </w:p>
    <w:p w14:paraId="53AC1E6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15A9CCF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é imprescindível haver total correspondência entre os fatos e fundamentos indicados na intenção de recurso e as razões escritas do respectivo recurso.</w:t>
      </w:r>
    </w:p>
    <w:p w14:paraId="742A44B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4CEF761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autos do procedimento permanecerão com vista franqueada aos interessados. Para tanto, as empresas interessadas deverão entrar em contato com o </w:t>
      </w:r>
      <w:r>
        <w:rPr>
          <w:sz w:val="21"/>
          <w:szCs w:val="21"/>
        </w:rPr>
        <w:t>Pregoeiro</w:t>
      </w:r>
      <w:r>
        <w:rPr>
          <w:color w:val="000000"/>
          <w:sz w:val="21"/>
          <w:szCs w:val="21"/>
        </w:rPr>
        <w:t xml:space="preserve"> por intermédio do e-mail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ou, nos dias úteis e no horário de funcionamento da Câmara, pelo telefone: </w:t>
      </w:r>
      <w:r>
        <w:rPr>
          <w:color w:val="000000"/>
          <w:sz w:val="21"/>
          <w:szCs w:val="21"/>
          <w:shd w:val="clear" w:fill="auto"/>
        </w:rPr>
        <w:t>3498-3590.</w:t>
      </w:r>
    </w:p>
    <w:p w14:paraId="2CC29B4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art. 5º, XXXIV, "a", Constituição Federal de 1988</w:t>
      </w:r>
      <w:r>
        <w:rPr>
          <w:rStyle w:val="62"/>
          <w:sz w:val="21"/>
          <w:szCs w:val="21"/>
        </w:rPr>
        <w:fldChar w:fldCharType="end"/>
      </w:r>
      <w:r>
        <w:rPr>
          <w:sz w:val="21"/>
          <w:szCs w:val="21"/>
        </w:rPr>
        <w:t>).</w:t>
      </w:r>
    </w:p>
    <w:p w14:paraId="7F95604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149BAF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cabe RECURSO ADESIVO por ocasião do exercício do direito de contrarrazoar.</w:t>
      </w:r>
    </w:p>
    <w:p w14:paraId="70FE9F3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recursos serão apreciados em fase única, conforme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§2º, da Lei Federal nº 14.133, de 2021</w:t>
      </w:r>
      <w:r>
        <w:rPr>
          <w:rStyle w:val="62"/>
          <w:sz w:val="21"/>
          <w:szCs w:val="21"/>
        </w:rPr>
        <w:fldChar w:fldCharType="end"/>
      </w:r>
      <w:r>
        <w:rPr>
          <w:color w:val="000000"/>
          <w:sz w:val="21"/>
          <w:szCs w:val="21"/>
        </w:rPr>
        <w:t>.</w:t>
      </w:r>
    </w:p>
    <w:p w14:paraId="68BCF0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análise e julgamento do recurso administrativo, poderá o </w:t>
      </w:r>
      <w:r>
        <w:rPr>
          <w:sz w:val="21"/>
          <w:szCs w:val="21"/>
        </w:rPr>
        <w:t>Pregoeiro</w:t>
      </w:r>
      <w:r>
        <w:rPr>
          <w:color w:val="000000"/>
          <w:sz w:val="21"/>
          <w:szCs w:val="21"/>
        </w:rPr>
        <w:t xml:space="preserve"> baixar em diligência os autos para fins de pronunciamento da unidade técnica competente, bem como para Assessoria Jurídica e/ou Assessoria Contábil.</w:t>
      </w:r>
    </w:p>
    <w:p w14:paraId="7A5444A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Decorridos os prazos de apresentação de razões e contrarrazões, o </w:t>
      </w:r>
      <w:r>
        <w:rPr>
          <w:sz w:val="21"/>
          <w:szCs w:val="21"/>
        </w:rPr>
        <w:t>Pregoeiro</w:t>
      </w:r>
      <w:r>
        <w:rPr>
          <w:color w:val="000000"/>
          <w:sz w:val="21"/>
          <w:szCs w:val="21"/>
        </w:rPr>
        <w:t xml:space="preserve"> deverá analisar fundamentadamente os fatos e fundamentos arguidos pelo(s) recorrente(s), podendo, em sede de JUÍZO DE RETRATAÇÃO:</w:t>
      </w:r>
    </w:p>
    <w:p w14:paraId="6F24621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reconsiderar, total ou parcialmente, a decisão recorrida, reformando-a; ou</w:t>
      </w:r>
    </w:p>
    <w:p w14:paraId="59B19D6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manter inalterada a decisão recorrida.</w:t>
      </w:r>
    </w:p>
    <w:p w14:paraId="60E12F7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Qualquer que seja a decisão do </w:t>
      </w:r>
      <w:r>
        <w:rPr>
          <w:sz w:val="21"/>
          <w:szCs w:val="21"/>
        </w:rPr>
        <w:t>Pregoeiro</w:t>
      </w:r>
      <w:r>
        <w:rPr>
          <w:color w:val="000000"/>
          <w:sz w:val="21"/>
          <w:szCs w:val="21"/>
        </w:rPr>
        <w:t xml:space="preserve">, o processo será submetido, depois de devidamente instruído pelo </w:t>
      </w:r>
      <w:r>
        <w:rPr>
          <w:sz w:val="21"/>
          <w:szCs w:val="21"/>
        </w:rPr>
        <w:t>Pregoeiro</w:t>
      </w:r>
      <w:r>
        <w:rPr>
          <w:color w:val="000000"/>
          <w:sz w:val="21"/>
          <w:szCs w:val="21"/>
        </w:rPr>
        <w:t>, à apreciação da Autoridade Superior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 2º, da Lei Federal nº 14.133, de 2021</w:t>
      </w:r>
      <w:r>
        <w:rPr>
          <w:rStyle w:val="62"/>
          <w:sz w:val="21"/>
          <w:szCs w:val="21"/>
        </w:rPr>
        <w:fldChar w:fldCharType="end"/>
      </w:r>
      <w:r>
        <w:rPr>
          <w:color w:val="000000"/>
          <w:sz w:val="21"/>
          <w:szCs w:val="21"/>
        </w:rPr>
        <w:t xml:space="preserve">), que poderá: </w:t>
      </w:r>
    </w:p>
    <w:p w14:paraId="6A9BAB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decidir de pronto o mérito do recurso, segundo os documentos e informações contidas nos autos, como também os fundamentos da decisão do </w:t>
      </w:r>
      <w:r>
        <w:rPr>
          <w:sz w:val="21"/>
          <w:szCs w:val="21"/>
        </w:rPr>
        <w:t>Pregoeiro</w:t>
      </w:r>
      <w:r>
        <w:rPr>
          <w:color w:val="000000"/>
          <w:sz w:val="21"/>
          <w:szCs w:val="21"/>
        </w:rPr>
        <w:t>; OU</w:t>
      </w:r>
    </w:p>
    <w:p w14:paraId="23EF6B7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determinar prévia emissão de parecer da área técnica e/ou jurídico para subsidiar sua decisão.</w:t>
      </w:r>
    </w:p>
    <w:p w14:paraId="2E43167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 acolhimento do recurso importará na invalidação apenas dos atos que não possam ser aproveitados.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§3º, da Lei Federal nº 14.133, de 2021</w:t>
      </w:r>
      <w:r>
        <w:rPr>
          <w:rStyle w:val="62"/>
          <w:sz w:val="21"/>
          <w:szCs w:val="21"/>
        </w:rPr>
        <w:fldChar w:fldCharType="end"/>
      </w:r>
      <w:r>
        <w:rPr>
          <w:color w:val="000000"/>
          <w:sz w:val="21"/>
          <w:szCs w:val="21"/>
        </w:rPr>
        <w:t>).</w:t>
      </w:r>
    </w:p>
    <w:p w14:paraId="49758757">
      <w:pPr>
        <w:pStyle w:val="50"/>
        <w:numPr>
          <w:ilvl w:val="1"/>
          <w:numId w:val="1"/>
        </w:numPr>
        <w:tabs>
          <w:tab w:val="left" w:pos="1134"/>
        </w:tabs>
        <w:spacing w:before="0" w:beforeAutospacing="0" w:after="0" w:afterAutospacing="0"/>
        <w:ind w:left="-87" w:leftChars="0" w:firstLine="567" w:firstLineChars="0"/>
        <w:jc w:val="both"/>
        <w:textAlignment w:val="baseline"/>
        <w:rPr>
          <w:color w:val="000000"/>
          <w:sz w:val="21"/>
          <w:szCs w:val="21"/>
        </w:rPr>
      </w:pPr>
      <w:r>
        <w:rPr>
          <w:color w:val="000000"/>
          <w:sz w:val="21"/>
          <w:szCs w:val="21"/>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color w:val="000000"/>
          <w:sz w:val="21"/>
          <w:szCs w:val="21"/>
        </w:rPr>
        <w:t>.</w:t>
      </w:r>
    </w:p>
    <w:p w14:paraId="59066EBC">
      <w:pPr>
        <w:pStyle w:val="2"/>
        <w:spacing w:before="360" w:after="0"/>
        <w:rPr>
          <w:sz w:val="21"/>
          <w:szCs w:val="21"/>
        </w:rPr>
      </w:pPr>
      <w:bookmarkStart w:id="43" w:name="_Toc149517456"/>
      <w:r>
        <w:rPr>
          <w:rStyle w:val="53"/>
          <w:sz w:val="21"/>
          <w:szCs w:val="21"/>
        </w:rPr>
        <w:t>REABERTURA DA SESSÃO PÚBLICA</w:t>
      </w:r>
      <w:bookmarkEnd w:id="43"/>
    </w:p>
    <w:p w14:paraId="1838C9E8">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 sessão pública poderá ser reaberta:</w:t>
      </w:r>
    </w:p>
    <w:p w14:paraId="6D48F9B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9DB52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§1º, da Lei Complementar Federal nº 123, de 2006</w:t>
      </w:r>
      <w:r>
        <w:rPr>
          <w:rStyle w:val="62"/>
          <w:sz w:val="21"/>
          <w:szCs w:val="21"/>
        </w:rPr>
        <w:fldChar w:fldCharType="end"/>
      </w:r>
      <w:r>
        <w:rPr>
          <w:sz w:val="21"/>
          <w:szCs w:val="21"/>
        </w:rPr>
        <w:t>. Nessas hipóteses, serão adotados os procedimentos imediatamente posteriores ao encerramento da etapa de lances.</w:t>
      </w:r>
    </w:p>
    <w:p w14:paraId="15CF3E7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Todos os licitantes remanescentes deverão ser convocados para acompanhar a sessão reaberta.</w:t>
      </w:r>
    </w:p>
    <w:p w14:paraId="7CEDBEF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convocação se dará por meio do sistema eletrônico (“</w:t>
      </w:r>
      <w:r>
        <w:rPr>
          <w:i/>
          <w:iCs/>
          <w:sz w:val="21"/>
          <w:szCs w:val="21"/>
        </w:rPr>
        <w:t>chat</w:t>
      </w:r>
      <w:r>
        <w:rPr>
          <w:sz w:val="21"/>
          <w:szCs w:val="21"/>
        </w:rPr>
        <w:t xml:space="preserve">”) ou </w:t>
      </w:r>
      <w:r>
        <w:rPr>
          <w:i/>
          <w:iCs/>
          <w:sz w:val="21"/>
          <w:szCs w:val="21"/>
        </w:rPr>
        <w:t>e-mail</w:t>
      </w:r>
      <w:r>
        <w:rPr>
          <w:sz w:val="21"/>
          <w:szCs w:val="21"/>
        </w:rPr>
        <w:t>, de acordo com a fase do procedimento licitatório, de acordo com o endereço eletrônico registrado na proposta.</w:t>
      </w:r>
    </w:p>
    <w:p w14:paraId="0AB67236">
      <w:pPr>
        <w:pStyle w:val="2"/>
        <w:spacing w:before="360" w:after="0"/>
        <w:rPr>
          <w:sz w:val="21"/>
          <w:szCs w:val="21"/>
        </w:rPr>
      </w:pPr>
      <w:bookmarkStart w:id="44" w:name="_Toc149517457"/>
      <w:r>
        <w:rPr>
          <w:rStyle w:val="53"/>
          <w:sz w:val="21"/>
          <w:szCs w:val="21"/>
        </w:rPr>
        <w:t>ENCERRAMENTO DA LICITAÇÃO</w:t>
      </w:r>
      <w:bookmarkEnd w:id="44"/>
    </w:p>
    <w:p w14:paraId="40F38532">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sz w:val="21"/>
          <w:szCs w:val="21"/>
        </w:rPr>
        <w:t xml:space="preserve">Nos </w:t>
      </w:r>
      <w:r>
        <w:rPr>
          <w:color w:val="000000"/>
          <w:sz w:val="21"/>
          <w:szCs w:val="21"/>
        </w:rPr>
        <w:t>termos</w:t>
      </w:r>
      <w:r>
        <w:rPr>
          <w:sz w:val="21"/>
          <w:szCs w:val="21"/>
        </w:rPr>
        <w:t xml:space="preserve"> 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sz w:val="21"/>
          <w:szCs w:val="21"/>
        </w:rPr>
        <w:t>, encerradas as fases de julgamento e habilitação, e exauridos os recursos administrativos, o processo licitatório será encaminhado à autoridade superior, que poderá:</w:t>
      </w:r>
    </w:p>
    <w:p w14:paraId="3ADFCAF9">
      <w:pPr>
        <w:pStyle w:val="50"/>
        <w:numPr>
          <w:ilvl w:val="2"/>
          <w:numId w:val="11"/>
        </w:numPr>
        <w:tabs>
          <w:tab w:val="left" w:pos="1134"/>
        </w:tabs>
        <w:spacing w:before="120" w:after="0"/>
        <w:rPr>
          <w:rFonts w:ascii="Times New Roman" w:hAnsi="Times New Roman"/>
          <w:sz w:val="21"/>
          <w:szCs w:val="21"/>
        </w:rPr>
      </w:pPr>
      <w:r>
        <w:rPr>
          <w:sz w:val="21"/>
          <w:szCs w:val="21"/>
        </w:rPr>
        <w:t>determinar o retorno dos autos para saneamento de irregularidades;</w:t>
      </w:r>
    </w:p>
    <w:p w14:paraId="6A7E71D7">
      <w:pPr>
        <w:pStyle w:val="50"/>
        <w:numPr>
          <w:ilvl w:val="2"/>
          <w:numId w:val="11"/>
        </w:numPr>
        <w:tabs>
          <w:tab w:val="left" w:pos="1134"/>
        </w:tabs>
        <w:spacing w:before="0" w:after="0"/>
        <w:rPr>
          <w:rFonts w:ascii="Times New Roman" w:hAnsi="Times New Roman"/>
          <w:sz w:val="21"/>
          <w:szCs w:val="21"/>
        </w:rPr>
      </w:pPr>
      <w:r>
        <w:rPr>
          <w:sz w:val="21"/>
          <w:szCs w:val="21"/>
        </w:rPr>
        <w:t>revogar a licitação por motivo de conveniência e oportunidade;</w:t>
      </w:r>
    </w:p>
    <w:p w14:paraId="3F819986">
      <w:pPr>
        <w:pStyle w:val="50"/>
        <w:numPr>
          <w:ilvl w:val="2"/>
          <w:numId w:val="11"/>
        </w:numPr>
        <w:tabs>
          <w:tab w:val="left" w:pos="1134"/>
        </w:tabs>
        <w:spacing w:before="0" w:after="0"/>
        <w:rPr>
          <w:rFonts w:ascii="Times New Roman" w:hAnsi="Times New Roman"/>
          <w:sz w:val="21"/>
          <w:szCs w:val="21"/>
        </w:rPr>
      </w:pPr>
      <w:r>
        <w:rPr>
          <w:sz w:val="21"/>
          <w:szCs w:val="21"/>
        </w:rPr>
        <w:t>proceder à anulação da licitação, de ofício ou mediante provocação de terceiros, sempre que presente ilegalidade insanável;</w:t>
      </w:r>
    </w:p>
    <w:p w14:paraId="6D76B878">
      <w:pPr>
        <w:pStyle w:val="50"/>
        <w:numPr>
          <w:ilvl w:val="2"/>
          <w:numId w:val="11"/>
        </w:numPr>
        <w:tabs>
          <w:tab w:val="left" w:pos="1134"/>
        </w:tabs>
        <w:spacing w:before="0" w:after="120"/>
        <w:rPr>
          <w:rFonts w:ascii="Times New Roman" w:hAnsi="Times New Roman"/>
          <w:sz w:val="21"/>
          <w:szCs w:val="21"/>
        </w:rPr>
      </w:pPr>
      <w:r>
        <w:rPr>
          <w:sz w:val="21"/>
          <w:szCs w:val="21"/>
        </w:rPr>
        <w:t>adjudicar o objeto e homologar a licitação.</w:t>
      </w:r>
    </w:p>
    <w:p w14:paraId="11EDAE5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Ao </w:t>
      </w:r>
      <w:r>
        <w:rPr>
          <w:color w:val="000000"/>
          <w:sz w:val="21"/>
          <w:szCs w:val="21"/>
        </w:rPr>
        <w:t>pronunciar</w:t>
      </w:r>
      <w:r>
        <w:rPr>
          <w:sz w:val="21"/>
          <w:szCs w:val="21"/>
        </w:rPr>
        <w:t xml:space="preserve"> a nulidade, a autoridade indicará expressamente os atos com vícios insanáveis, tornando sem efeito todos os subsequentes que deles dependam, e dará ensejo à apuração de responsabilidade de quem lhes tenha dado causa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§1º, da Lei Federal nº 14.133, de 2021</w:t>
      </w:r>
      <w:r>
        <w:rPr>
          <w:rStyle w:val="62"/>
          <w:sz w:val="21"/>
          <w:szCs w:val="21"/>
        </w:rPr>
        <w:fldChar w:fldCharType="end"/>
      </w:r>
      <w:r>
        <w:rPr>
          <w:sz w:val="21"/>
          <w:szCs w:val="21"/>
        </w:rPr>
        <w:t>).</w:t>
      </w:r>
    </w:p>
    <w:p w14:paraId="14A33BF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motivo determinante para a revogação do processo licitatório deverá ser resultante de fato superveniente devidamente comprovado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§2º, da Lei Federal nº 14.133, de 2021</w:t>
      </w:r>
      <w:r>
        <w:rPr>
          <w:rStyle w:val="62"/>
          <w:sz w:val="21"/>
          <w:szCs w:val="21"/>
        </w:rPr>
        <w:fldChar w:fldCharType="end"/>
      </w:r>
      <w:r>
        <w:rPr>
          <w:sz w:val="21"/>
          <w:szCs w:val="21"/>
        </w:rPr>
        <w:t>).</w:t>
      </w:r>
    </w:p>
    <w:p w14:paraId="5EA42C0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Nos casos de anulação e revogação, será assegurada a prévia manifestação dos interessados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§3º, da Lei Federal nº 14.133, de 2021</w:t>
      </w:r>
      <w:r>
        <w:rPr>
          <w:rStyle w:val="62"/>
          <w:sz w:val="21"/>
          <w:szCs w:val="21"/>
        </w:rPr>
        <w:fldChar w:fldCharType="end"/>
      </w:r>
      <w:r>
        <w:rPr>
          <w:sz w:val="21"/>
          <w:szCs w:val="21"/>
        </w:rPr>
        <w:t>).</w:t>
      </w:r>
    </w:p>
    <w:p w14:paraId="2B9DE6EE">
      <w:pPr>
        <w:pStyle w:val="2"/>
        <w:spacing w:before="360" w:after="0"/>
        <w:rPr>
          <w:sz w:val="21"/>
          <w:szCs w:val="21"/>
        </w:rPr>
      </w:pPr>
      <w:bookmarkStart w:id="45" w:name="_Toc149517458"/>
      <w:bookmarkStart w:id="46" w:name="_Toc144196064"/>
      <w:r>
        <w:rPr>
          <w:rStyle w:val="53"/>
          <w:sz w:val="21"/>
          <w:szCs w:val="21"/>
        </w:rPr>
        <w:t>REGISTRO DE PREÇOS</w:t>
      </w:r>
      <w:bookmarkEnd w:id="45"/>
      <w:bookmarkEnd w:id="46"/>
    </w:p>
    <w:p w14:paraId="64A80A3C">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7116BC1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 prazo de convocação poderá ser prorrogado uma vez, por igual período, mediante solicitação do licitante mais bem classificado ou do fornecedor convocado, desde que:</w:t>
      </w:r>
    </w:p>
    <w:p w14:paraId="52D4C04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solicitação seja devidamente justificada e apresentada dentro do prazo; e</w:t>
      </w:r>
    </w:p>
    <w:p w14:paraId="051B2388">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justificativa apresentada seja aceita pela Administração.</w:t>
      </w:r>
    </w:p>
    <w:p w14:paraId="7CCF1AD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será assinada por meio de assinatura digital e disponibilizada no sistema de registro de preços.</w:t>
      </w:r>
    </w:p>
    <w:p w14:paraId="70FE6F3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sz w:val="21"/>
          <w:szCs w:val="21"/>
        </w:rPr>
        <w:t>.</w:t>
      </w:r>
    </w:p>
    <w:p w14:paraId="4817529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1FA53D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preço registrado, com a indicação dos fornecedores, será divulgado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e disponibilizado durante a vigência da ata de registro de preços.</w:t>
      </w:r>
    </w:p>
    <w:p w14:paraId="01FF23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47EFF31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 ARP terá validade de 1 (um) ano, podendo ser prorrogada por igual período, desde que comprovado o preço vantajoso, limitada a 2 (dois) anos.</w:t>
      </w:r>
    </w:p>
    <w:p w14:paraId="754F81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Em caso de prorrogação, será garantido o REAJUSTE previsto no item </w:t>
      </w:r>
      <w:r>
        <w:rPr>
          <w:sz w:val="21"/>
          <w:szCs w:val="21"/>
        </w:rPr>
        <w:fldChar w:fldCharType="begin"/>
      </w:r>
      <w:r>
        <w:rPr>
          <w:sz w:val="21"/>
          <w:szCs w:val="21"/>
        </w:rPr>
        <w:instrText xml:space="preserve"> HYPERLINK \l "_REAJUSTE_(art._92," \h </w:instrText>
      </w:r>
      <w:r>
        <w:rPr>
          <w:sz w:val="21"/>
          <w:szCs w:val="21"/>
        </w:rPr>
        <w:fldChar w:fldCharType="separate"/>
      </w:r>
      <w:r>
        <w:rPr>
          <w:rStyle w:val="62"/>
          <w:sz w:val="21"/>
          <w:szCs w:val="21"/>
        </w:rPr>
        <w:t>“37 - REAJUSTE”</w:t>
      </w:r>
      <w:r>
        <w:rPr>
          <w:rStyle w:val="62"/>
          <w:sz w:val="21"/>
          <w:szCs w:val="21"/>
        </w:rPr>
        <w:fldChar w:fldCharType="end"/>
      </w:r>
      <w:r>
        <w:rPr>
          <w:sz w:val="21"/>
          <w:szCs w:val="21"/>
        </w:rPr>
        <w:t>.</w:t>
      </w:r>
    </w:p>
    <w:p w14:paraId="65480E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1E28B1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4º, da Lei Federal nº 14.133, de 2021</w:t>
      </w:r>
      <w:r>
        <w:rPr>
          <w:rStyle w:val="62"/>
          <w:sz w:val="21"/>
          <w:szCs w:val="21"/>
        </w:rPr>
        <w:fldChar w:fldCharType="end"/>
      </w:r>
      <w:r>
        <w:rPr>
          <w:sz w:val="21"/>
          <w:szCs w:val="21"/>
        </w:rPr>
        <w:t>).</w:t>
      </w:r>
    </w:p>
    <w:p w14:paraId="40F39B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5º, da Lei Federal nº 14.133, de 2021</w:t>
      </w:r>
      <w:r>
        <w:rPr>
          <w:rStyle w:val="62"/>
          <w:sz w:val="21"/>
          <w:szCs w:val="21"/>
        </w:rPr>
        <w:fldChar w:fldCharType="end"/>
      </w:r>
      <w:r>
        <w:rPr>
          <w:sz w:val="21"/>
          <w:szCs w:val="21"/>
        </w:rPr>
        <w:t>).</w:t>
      </w:r>
    </w:p>
    <w:p w14:paraId="6D83708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expressamente proibida a participação de órgão ou entidade pública que já participe de outro SRP em andamento, ou integre outra ARP, com objetos semelhantes ao do presente SRP (</w:t>
      </w:r>
      <w:r>
        <w:rPr>
          <w:sz w:val="21"/>
          <w:szCs w:val="21"/>
        </w:rPr>
        <w:fldChar w:fldCharType="begin"/>
      </w:r>
      <w:r>
        <w:rPr>
          <w:rStyle w:val="62"/>
          <w:sz w:val="21"/>
          <w:szCs w:val="21"/>
        </w:rPr>
        <w:instrText xml:space="preserve"> HYPERLINK "https://www.planalto.gov.br/ccivil_03/_ato2019-2022/2021/lei/l14133.htm" \l "art82"</w:instrText>
      </w:r>
      <w:r>
        <w:rPr>
          <w:rStyle w:val="62"/>
          <w:sz w:val="21"/>
          <w:szCs w:val="21"/>
        </w:rPr>
        <w:fldChar w:fldCharType="separate"/>
      </w:r>
      <w:r>
        <w:rPr>
          <w:rStyle w:val="62"/>
          <w:sz w:val="21"/>
          <w:szCs w:val="21"/>
        </w:rPr>
        <w:t>art. 82, VIII, da Lei Federal nº 14.133, de 2021</w:t>
      </w:r>
      <w:r>
        <w:rPr>
          <w:rStyle w:val="62"/>
          <w:sz w:val="21"/>
          <w:szCs w:val="21"/>
        </w:rPr>
        <w:fldChar w:fldCharType="end"/>
      </w:r>
      <w:r>
        <w:rPr>
          <w:sz w:val="21"/>
          <w:szCs w:val="21"/>
        </w:rPr>
        <w:t>).</w:t>
      </w:r>
    </w:p>
    <w:p w14:paraId="339A4B1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poderá haver acréscimo(s) no(s) quantitativo(s) registrado(s) na ARP.</w:t>
      </w:r>
    </w:p>
    <w:p w14:paraId="688ED7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Caberá à </w:t>
      </w:r>
      <w:r>
        <w:rPr>
          <w:color w:val="000000"/>
          <w:sz w:val="21"/>
          <w:szCs w:val="21"/>
        </w:rPr>
        <w:t>Câmara Municipal de Primavera do Leste - MT</w:t>
      </w:r>
      <w:r>
        <w:rPr>
          <w:sz w:val="21"/>
          <w:szCs w:val="21"/>
        </w:rPr>
        <w:t xml:space="preserve"> o gerenciamento e controle da ARP no seu próprio interesse, como também a formalização, gestão e fiscalização de suas próprias contratações, observadas as atribuições e competências indicadas na Minuta da ARP (</w:t>
      </w:r>
      <w:r>
        <w:rPr>
          <w:sz w:val="21"/>
          <w:szCs w:val="21"/>
        </w:rPr>
        <w:fldChar w:fldCharType="begin"/>
      </w:r>
      <w:r>
        <w:rPr>
          <w:sz w:val="21"/>
          <w:szCs w:val="21"/>
        </w:rPr>
        <w:instrText xml:space="preserve"> HYPERLINK \l "_ANEXO_IV_-" \h </w:instrText>
      </w:r>
      <w:r>
        <w:rPr>
          <w:sz w:val="21"/>
          <w:szCs w:val="21"/>
        </w:rPr>
        <w:fldChar w:fldCharType="separate"/>
      </w:r>
      <w:r>
        <w:rPr>
          <w:rStyle w:val="62"/>
          <w:sz w:val="21"/>
          <w:szCs w:val="21"/>
        </w:rPr>
        <w:t>Anexo IV</w:t>
      </w:r>
      <w:r>
        <w:rPr>
          <w:rStyle w:val="62"/>
          <w:sz w:val="21"/>
          <w:szCs w:val="21"/>
        </w:rPr>
        <w:fldChar w:fldCharType="end"/>
      </w:r>
      <w:r>
        <w:rPr>
          <w:sz w:val="21"/>
          <w:szCs w:val="21"/>
        </w:rPr>
        <w:t>).</w:t>
      </w:r>
    </w:p>
    <w:p w14:paraId="77774CA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Particular, titular do Registro de Preços, obriga-se a cumprir integralmente as obrigações contidas na ARP, salvo quando houver cancelamento ou rescisão do registro, submetendo-se às sanções administrativas previstas no item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“38 - SANÇÕES ADMINISTRATIVAS”</w:t>
      </w:r>
      <w:r>
        <w:rPr>
          <w:rStyle w:val="62"/>
          <w:sz w:val="21"/>
          <w:szCs w:val="21"/>
        </w:rPr>
        <w:fldChar w:fldCharType="end"/>
      </w:r>
      <w:r>
        <w:rPr>
          <w:sz w:val="21"/>
          <w:szCs w:val="21"/>
        </w:rPr>
        <w:t xml:space="preserve"> em caso de inadimplência, observado o devido processo legal.</w:t>
      </w:r>
    </w:p>
    <w:p w14:paraId="7CB83E60">
      <w:pPr>
        <w:pStyle w:val="2"/>
        <w:spacing w:before="360" w:after="0"/>
        <w:rPr>
          <w:sz w:val="21"/>
          <w:szCs w:val="21"/>
        </w:rPr>
      </w:pPr>
      <w:bookmarkStart w:id="47" w:name="_Toc149517459"/>
      <w:bookmarkStart w:id="48" w:name="_Toc144196065"/>
      <w:r>
        <w:rPr>
          <w:rStyle w:val="53"/>
          <w:sz w:val="21"/>
          <w:szCs w:val="21"/>
        </w:rPr>
        <w:t>FORMAÇÃO DO CADASTRO DE RESERVA</w:t>
      </w:r>
      <w:bookmarkEnd w:id="47"/>
      <w:bookmarkEnd w:id="48"/>
    </w:p>
    <w:p w14:paraId="122D0DC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Após a homologação da licitação, será incluído na ata, na forma de anexo, o registro:</w:t>
      </w:r>
    </w:p>
    <w:p w14:paraId="44FD1F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dos licitantes </w:t>
      </w:r>
      <w:bookmarkStart w:id="49" w:name="_Hlk132991372"/>
      <w:r>
        <w:rPr>
          <w:sz w:val="21"/>
          <w:szCs w:val="21"/>
        </w:rPr>
        <w:t xml:space="preserve">que </w:t>
      </w:r>
      <w:bookmarkStart w:id="50" w:name="_Hlk132989696"/>
      <w:r>
        <w:rPr>
          <w:sz w:val="21"/>
          <w:szCs w:val="21"/>
        </w:rPr>
        <w:t>aceitarem cotar o objeto com preço igual ao do adjudicatári</w:t>
      </w:r>
      <w:bookmarkEnd w:id="49"/>
      <w:r>
        <w:rPr>
          <w:sz w:val="21"/>
          <w:szCs w:val="21"/>
        </w:rPr>
        <w:t>o</w:t>
      </w:r>
      <w:bookmarkEnd w:id="50"/>
      <w:r>
        <w:rPr>
          <w:sz w:val="21"/>
          <w:szCs w:val="21"/>
        </w:rPr>
        <w:t xml:space="preserve">, observada a classificação na licitação; e </w:t>
      </w:r>
    </w:p>
    <w:p w14:paraId="41484ED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dos licitantes que mantiverem sua proposta original</w:t>
      </w:r>
    </w:p>
    <w:p w14:paraId="021B3BD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Será respeitada, nas contratações, a ordem de classificação dos licitantes ou fornecedores registrados na ata.</w:t>
      </w:r>
    </w:p>
    <w:p w14:paraId="7EB3D6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apresentação de novas propostas na forma deste item não prejudicará o resultado do certame em relação ao licitante mais bem classificado.</w:t>
      </w:r>
    </w:p>
    <w:p w14:paraId="01BDF64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Para fins da ordem de classificação, os licitantes ou fornecedores que aceitarem cotar o objeto com preço igual ao do adjudicatário antecederão aqueles que mantiverem sua proposta original.</w:t>
      </w:r>
    </w:p>
    <w:p w14:paraId="7AAB9FF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 A habilitação dos licitantes que comporão o cadastro de reserva será efetuada quando houver necessidade de contratação dos licitantes remanescentes, nas seguintes hipóteses:</w:t>
      </w:r>
    </w:p>
    <w:p w14:paraId="1E66FD5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o licitante vencedor não assinar a ata de registro de preços no prazo e nas condições estabelecidos no edital; ou</w:t>
      </w:r>
    </w:p>
    <w:p w14:paraId="2D0F38A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houver o cancelamento do registro do fornecedor ou do registro de preços.</w:t>
      </w:r>
    </w:p>
    <w:p w14:paraId="030E88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C500E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convocar os licitantes que mantiveram sua proposta original para negociação, na ordem de classificação, com vistas à obtenção de preço melhor, mesmo que acima do preço do adjudicatário; ou</w:t>
      </w:r>
    </w:p>
    <w:p w14:paraId="2C2ECA8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adjudicar e firmar o contrato nas condições ofertadas pelos licitantes remanescentes, observada a ordem de classificação, quando frustrada a negociação de melhor condição.</w:t>
      </w:r>
    </w:p>
    <w:p w14:paraId="4A44A614">
      <w:pPr>
        <w:pStyle w:val="2"/>
        <w:spacing w:before="360" w:after="0"/>
        <w:rPr>
          <w:sz w:val="21"/>
          <w:szCs w:val="21"/>
        </w:rPr>
      </w:pPr>
      <w:bookmarkStart w:id="51" w:name="_Toc149517460"/>
      <w:r>
        <w:rPr>
          <w:rStyle w:val="53"/>
          <w:sz w:val="21"/>
          <w:szCs w:val="21"/>
        </w:rPr>
        <w:t>CONTRATAÇÃO</w:t>
      </w:r>
      <w:bookmarkEnd w:id="51"/>
      <w:r>
        <w:rPr>
          <w:rStyle w:val="53"/>
          <w:sz w:val="21"/>
          <w:szCs w:val="21"/>
        </w:rPr>
        <w:t> </w:t>
      </w:r>
    </w:p>
    <w:p w14:paraId="226554B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Previamente à contratação serão consultados os documentos de habilitação da empresa beneficiária da ARP, que deverão ser mantidas pelo licitante durante</w:t>
      </w:r>
      <w:r>
        <w:rPr>
          <w:color w:val="000000"/>
          <w:sz w:val="21"/>
          <w:szCs w:val="21"/>
        </w:rPr>
        <w:br w:type="textWrapping"/>
      </w:r>
      <w:r>
        <w:rPr>
          <w:color w:val="000000"/>
          <w:sz w:val="21"/>
          <w:szCs w:val="21"/>
        </w:rPr>
        <w:t>a vigência do contrato ou da ata de registro de preços, assim como serão verificadas as ocorrências impeditivas indiretas.</w:t>
      </w:r>
    </w:p>
    <w:p w14:paraId="009D9C1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hipótese de irregularidades na habilitação, a empresa beneficiária da ARP deverá regularizar a sua situação no prazo de até 05 (cinco) dias úteis, sob</w:t>
      </w:r>
      <w:r>
        <w:rPr>
          <w:color w:val="000000"/>
          <w:sz w:val="21"/>
          <w:szCs w:val="21"/>
        </w:rPr>
        <w:br w:type="textWrapping"/>
      </w:r>
      <w:r>
        <w:rPr>
          <w:color w:val="000000"/>
          <w:sz w:val="21"/>
          <w:szCs w:val="21"/>
        </w:rPr>
        <w:t xml:space="preserve">pena de aplicação das penalidades previstas na cláusula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“41 - SANÇÕES ADMINISTRATIVAS”</w:t>
      </w:r>
      <w:r>
        <w:rPr>
          <w:rStyle w:val="62"/>
          <w:sz w:val="21"/>
          <w:szCs w:val="21"/>
        </w:rPr>
        <w:fldChar w:fldCharType="end"/>
      </w:r>
      <w:r>
        <w:rPr>
          <w:color w:val="000000"/>
          <w:sz w:val="21"/>
          <w:szCs w:val="21"/>
        </w:rPr>
        <w:t>.</w:t>
      </w:r>
    </w:p>
    <w:p w14:paraId="5B31D23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rPr>
        <w:t xml:space="preserve">Como </w:t>
      </w:r>
      <w:r>
        <w:rPr>
          <w:sz w:val="21"/>
          <w:szCs w:val="21"/>
          <w:shd w:val="clear" w:fill="auto"/>
        </w:rPr>
        <w:t>condição</w:t>
      </w:r>
      <w:r>
        <w:rPr>
          <w:color w:val="000000"/>
          <w:sz w:val="21"/>
          <w:szCs w:val="21"/>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7A060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"art95"</w:instrText>
      </w:r>
      <w:r>
        <w:rPr>
          <w:rStyle w:val="62"/>
          <w:sz w:val="21"/>
          <w:szCs w:val="21"/>
        </w:rPr>
        <w:fldChar w:fldCharType="separate"/>
      </w:r>
      <w:r>
        <w:rPr>
          <w:rStyle w:val="62"/>
          <w:sz w:val="21"/>
          <w:szCs w:val="21"/>
        </w:rPr>
        <w:t>art. 95, da Lei Federal nº 14.133, de 2021</w:t>
      </w:r>
      <w:r>
        <w:rPr>
          <w:rStyle w:val="62"/>
          <w:sz w:val="21"/>
          <w:szCs w:val="21"/>
        </w:rPr>
        <w:fldChar w:fldCharType="end"/>
      </w:r>
      <w:r>
        <w:rPr>
          <w:sz w:val="21"/>
          <w:szCs w:val="21"/>
        </w:rPr>
        <w:t xml:space="preserve">, o Instrumento de Contrato a ser assinado será conforme minuta constante no </w:t>
      </w:r>
      <w:r>
        <w:rPr>
          <w:sz w:val="21"/>
          <w:szCs w:val="21"/>
        </w:rPr>
        <w:fldChar w:fldCharType="begin"/>
      </w:r>
      <w:r>
        <w:rPr>
          <w:sz w:val="21"/>
          <w:szCs w:val="21"/>
        </w:rPr>
        <w:instrText xml:space="preserve"> HYPERLINK \l "_ANEXO_VII_-" \h </w:instrText>
      </w:r>
      <w:r>
        <w:rPr>
          <w:sz w:val="21"/>
          <w:szCs w:val="21"/>
        </w:rPr>
        <w:fldChar w:fldCharType="separate"/>
      </w:r>
      <w:r>
        <w:rPr>
          <w:rStyle w:val="62"/>
          <w:sz w:val="21"/>
          <w:szCs w:val="21"/>
        </w:rPr>
        <w:t>Anexo VII</w:t>
      </w:r>
      <w:r>
        <w:rPr>
          <w:rStyle w:val="62"/>
          <w:sz w:val="21"/>
          <w:szCs w:val="21"/>
        </w:rPr>
        <w:fldChar w:fldCharType="end"/>
      </w:r>
      <w:r>
        <w:rPr>
          <w:sz w:val="21"/>
          <w:szCs w:val="21"/>
        </w:rPr>
        <w:t>.</w:t>
      </w:r>
    </w:p>
    <w:p w14:paraId="62B0201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e/ou IX, da Lei Federal nº 14.133, de 2021</w:t>
      </w:r>
      <w:r>
        <w:rPr>
          <w:rStyle w:val="62"/>
          <w:sz w:val="21"/>
          <w:szCs w:val="21"/>
        </w:rPr>
        <w:fldChar w:fldCharType="end"/>
      </w:r>
      <w:r>
        <w:rPr>
          <w:color w:val="000000"/>
          <w:sz w:val="21"/>
          <w:szCs w:val="21"/>
        </w:rPr>
        <w:t>.</w:t>
      </w:r>
    </w:p>
    <w:p w14:paraId="3A732B4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da Lei Federal nº 14.133, de 2021</w:t>
      </w:r>
      <w:r>
        <w:rPr>
          <w:rStyle w:val="62"/>
          <w:sz w:val="21"/>
          <w:szCs w:val="21"/>
        </w:rPr>
        <w:fldChar w:fldCharType="end"/>
      </w:r>
      <w:r>
        <w:rPr>
          <w:color w:val="000000"/>
          <w:sz w:val="21"/>
          <w:szCs w:val="21"/>
        </w:rPr>
        <w:t>.</w:t>
      </w:r>
    </w:p>
    <w:p w14:paraId="2CA3434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Na hipótese de a licitante vencedora não assinar a Ata de Registro de Preços ou o o Instrumento de Contrato no prazo estabelecido, a Administração </w:t>
      </w:r>
      <w:r>
        <w:rPr>
          <w:sz w:val="21"/>
          <w:szCs w:val="21"/>
        </w:rPr>
        <w:t>poderá</w:t>
      </w:r>
      <w:r>
        <w:rPr>
          <w:color w:val="000000"/>
          <w:sz w:val="21"/>
          <w:szCs w:val="21"/>
        </w:rPr>
        <w:t xml:space="preserve"> convocar as licitantes remanescentes, na ordem de classificação para a celebração da contratação, nas mesmas condições propostas pela licitante vencedora, sem prejuízo da aplicação das sanções neste Edital,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color w:val="000000"/>
          <w:sz w:val="21"/>
          <w:szCs w:val="21"/>
        </w:rPr>
        <w:t xml:space="preserve"> e em outras legislações aplicáveis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2º, da Lei Federal nº 14.133, de 2021</w:t>
      </w:r>
      <w:r>
        <w:rPr>
          <w:rStyle w:val="62"/>
          <w:sz w:val="21"/>
          <w:szCs w:val="21"/>
        </w:rPr>
        <w:fldChar w:fldCharType="end"/>
      </w:r>
      <w:r>
        <w:rPr>
          <w:color w:val="000000"/>
          <w:sz w:val="21"/>
          <w:szCs w:val="21"/>
        </w:rPr>
        <w:t>).</w:t>
      </w:r>
    </w:p>
    <w:p w14:paraId="51D6FF7B">
      <w:pPr>
        <w:pStyle w:val="50"/>
        <w:numPr>
          <w:ilvl w:val="1"/>
          <w:numId w:val="1"/>
        </w:numPr>
        <w:tabs>
          <w:tab w:val="left" w:pos="1134"/>
        </w:tabs>
        <w:spacing w:before="0" w:beforeAutospacing="0" w:after="120" w:afterAutospacing="0"/>
        <w:ind w:left="-87" w:leftChars="0" w:firstLine="567" w:firstLineChars="0"/>
        <w:jc w:val="both"/>
        <w:textAlignment w:val="baseline"/>
        <w:rPr>
          <w:sz w:val="21"/>
          <w:szCs w:val="21"/>
        </w:rPr>
      </w:pPr>
      <w:r>
        <w:rPr>
          <w:color w:val="000000"/>
          <w:sz w:val="21"/>
          <w:szCs w:val="21"/>
        </w:rPr>
        <w:t xml:space="preserve">Caso nenhuma licitante aceite a contratação nos termos do item anterior, a Administração, </w:t>
      </w:r>
      <w:r>
        <w:rPr>
          <w:sz w:val="21"/>
          <w:szCs w:val="21"/>
        </w:rPr>
        <w:t>observados</w:t>
      </w:r>
      <w:r>
        <w:rPr>
          <w:color w:val="000000"/>
          <w:sz w:val="21"/>
          <w:szCs w:val="21"/>
        </w:rPr>
        <w:t xml:space="preserve"> o valor estimado e sua eventual atualização, se for o caso, poderá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4º, da Lei Federal nº 14.133, de 2021</w:t>
      </w:r>
      <w:r>
        <w:rPr>
          <w:rStyle w:val="62"/>
          <w:sz w:val="21"/>
          <w:szCs w:val="21"/>
        </w:rPr>
        <w:fldChar w:fldCharType="end"/>
      </w:r>
      <w:r>
        <w:rPr>
          <w:color w:val="000000"/>
          <w:sz w:val="21"/>
          <w:szCs w:val="21"/>
        </w:rPr>
        <w:t>):</w:t>
      </w:r>
    </w:p>
    <w:p w14:paraId="6034E582">
      <w:pPr>
        <w:pStyle w:val="50"/>
        <w:numPr>
          <w:ilvl w:val="2"/>
          <w:numId w:val="12"/>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convocar as licitantes remanescentes, na ordem de classificação, para negociação, com vista à obtenção de melhor preço, mesmo que acima do ofertado pela adjudicatária;</w:t>
      </w:r>
    </w:p>
    <w:p w14:paraId="656C5BBF">
      <w:pPr>
        <w:pStyle w:val="50"/>
        <w:numPr>
          <w:ilvl w:val="2"/>
          <w:numId w:val="12"/>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adjudicar e celebrar a contratação nas condições ofertadas pelas licitantes remanescentes, na ordem de classificação, quando frustrada a negociação de melhor condição.</w:t>
      </w:r>
    </w:p>
    <w:p w14:paraId="7EE2BA46">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w:t>
      </w:r>
      <w:r>
        <w:rPr>
          <w:sz w:val="21"/>
          <w:szCs w:val="21"/>
        </w:rPr>
        <w:t>recusa</w:t>
      </w:r>
      <w:r>
        <w:rPr>
          <w:color w:val="000000"/>
          <w:sz w:val="21"/>
          <w:szCs w:val="21"/>
        </w:rPr>
        <w:t xml:space="preserve"> injustificada da adjudicatária em assinar a Ata de Registro de Preços no prazo estabelecido caracterizará o descumprimento total da obrigação assumida, sujeitando-se às penalidades previstas neste Edital e em lei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§5º e 6º, da Lei Federal nº 14.133, de 2021</w:t>
      </w:r>
      <w:r>
        <w:rPr>
          <w:rStyle w:val="62"/>
          <w:sz w:val="21"/>
          <w:szCs w:val="21"/>
        </w:rPr>
        <w:fldChar w:fldCharType="end"/>
      </w:r>
      <w:r>
        <w:rPr>
          <w:color w:val="000000"/>
          <w:sz w:val="21"/>
          <w:szCs w:val="21"/>
        </w:rPr>
        <w:t>).</w:t>
      </w:r>
    </w:p>
    <w:p w14:paraId="747E400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Decorrido</w:t>
      </w:r>
      <w:r>
        <w:rPr>
          <w:color w:val="000000"/>
          <w:sz w:val="21"/>
          <w:szCs w:val="21"/>
        </w:rPr>
        <w:t xml:space="preserve"> o prazo de validade da proposta sem convocação para a assinatura da ARP, ficarão as licitantes liberadas do compromisso assumido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2375D3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Será</w:t>
      </w:r>
      <w:r>
        <w:rPr>
          <w:color w:val="000000"/>
          <w:sz w:val="21"/>
          <w:szCs w:val="21"/>
        </w:rPr>
        <w:t xml:space="preserve"> facultada à Administração a convocação das demais licitantes classificadas para a contratação de remanescente de fornecimento em consequência de rescisão contratual, observados os mesmos critérios definidos neste Edital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§7º, da Lei Federal nº 14.133, de 2021</w:t>
      </w:r>
      <w:r>
        <w:rPr>
          <w:rStyle w:val="62"/>
          <w:sz w:val="21"/>
          <w:szCs w:val="21"/>
        </w:rPr>
        <w:fldChar w:fldCharType="end"/>
      </w:r>
      <w:r>
        <w:rPr>
          <w:color w:val="000000"/>
          <w:sz w:val="21"/>
          <w:szCs w:val="21"/>
        </w:rPr>
        <w:t>).</w:t>
      </w:r>
    </w:p>
    <w:p w14:paraId="51D9D5AE">
      <w:pPr>
        <w:pStyle w:val="2"/>
        <w:spacing w:before="360" w:after="0"/>
        <w:rPr>
          <w:sz w:val="21"/>
          <w:szCs w:val="21"/>
        </w:rPr>
      </w:pPr>
      <w:bookmarkStart w:id="52" w:name="_SANÇÕES_ADMINISTRATIVAS"/>
      <w:bookmarkEnd w:id="52"/>
      <w:bookmarkStart w:id="53" w:name="_Toc149517461"/>
      <w:r>
        <w:rPr>
          <w:rStyle w:val="53"/>
          <w:sz w:val="21"/>
          <w:szCs w:val="21"/>
        </w:rPr>
        <w:t>SANÇÕES ADMINISTRATIVAS DE LICITAÇÃO</w:t>
      </w:r>
      <w:bookmarkEnd w:id="53"/>
    </w:p>
    <w:p w14:paraId="0418E39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w:t>
      </w:r>
      <w:r>
        <w:rPr>
          <w:color w:val="000000" w:themeColor="text1"/>
          <w:sz w:val="21"/>
          <w:szCs w:val="21"/>
          <w14:textFill>
            <w14:solidFill>
              <w14:schemeClr w14:val="tx1"/>
            </w14:solidFill>
          </w14:textFill>
        </w:rPr>
        <w:t>caso</w:t>
      </w:r>
      <w:r>
        <w:rPr>
          <w:color w:val="000000"/>
          <w:sz w:val="21"/>
          <w:szCs w:val="21"/>
        </w:rPr>
        <w:t xml:space="preserve"> de a licitante ou a contratada incorrer em uma ou mais condutas tipificadas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da Lei Federal nº 14.133, de 2021</w:t>
      </w:r>
      <w:r>
        <w:rPr>
          <w:rStyle w:val="62"/>
          <w:sz w:val="21"/>
          <w:szCs w:val="21"/>
        </w:rPr>
        <w:fldChar w:fldCharType="end"/>
      </w:r>
      <w:r>
        <w:rPr>
          <w:color w:val="000000"/>
          <w:sz w:val="21"/>
          <w:szCs w:val="21"/>
        </w:rPr>
        <w:t xml:space="preserve">, será responsabilizada administrativamente em uma ou mais das sanções previstas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color w:val="000000"/>
          <w:sz w:val="21"/>
          <w:szCs w:val="21"/>
        </w:rPr>
        <w:t>, garantido o direito à ampla defesa e contraditório.</w:t>
      </w:r>
    </w:p>
    <w:p w14:paraId="5AD8C94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w:t>
      </w:r>
      <w:r>
        <w:rPr>
          <w:color w:val="000000" w:themeColor="text1"/>
          <w:sz w:val="21"/>
          <w:szCs w:val="21"/>
          <w14:textFill>
            <w14:solidFill>
              <w14:schemeClr w14:val="tx1"/>
            </w14:solidFill>
          </w14:textFill>
        </w:rPr>
        <w:t>recusa</w:t>
      </w:r>
      <w:r>
        <w:rPr>
          <w:color w:val="000000"/>
          <w:sz w:val="21"/>
          <w:szCs w:val="21"/>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1839805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aplicação das sanções serão considerados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 1º, da Lei Federal nº 14.133, de 2021</w:t>
      </w:r>
      <w:r>
        <w:rPr>
          <w:rStyle w:val="62"/>
          <w:sz w:val="21"/>
          <w:szCs w:val="21"/>
        </w:rPr>
        <w:fldChar w:fldCharType="end"/>
      </w:r>
      <w:r>
        <w:rPr>
          <w:color w:val="000000"/>
          <w:sz w:val="21"/>
          <w:szCs w:val="21"/>
        </w:rPr>
        <w:t>):</w:t>
      </w:r>
    </w:p>
    <w:p w14:paraId="05E403F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4" w:name="art156§1i"/>
      <w:bookmarkEnd w:id="54"/>
      <w:r>
        <w:rPr>
          <w:color w:val="000000"/>
          <w:sz w:val="21"/>
          <w:szCs w:val="21"/>
        </w:rPr>
        <w:t>a natureza e a gravidade da infração cometida;</w:t>
      </w:r>
    </w:p>
    <w:p w14:paraId="1DBD988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5" w:name="art156§1ii"/>
      <w:bookmarkEnd w:id="55"/>
      <w:r>
        <w:rPr>
          <w:color w:val="000000"/>
          <w:sz w:val="21"/>
          <w:szCs w:val="21"/>
        </w:rPr>
        <w:t>as peculiaridades do caso concreto;</w:t>
      </w:r>
    </w:p>
    <w:p w14:paraId="029814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6" w:name="art156§1iii"/>
      <w:bookmarkEnd w:id="56"/>
      <w:r>
        <w:rPr>
          <w:color w:val="000000"/>
          <w:sz w:val="21"/>
          <w:szCs w:val="21"/>
        </w:rPr>
        <w:t>as circunstâncias agravantes ou atenuantes;</w:t>
      </w:r>
    </w:p>
    <w:p w14:paraId="74274A1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7" w:name="art156§1iv"/>
      <w:bookmarkEnd w:id="57"/>
      <w:r>
        <w:rPr>
          <w:color w:val="000000"/>
          <w:sz w:val="21"/>
          <w:szCs w:val="21"/>
        </w:rPr>
        <w:t>os danos que dela provierem para a Administração Pública;</w:t>
      </w:r>
    </w:p>
    <w:p w14:paraId="121B4B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8" w:name="art156§1v"/>
      <w:bookmarkEnd w:id="58"/>
      <w:r>
        <w:rPr>
          <w:color w:val="000000"/>
          <w:sz w:val="21"/>
          <w:szCs w:val="21"/>
        </w:rPr>
        <w:t>a implantação ou o aperfeiçoamento de programa de integridade, conforme normas e orientações dos órgãos de controle.</w:t>
      </w:r>
    </w:p>
    <w:p w14:paraId="0276BA9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40C361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processamento das penalidades seguirá os ditames da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sz w:val="21"/>
          <w:szCs w:val="21"/>
        </w:rPr>
        <w:t>.</w:t>
      </w:r>
    </w:p>
    <w:p w14:paraId="193EA45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sanções serão registradas e publicadas no Cadastro Nacional de Empresas Inidôneas e </w:t>
      </w:r>
      <w:r>
        <w:rPr>
          <w:color w:val="000000" w:themeColor="text1"/>
          <w:sz w:val="21"/>
          <w:szCs w:val="21"/>
          <w14:textFill>
            <w14:solidFill>
              <w14:schemeClr w14:val="tx1"/>
            </w14:solidFill>
          </w14:textFill>
        </w:rPr>
        <w:t>Suspensas</w:t>
      </w:r>
      <w:r>
        <w:rPr>
          <w:color w:val="000000"/>
          <w:sz w:val="21"/>
          <w:szCs w:val="21"/>
        </w:rPr>
        <w:t xml:space="preserve"> (Ceis) e no Cadastro Nacional de Empresas Punidas (Cnep), no prazo máximo de 15 (quinze) dias úteis, contado do trânsito em julgado da aplicação da sanção, nos termos do </w:t>
      </w:r>
      <w:r>
        <w:rPr>
          <w:sz w:val="21"/>
          <w:szCs w:val="21"/>
        </w:rPr>
        <w:fldChar w:fldCharType="begin"/>
      </w:r>
      <w:r>
        <w:rPr>
          <w:rStyle w:val="62"/>
          <w:sz w:val="21"/>
          <w:szCs w:val="21"/>
        </w:rPr>
        <w:instrText xml:space="preserve"> HYPERLINK "https://www.planalto.gov.br/ccivil_03/_ato2019-2022/2021/lei/l14133.htm" \l "art161"</w:instrText>
      </w:r>
      <w:r>
        <w:rPr>
          <w:rStyle w:val="62"/>
          <w:sz w:val="21"/>
          <w:szCs w:val="21"/>
        </w:rPr>
        <w:fldChar w:fldCharType="separate"/>
      </w:r>
      <w:r>
        <w:rPr>
          <w:rStyle w:val="62"/>
          <w:sz w:val="21"/>
          <w:szCs w:val="21"/>
        </w:rPr>
        <w:t>art. 161 da Lei Federal nº 14.133, de 2021</w:t>
      </w:r>
      <w:r>
        <w:rPr>
          <w:rStyle w:val="62"/>
          <w:sz w:val="21"/>
          <w:szCs w:val="21"/>
        </w:rPr>
        <w:fldChar w:fldCharType="end"/>
      </w:r>
      <w:r>
        <w:rPr>
          <w:color w:val="000000"/>
          <w:sz w:val="21"/>
          <w:szCs w:val="21"/>
        </w:rPr>
        <w:t>.</w:t>
      </w:r>
    </w:p>
    <w:p w14:paraId="2554F3D6">
      <w:pPr>
        <w:pStyle w:val="2"/>
        <w:spacing w:before="360" w:after="0"/>
        <w:rPr>
          <w:sz w:val="21"/>
          <w:szCs w:val="21"/>
        </w:rPr>
      </w:pPr>
      <w:bookmarkStart w:id="59" w:name="_Toc149517462"/>
      <w:r>
        <w:rPr>
          <w:rStyle w:val="53"/>
          <w:sz w:val="21"/>
          <w:szCs w:val="21"/>
        </w:rPr>
        <w:t>PROTEÇÃO DOS DADOS NA LICITAÇÃO</w:t>
      </w:r>
      <w:bookmarkEnd w:id="59"/>
    </w:p>
    <w:p w14:paraId="067324B2">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Ao participar da presente licitação, e em atenção ao que dispõe 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(Lei Geral de Proteção de Dados - LGPD), as licitantes ficam cientes e fornecem consentimento para que 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com base no previsto no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II e III</w:t>
      </w:r>
      <w:r>
        <w:rPr>
          <w:rStyle w:val="62"/>
          <w:sz w:val="21"/>
          <w:szCs w:val="21"/>
        </w:rPr>
        <w:fldChar w:fldCharType="end"/>
      </w:r>
      <w:r>
        <w:rPr>
          <w:rStyle w:val="53"/>
          <w:color w:val="000000" w:themeColor="text1"/>
          <w:sz w:val="21"/>
          <w:szCs w:val="21"/>
          <w14:textFill>
            <w14:solidFill>
              <w14:schemeClr w14:val="tx1"/>
            </w14:solidFill>
          </w14:textFill>
        </w:rPr>
        <w:t xml:space="preserve">, c/c o </w:t>
      </w:r>
      <w:r>
        <w:rPr>
          <w:sz w:val="21"/>
          <w:szCs w:val="21"/>
        </w:rPr>
        <w:fldChar w:fldCharType="begin"/>
      </w:r>
      <w:r>
        <w:rPr>
          <w:rStyle w:val="62"/>
          <w:sz w:val="21"/>
          <w:szCs w:val="21"/>
        </w:rPr>
        <w:instrText xml:space="preserve"> HYPERLINK "https://www.planalto.gov.br/ccivil_03/_ato2015-2018/2018/lei/l13709.htm" \l "art23"</w:instrText>
      </w:r>
      <w:r>
        <w:rPr>
          <w:rStyle w:val="62"/>
          <w:sz w:val="21"/>
          <w:szCs w:val="21"/>
        </w:rPr>
        <w:fldChar w:fldCharType="separate"/>
      </w:r>
      <w:r>
        <w:rPr>
          <w:rStyle w:val="62"/>
          <w:sz w:val="21"/>
          <w:szCs w:val="21"/>
        </w:rPr>
        <w:t>art. 23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irá realizar o </w:t>
      </w:r>
      <w:r>
        <w:rPr>
          <w:sz w:val="21"/>
          <w:szCs w:val="21"/>
        </w:rPr>
        <w:t>tratamento</w:t>
      </w:r>
      <w:r>
        <w:rPr>
          <w:rStyle w:val="53"/>
          <w:color w:val="000000" w:themeColor="text1"/>
          <w:sz w:val="21"/>
          <w:szCs w:val="2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1"/>
          <w:szCs w:val="21"/>
        </w:rPr>
        <w:fldChar w:fldCharType="begin"/>
      </w:r>
      <w:r>
        <w:rPr>
          <w:rStyle w:val="62"/>
          <w:sz w:val="21"/>
          <w:szCs w:val="21"/>
        </w:rPr>
        <w:instrText xml:space="preserve"> HYPERLINK "https://www.planalto.gov.br/ccivil_03/_ato2015-2018/2018/lei/l13709.htm" \l "art6"</w:instrText>
      </w:r>
      <w:r>
        <w:rPr>
          <w:rStyle w:val="62"/>
          <w:sz w:val="21"/>
          <w:szCs w:val="21"/>
        </w:rPr>
        <w:fldChar w:fldCharType="separate"/>
      </w:r>
      <w:r>
        <w:rPr>
          <w:rStyle w:val="62"/>
          <w:sz w:val="21"/>
          <w:szCs w:val="21"/>
        </w:rPr>
        <w:t>art. 6º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1"/>
          <w:szCs w:val="21"/>
        </w:rPr>
        <w:fldChar w:fldCharType="begin"/>
      </w:r>
      <w:r>
        <w:rPr>
          <w:rStyle w:val="62"/>
          <w:sz w:val="21"/>
          <w:szCs w:val="21"/>
        </w:rPr>
        <w:instrText xml:space="preserve"> HYPERLINK "https://www.planalto.gov.br/ccivil_03/_ato2015-2018/2018/lei/l13709.htm" \l "art16"</w:instrText>
      </w:r>
      <w:r>
        <w:rPr>
          <w:rStyle w:val="62"/>
          <w:sz w:val="21"/>
          <w:szCs w:val="21"/>
        </w:rPr>
        <w:fldChar w:fldCharType="separate"/>
      </w:r>
      <w:r>
        <w:rPr>
          <w:rStyle w:val="62"/>
          <w:sz w:val="21"/>
          <w:szCs w:val="21"/>
        </w:rPr>
        <w:t>art. 16, inciso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w:t>
      </w:r>
    </w:p>
    <w:p w14:paraId="0291CD1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licitante(s) </w:t>
      </w:r>
      <w:r>
        <w:rPr>
          <w:sz w:val="21"/>
          <w:szCs w:val="21"/>
        </w:rPr>
        <w:t xml:space="preserve">e a </w:t>
      </w:r>
      <w:r>
        <w:rPr>
          <w:color w:val="000000"/>
          <w:sz w:val="21"/>
          <w:szCs w:val="21"/>
        </w:rPr>
        <w:t>Câmara Municipal de Primavera do Leste - MT</w:t>
      </w:r>
      <w:r>
        <w:rPr>
          <w:sz w:val="21"/>
          <w:szCs w:val="21"/>
        </w:rPr>
        <w:t xml:space="preserve"> </w:t>
      </w:r>
      <w:r>
        <w:rPr>
          <w:rStyle w:val="53"/>
          <w:color w:val="000000" w:themeColor="text1"/>
          <w:sz w:val="21"/>
          <w:szCs w:val="21"/>
          <w14:textFill>
            <w14:solidFill>
              <w14:schemeClr w14:val="tx1"/>
            </w14:solidFill>
          </w14:textFill>
        </w:rPr>
        <w:t xml:space="preserve">obrigam-se a cumprir 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E2FDB2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1"/>
          <w:szCs w:val="21"/>
        </w:rPr>
        <w:fldChar w:fldCharType="begin"/>
      </w:r>
      <w:r>
        <w:rPr>
          <w:rStyle w:val="62"/>
          <w:sz w:val="21"/>
          <w:szCs w:val="21"/>
        </w:rPr>
        <w:instrText xml:space="preserve"> HYPERLINK "https://www.planalto.gov.br/ccivil_03/_ato2015-2018/2018/lei/l13709.htm" \l "art48"</w:instrText>
      </w:r>
      <w:r>
        <w:rPr>
          <w:rStyle w:val="62"/>
          <w:sz w:val="21"/>
          <w:szCs w:val="21"/>
        </w:rPr>
        <w:fldChar w:fldCharType="separate"/>
      </w:r>
      <w:r>
        <w:rPr>
          <w:rStyle w:val="62"/>
          <w:sz w:val="21"/>
          <w:szCs w:val="21"/>
        </w:rPr>
        <w:t>art. 48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w:t>
      </w:r>
    </w:p>
    <w:p w14:paraId="58BA474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Para a execução do objeto, em observância ao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(LGPD), na </w:t>
      </w:r>
      <w:r>
        <w:rPr>
          <w:sz w:val="21"/>
          <w:szCs w:val="21"/>
        </w:rPr>
        <w:fldChar w:fldCharType="begin"/>
      </w:r>
      <w:r>
        <w:rPr>
          <w:sz w:val="21"/>
          <w:szCs w:val="21"/>
        </w:rPr>
        <w:instrText xml:space="preserve"> HYPERLINK "https://www.planalto.gov.br/ccivil_03/leis/lcp/lcp101.htm" \h </w:instrText>
      </w:r>
      <w:r>
        <w:rPr>
          <w:sz w:val="21"/>
          <w:szCs w:val="21"/>
        </w:rPr>
        <w:fldChar w:fldCharType="separate"/>
      </w:r>
      <w:r>
        <w:rPr>
          <w:rStyle w:val="62"/>
          <w:sz w:val="21"/>
          <w:szCs w:val="21"/>
        </w:rPr>
        <w:t>Lei Complementar Federal nº 101, de 2000</w:t>
      </w:r>
      <w:r>
        <w:rPr>
          <w:rStyle w:val="62"/>
          <w:sz w:val="21"/>
          <w:szCs w:val="21"/>
        </w:rPr>
        <w:fldChar w:fldCharType="end"/>
      </w:r>
      <w:r>
        <w:rPr>
          <w:rStyle w:val="53"/>
          <w:color w:val="000000" w:themeColor="text1"/>
          <w:sz w:val="21"/>
          <w:szCs w:val="21"/>
          <w14:textFill>
            <w14:solidFill>
              <w14:schemeClr w14:val="tx1"/>
            </w14:solidFill>
          </w14:textFill>
        </w:rPr>
        <w:t xml:space="preserve"> (Lei de Responsabilidade Fiscal) e na </w:t>
      </w:r>
      <w:r>
        <w:rPr>
          <w:sz w:val="21"/>
          <w:szCs w:val="21"/>
        </w:rPr>
        <w:fldChar w:fldCharType="begin"/>
      </w:r>
      <w:r>
        <w:rPr>
          <w:sz w:val="21"/>
          <w:szCs w:val="21"/>
        </w:rPr>
        <w:instrText xml:space="preserve"> HYPERLINK "https://www.planalto.gov.br/ccivil_03/_ato2011-2014/2011/lei/l12527.htm" \h </w:instrText>
      </w:r>
      <w:r>
        <w:rPr>
          <w:sz w:val="21"/>
          <w:szCs w:val="21"/>
        </w:rPr>
        <w:fldChar w:fldCharType="separate"/>
      </w:r>
      <w:r>
        <w:rPr>
          <w:rStyle w:val="62"/>
          <w:sz w:val="21"/>
          <w:szCs w:val="21"/>
        </w:rPr>
        <w:t>Lei Federal nº 12.527, de 2011</w:t>
      </w:r>
      <w:r>
        <w:rPr>
          <w:rStyle w:val="62"/>
          <w:sz w:val="21"/>
          <w:szCs w:val="21"/>
        </w:rPr>
        <w:fldChar w:fldCharType="end"/>
      </w:r>
      <w:r>
        <w:rPr>
          <w:rStyle w:val="53"/>
          <w:color w:val="000000" w:themeColor="text1"/>
          <w:sz w:val="21"/>
          <w:szCs w:val="21"/>
          <w14:textFill>
            <w14:solidFill>
              <w14:schemeClr w14:val="tx1"/>
            </w14:solidFill>
          </w14:textFill>
        </w:rPr>
        <w:t xml:space="preserve"> (Lei de Acesso à Informação) e ao princípio da transparência, a(s) Licitante(s) e seus representantes ficam cientes do acesso pela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4B983697">
      <w:pPr>
        <w:pStyle w:val="2"/>
        <w:spacing w:before="360" w:after="0"/>
        <w:rPr>
          <w:sz w:val="21"/>
          <w:szCs w:val="21"/>
        </w:rPr>
      </w:pPr>
      <w:bookmarkStart w:id="60" w:name="_Toc149517463"/>
      <w:bookmarkStart w:id="61" w:name="_Toc144196074"/>
      <w:r>
        <w:rPr>
          <w:rStyle w:val="53"/>
          <w:sz w:val="21"/>
          <w:szCs w:val="21"/>
        </w:rPr>
        <w:t>CRÉDITOS ORÇAMENTÁRIOS </w:t>
      </w:r>
      <w:bookmarkEnd w:id="60"/>
      <w:bookmarkEnd w:id="61"/>
      <w:r>
        <w:rPr>
          <w:rStyle w:val="53"/>
          <w:sz w:val="21"/>
          <w:szCs w:val="21"/>
        </w:rPr>
        <w:t> </w:t>
      </w:r>
    </w:p>
    <w:p w14:paraId="45D18AA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Fonts w:ascii="Times New Roman" w:hAnsi="Times New Roman" w:cs="Arial"/>
          <w:sz w:val="21"/>
          <w:szCs w:val="21"/>
        </w:rPr>
        <w:t>As despesas oriundas da presente aquisição correrão por conta de recursos próprios específicos consignados no orçamento da Câmara Municipal de Primavera do Leste nas dotações orçamentárias relacionadas abaixo:</w:t>
      </w:r>
    </w:p>
    <w:p w14:paraId="1DE3F385">
      <w:pPr>
        <w:pStyle w:val="50"/>
        <w:numPr>
          <w:ilvl w:val="0"/>
          <w:numId w:val="0"/>
        </w:numPr>
        <w:tabs>
          <w:tab w:val="left" w:pos="1134"/>
        </w:tabs>
        <w:spacing w:before="120" w:beforeAutospacing="0" w:after="0" w:afterAutospacing="0"/>
        <w:jc w:val="both"/>
        <w:textAlignment w:val="baseline"/>
        <w:rPr>
          <w:sz w:val="21"/>
          <w:szCs w:val="21"/>
        </w:rPr>
      </w:pPr>
    </w:p>
    <w:tbl>
      <w:tblPr>
        <w:tblStyle w:val="14"/>
        <w:tblW w:w="0" w:type="auto"/>
        <w:tblInd w:w="55" w:type="dxa"/>
        <w:tblLayout w:type="fixed"/>
        <w:tblCellMar>
          <w:top w:w="55" w:type="dxa"/>
          <w:left w:w="55" w:type="dxa"/>
          <w:bottom w:w="55" w:type="dxa"/>
          <w:right w:w="55" w:type="dxa"/>
        </w:tblCellMar>
      </w:tblPr>
      <w:tblGrid>
        <w:gridCol w:w="2328"/>
        <w:gridCol w:w="2489"/>
        <w:gridCol w:w="4254"/>
      </w:tblGrid>
      <w:tr w14:paraId="51827BDA">
        <w:tblPrEx>
          <w:tblCellMar>
            <w:top w:w="55" w:type="dxa"/>
            <w:left w:w="55" w:type="dxa"/>
            <w:bottom w:w="55" w:type="dxa"/>
            <w:right w:w="55" w:type="dxa"/>
          </w:tblCellMar>
        </w:tblPrEx>
        <w:tc>
          <w:tcPr>
            <w:tcW w:w="2328" w:type="dxa"/>
            <w:tcBorders>
              <w:top w:val="single" w:color="000000" w:sz="0" w:space="0"/>
              <w:left w:val="single" w:color="000000" w:sz="0" w:space="0"/>
              <w:bottom w:val="single" w:color="000000" w:sz="0" w:space="0"/>
            </w:tcBorders>
            <w:shd w:val="clear" w:color="auto" w:fill="auto"/>
            <w:noWrap w:val="0"/>
            <w:vAlign w:val="top"/>
          </w:tcPr>
          <w:p w14:paraId="58CEDD8E">
            <w:pPr>
              <w:pStyle w:val="218"/>
              <w:spacing w:line="360" w:lineRule="auto"/>
              <w:rPr>
                <w:sz w:val="24"/>
                <w:szCs w:val="24"/>
              </w:rPr>
            </w:pPr>
            <w:r>
              <w:rPr>
                <w:b w:val="0"/>
                <w:bCs w:val="0"/>
                <w:sz w:val="24"/>
                <w:szCs w:val="24"/>
                <w:shd w:val="clear" w:color="auto" w:fill="auto"/>
              </w:rPr>
              <w:t xml:space="preserve">Órgão </w:t>
            </w:r>
          </w:p>
        </w:tc>
        <w:tc>
          <w:tcPr>
            <w:tcW w:w="2489" w:type="dxa"/>
            <w:tcBorders>
              <w:top w:val="single" w:color="000000" w:sz="0" w:space="0"/>
              <w:left w:val="single" w:color="000000" w:sz="0" w:space="0"/>
              <w:bottom w:val="single" w:color="000000" w:sz="0" w:space="0"/>
            </w:tcBorders>
            <w:shd w:val="clear" w:color="auto" w:fill="auto"/>
            <w:noWrap w:val="0"/>
            <w:vAlign w:val="top"/>
          </w:tcPr>
          <w:p w14:paraId="624D8098">
            <w:pPr>
              <w:pStyle w:val="218"/>
              <w:spacing w:line="360" w:lineRule="auto"/>
              <w:rPr>
                <w:b w:val="0"/>
                <w:bCs w:val="0"/>
                <w:sz w:val="24"/>
                <w:szCs w:val="24"/>
                <w:shd w:val="clear" w:color="auto" w:fill="auto"/>
              </w:rPr>
            </w:pPr>
            <w:r>
              <w:rPr>
                <w:sz w:val="24"/>
                <w:szCs w:val="24"/>
              </w:rPr>
              <w:t>01</w:t>
            </w:r>
          </w:p>
        </w:tc>
        <w:tc>
          <w:tcPr>
            <w:tcW w:w="4254"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671D91F7">
            <w:pPr>
              <w:pStyle w:val="218"/>
              <w:spacing w:line="360" w:lineRule="auto"/>
            </w:pPr>
            <w:r>
              <w:rPr>
                <w:b w:val="0"/>
                <w:bCs w:val="0"/>
                <w:sz w:val="24"/>
                <w:szCs w:val="24"/>
                <w:shd w:val="clear" w:color="auto" w:fill="auto"/>
              </w:rPr>
              <w:t>CÂMARA MUNICIPAL</w:t>
            </w:r>
          </w:p>
        </w:tc>
      </w:tr>
      <w:tr w14:paraId="3689BD8D">
        <w:tblPrEx>
          <w:tblCellMar>
            <w:top w:w="55" w:type="dxa"/>
            <w:left w:w="55" w:type="dxa"/>
            <w:bottom w:w="55" w:type="dxa"/>
            <w:right w:w="55" w:type="dxa"/>
          </w:tblCellMar>
        </w:tblPrEx>
        <w:tc>
          <w:tcPr>
            <w:tcW w:w="2328" w:type="dxa"/>
            <w:tcBorders>
              <w:left w:val="single" w:color="000000" w:sz="0" w:space="0"/>
              <w:bottom w:val="single" w:color="000000" w:sz="0" w:space="0"/>
            </w:tcBorders>
            <w:shd w:val="clear" w:color="auto" w:fill="auto"/>
            <w:noWrap w:val="0"/>
            <w:vAlign w:val="top"/>
          </w:tcPr>
          <w:p w14:paraId="02A2C408">
            <w:pPr>
              <w:pStyle w:val="218"/>
              <w:spacing w:line="360" w:lineRule="auto"/>
              <w:rPr>
                <w:sz w:val="24"/>
                <w:szCs w:val="24"/>
              </w:rPr>
            </w:pPr>
            <w:r>
              <w:rPr>
                <w:sz w:val="24"/>
                <w:szCs w:val="24"/>
                <w:shd w:val="clear" w:color="auto" w:fill="auto"/>
              </w:rPr>
              <w:t>Unid Orçamentária</w:t>
            </w:r>
          </w:p>
        </w:tc>
        <w:tc>
          <w:tcPr>
            <w:tcW w:w="2489" w:type="dxa"/>
            <w:tcBorders>
              <w:left w:val="single" w:color="000000" w:sz="0" w:space="0"/>
              <w:bottom w:val="single" w:color="000000" w:sz="0" w:space="0"/>
            </w:tcBorders>
            <w:shd w:val="clear" w:color="auto" w:fill="auto"/>
            <w:noWrap w:val="0"/>
            <w:vAlign w:val="top"/>
          </w:tcPr>
          <w:p w14:paraId="0EAE9927">
            <w:pPr>
              <w:pStyle w:val="218"/>
              <w:spacing w:line="360" w:lineRule="auto"/>
              <w:rPr>
                <w:sz w:val="24"/>
                <w:szCs w:val="24"/>
                <w:shd w:val="clear" w:color="auto" w:fill="auto"/>
              </w:rPr>
            </w:pPr>
            <w:r>
              <w:rPr>
                <w:sz w:val="24"/>
                <w:szCs w:val="24"/>
              </w:rPr>
              <w:t>01.00.1</w:t>
            </w:r>
          </w:p>
        </w:tc>
        <w:tc>
          <w:tcPr>
            <w:tcW w:w="4254" w:type="dxa"/>
            <w:tcBorders>
              <w:left w:val="single" w:color="000000" w:sz="0" w:space="0"/>
              <w:bottom w:val="single" w:color="000000" w:sz="0" w:space="0"/>
              <w:right w:val="single" w:color="000000" w:sz="0" w:space="0"/>
            </w:tcBorders>
            <w:shd w:val="clear" w:color="auto" w:fill="auto"/>
            <w:noWrap w:val="0"/>
            <w:vAlign w:val="top"/>
          </w:tcPr>
          <w:p w14:paraId="542A2B23">
            <w:pPr>
              <w:pStyle w:val="218"/>
              <w:spacing w:line="360" w:lineRule="auto"/>
            </w:pPr>
            <w:r>
              <w:rPr>
                <w:sz w:val="24"/>
                <w:szCs w:val="24"/>
                <w:shd w:val="clear" w:color="auto" w:fill="auto"/>
              </w:rPr>
              <w:t>DEPARTAMENTO ADMINISTRATIVO</w:t>
            </w:r>
          </w:p>
        </w:tc>
      </w:tr>
      <w:tr w14:paraId="5638F623">
        <w:tblPrEx>
          <w:tblCellMar>
            <w:top w:w="55" w:type="dxa"/>
            <w:left w:w="55" w:type="dxa"/>
            <w:bottom w:w="55" w:type="dxa"/>
            <w:right w:w="55" w:type="dxa"/>
          </w:tblCellMar>
        </w:tblPrEx>
        <w:tc>
          <w:tcPr>
            <w:tcW w:w="2328" w:type="dxa"/>
            <w:tcBorders>
              <w:left w:val="single" w:color="000000" w:sz="0" w:space="0"/>
              <w:bottom w:val="single" w:color="000000" w:sz="0" w:space="0"/>
            </w:tcBorders>
            <w:shd w:val="clear" w:color="auto" w:fill="auto"/>
            <w:noWrap w:val="0"/>
            <w:vAlign w:val="top"/>
          </w:tcPr>
          <w:p w14:paraId="6908F9D0">
            <w:pPr>
              <w:pStyle w:val="218"/>
              <w:spacing w:line="360" w:lineRule="auto"/>
              <w:rPr>
                <w:sz w:val="24"/>
                <w:szCs w:val="24"/>
              </w:rPr>
            </w:pPr>
            <w:r>
              <w:rPr>
                <w:sz w:val="24"/>
                <w:szCs w:val="24"/>
                <w:shd w:val="clear" w:color="auto" w:fill="auto"/>
              </w:rPr>
              <w:t>Unidade Executora</w:t>
            </w:r>
          </w:p>
        </w:tc>
        <w:tc>
          <w:tcPr>
            <w:tcW w:w="2489" w:type="dxa"/>
            <w:tcBorders>
              <w:left w:val="single" w:color="000000" w:sz="0" w:space="0"/>
              <w:bottom w:val="single" w:color="000000" w:sz="0" w:space="0"/>
            </w:tcBorders>
            <w:shd w:val="clear" w:color="auto" w:fill="auto"/>
            <w:noWrap w:val="0"/>
            <w:vAlign w:val="top"/>
          </w:tcPr>
          <w:p w14:paraId="1624AC57">
            <w:pPr>
              <w:pStyle w:val="218"/>
              <w:spacing w:line="360" w:lineRule="auto"/>
              <w:rPr>
                <w:sz w:val="24"/>
                <w:szCs w:val="24"/>
                <w:shd w:val="clear" w:color="auto" w:fill="auto"/>
              </w:rPr>
            </w:pPr>
            <w:r>
              <w:rPr>
                <w:sz w:val="24"/>
                <w:szCs w:val="24"/>
              </w:rPr>
              <w:t>01.001</w:t>
            </w:r>
          </w:p>
        </w:tc>
        <w:tc>
          <w:tcPr>
            <w:tcW w:w="4254" w:type="dxa"/>
            <w:tcBorders>
              <w:left w:val="single" w:color="000000" w:sz="0" w:space="0"/>
              <w:bottom w:val="single" w:color="000000" w:sz="0" w:space="0"/>
              <w:right w:val="single" w:color="000000" w:sz="0" w:space="0"/>
            </w:tcBorders>
            <w:shd w:val="clear" w:color="auto" w:fill="auto"/>
            <w:noWrap w:val="0"/>
            <w:vAlign w:val="top"/>
          </w:tcPr>
          <w:p w14:paraId="0ED43E01">
            <w:pPr>
              <w:pStyle w:val="218"/>
              <w:spacing w:line="360" w:lineRule="auto"/>
            </w:pPr>
            <w:r>
              <w:rPr>
                <w:sz w:val="24"/>
                <w:szCs w:val="24"/>
                <w:shd w:val="clear" w:color="auto" w:fill="auto"/>
              </w:rPr>
              <w:t>DEPARTAMENTO ADMINISTRATIVO</w:t>
            </w:r>
          </w:p>
        </w:tc>
      </w:tr>
      <w:tr w14:paraId="0D9738B4">
        <w:tblPrEx>
          <w:tblCellMar>
            <w:top w:w="55" w:type="dxa"/>
            <w:left w:w="55" w:type="dxa"/>
            <w:bottom w:w="55" w:type="dxa"/>
            <w:right w:w="55" w:type="dxa"/>
          </w:tblCellMar>
        </w:tblPrEx>
        <w:tc>
          <w:tcPr>
            <w:tcW w:w="2328" w:type="dxa"/>
            <w:tcBorders>
              <w:left w:val="single" w:color="000000" w:sz="0" w:space="0"/>
              <w:bottom w:val="single" w:color="000000" w:sz="0" w:space="0"/>
            </w:tcBorders>
            <w:shd w:val="clear" w:color="auto" w:fill="auto"/>
            <w:noWrap w:val="0"/>
            <w:vAlign w:val="top"/>
          </w:tcPr>
          <w:p w14:paraId="31FD4FA7">
            <w:pPr>
              <w:pStyle w:val="218"/>
              <w:spacing w:line="360" w:lineRule="auto"/>
              <w:rPr>
                <w:sz w:val="24"/>
                <w:szCs w:val="24"/>
              </w:rPr>
            </w:pPr>
            <w:r>
              <w:rPr>
                <w:sz w:val="24"/>
                <w:szCs w:val="24"/>
                <w:shd w:val="clear" w:color="auto" w:fill="auto"/>
              </w:rPr>
              <w:t>Ficha</w:t>
            </w:r>
          </w:p>
        </w:tc>
        <w:tc>
          <w:tcPr>
            <w:tcW w:w="2489" w:type="dxa"/>
            <w:tcBorders>
              <w:left w:val="single" w:color="000000" w:sz="0" w:space="0"/>
              <w:bottom w:val="single" w:color="000000" w:sz="0" w:space="0"/>
            </w:tcBorders>
            <w:shd w:val="clear" w:color="auto" w:fill="auto"/>
            <w:noWrap w:val="0"/>
            <w:vAlign w:val="top"/>
          </w:tcPr>
          <w:p w14:paraId="2267FF2C">
            <w:pPr>
              <w:pStyle w:val="218"/>
              <w:spacing w:line="360" w:lineRule="auto"/>
              <w:rPr>
                <w:sz w:val="24"/>
                <w:szCs w:val="24"/>
              </w:rPr>
            </w:pPr>
            <w:r>
              <w:rPr>
                <w:sz w:val="24"/>
                <w:szCs w:val="24"/>
              </w:rPr>
              <w:t>0001</w:t>
            </w:r>
          </w:p>
        </w:tc>
        <w:tc>
          <w:tcPr>
            <w:tcW w:w="4254" w:type="dxa"/>
            <w:tcBorders>
              <w:left w:val="single" w:color="000000" w:sz="0" w:space="0"/>
              <w:bottom w:val="single" w:color="000000" w:sz="0" w:space="0"/>
              <w:right w:val="single" w:color="000000" w:sz="0" w:space="0"/>
            </w:tcBorders>
            <w:shd w:val="clear" w:color="auto" w:fill="auto"/>
            <w:noWrap w:val="0"/>
            <w:vAlign w:val="top"/>
          </w:tcPr>
          <w:p w14:paraId="6EDD9FA7">
            <w:pPr>
              <w:pStyle w:val="218"/>
              <w:spacing w:line="360" w:lineRule="auto"/>
              <w:rPr>
                <w:sz w:val="24"/>
                <w:szCs w:val="24"/>
              </w:rPr>
            </w:pPr>
          </w:p>
        </w:tc>
      </w:tr>
      <w:tr w14:paraId="60E4E806">
        <w:tblPrEx>
          <w:tblCellMar>
            <w:top w:w="55" w:type="dxa"/>
            <w:left w:w="55" w:type="dxa"/>
            <w:bottom w:w="55" w:type="dxa"/>
            <w:right w:w="55" w:type="dxa"/>
          </w:tblCellMar>
        </w:tblPrEx>
        <w:tc>
          <w:tcPr>
            <w:tcW w:w="2328" w:type="dxa"/>
            <w:tcBorders>
              <w:left w:val="single" w:color="000000" w:sz="0" w:space="0"/>
              <w:bottom w:val="single" w:color="000000" w:sz="0" w:space="0"/>
            </w:tcBorders>
            <w:shd w:val="clear" w:color="auto" w:fill="auto"/>
            <w:noWrap w:val="0"/>
            <w:vAlign w:val="top"/>
          </w:tcPr>
          <w:p w14:paraId="20BE6F1B">
            <w:pPr>
              <w:pStyle w:val="218"/>
              <w:spacing w:line="360" w:lineRule="auto"/>
              <w:rPr>
                <w:sz w:val="24"/>
                <w:szCs w:val="24"/>
                <w:lang w:val="pt-BR" w:eastAsia="ar-SA"/>
              </w:rPr>
            </w:pPr>
            <w:r>
              <w:rPr>
                <w:rFonts w:eastAsia="Liberation Serif" w:cs="Liberation Serif"/>
                <w:color w:val="auto"/>
                <w:kern w:val="0"/>
                <w:sz w:val="24"/>
                <w:szCs w:val="24"/>
                <w:shd w:val="clear" w:color="auto" w:fill="auto"/>
                <w:lang w:val="pt-BR" w:eastAsia="ar-SA"/>
              </w:rPr>
              <w:t>Elemento</w:t>
            </w:r>
          </w:p>
        </w:tc>
        <w:tc>
          <w:tcPr>
            <w:tcW w:w="2489" w:type="dxa"/>
            <w:tcBorders>
              <w:left w:val="single" w:color="000000" w:sz="0" w:space="0"/>
              <w:bottom w:val="single" w:color="000000" w:sz="0" w:space="0"/>
            </w:tcBorders>
            <w:shd w:val="clear" w:color="auto" w:fill="auto"/>
            <w:noWrap w:val="0"/>
            <w:vAlign w:val="top"/>
          </w:tcPr>
          <w:p w14:paraId="14DCE4BA">
            <w:pPr>
              <w:pStyle w:val="218"/>
              <w:spacing w:line="360" w:lineRule="auto"/>
              <w:rPr>
                <w:rFonts w:eastAsia="Liberation Serif" w:cs="Liberation Serif"/>
                <w:color w:val="auto"/>
                <w:kern w:val="0"/>
                <w:sz w:val="24"/>
                <w:szCs w:val="24"/>
                <w:shd w:val="clear" w:color="auto" w:fill="auto"/>
                <w:lang w:val="pt-BR" w:eastAsia="ar-SA" w:bidi="ar-SA"/>
              </w:rPr>
            </w:pPr>
            <w:r>
              <w:rPr>
                <w:sz w:val="24"/>
                <w:szCs w:val="24"/>
                <w:lang w:val="pt-BR" w:eastAsia="ar-SA"/>
              </w:rPr>
              <w:t>01.031.0001-1.001</w:t>
            </w:r>
          </w:p>
        </w:tc>
        <w:tc>
          <w:tcPr>
            <w:tcW w:w="4254" w:type="dxa"/>
            <w:tcBorders>
              <w:left w:val="single" w:color="000000" w:sz="0" w:space="0"/>
              <w:bottom w:val="single" w:color="000000" w:sz="0" w:space="0"/>
              <w:right w:val="single" w:color="000000" w:sz="0" w:space="0"/>
            </w:tcBorders>
            <w:shd w:val="clear" w:color="auto" w:fill="auto"/>
            <w:noWrap w:val="0"/>
            <w:vAlign w:val="top"/>
          </w:tcPr>
          <w:p w14:paraId="2DE6DB30">
            <w:pPr>
              <w:pStyle w:val="218"/>
              <w:spacing w:line="360" w:lineRule="auto"/>
            </w:pPr>
            <w:r>
              <w:rPr>
                <w:rFonts w:eastAsia="Liberation Serif" w:cs="Liberation Serif"/>
                <w:color w:val="auto"/>
                <w:kern w:val="0"/>
                <w:sz w:val="24"/>
                <w:szCs w:val="24"/>
                <w:shd w:val="clear" w:color="auto" w:fill="auto"/>
                <w:lang w:val="pt-BR" w:eastAsia="ar-SA" w:bidi="ar-SA"/>
              </w:rPr>
              <w:t>SERVIÇO DE TERCEIROS – PESSOA JURÍDICA</w:t>
            </w:r>
          </w:p>
        </w:tc>
      </w:tr>
    </w:tbl>
    <w:p w14:paraId="2D232E29">
      <w:pPr>
        <w:spacing w:line="100" w:lineRule="atLeast"/>
        <w:jc w:val="both"/>
        <w:rPr>
          <w:rFonts w:hint="default" w:ascii="Times New Roman" w:hAnsi="Times New Roman" w:eastAsia="Times New Roman" w:cs="Times New Roman"/>
          <w:sz w:val="22"/>
          <w:szCs w:val="22"/>
          <w:lang w:eastAsia="en-US"/>
        </w:rPr>
      </w:pPr>
    </w:p>
    <w:p w14:paraId="1C5CB6D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w:t>
      </w:r>
      <w:r>
        <w:rPr>
          <w:rStyle w:val="53"/>
          <w:color w:val="000000" w:themeColor="text1"/>
          <w:sz w:val="21"/>
          <w:szCs w:val="21"/>
          <w14:textFill>
            <w14:solidFill>
              <w14:schemeClr w14:val="tx1"/>
            </w14:solidFill>
          </w14:textFill>
        </w:rPr>
        <w:t>caso</w:t>
      </w:r>
      <w:r>
        <w:rPr>
          <w:color w:val="000000"/>
          <w:sz w:val="21"/>
          <w:szCs w:val="21"/>
        </w:rPr>
        <w:t xml:space="preserve"> de </w:t>
      </w:r>
      <w:r>
        <w:rPr>
          <w:rStyle w:val="53"/>
          <w:color w:val="000000" w:themeColor="text1"/>
          <w:sz w:val="21"/>
          <w:szCs w:val="21"/>
          <w14:textFill>
            <w14:solidFill>
              <w14:schemeClr w14:val="tx1"/>
            </w14:solidFill>
          </w14:textFill>
        </w:rPr>
        <w:t>divergência</w:t>
      </w:r>
      <w:r>
        <w:rPr>
          <w:color w:val="000000"/>
          <w:sz w:val="21"/>
          <w:szCs w:val="21"/>
        </w:rPr>
        <w:t xml:space="preserve"> existente entre as especificações descritas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 e as especificações constantes deste Edital, prevalecerão as últimas.</w:t>
      </w:r>
    </w:p>
    <w:p w14:paraId="0B97915B">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sz w:val="21"/>
          <w:szCs w:val="21"/>
        </w:rPr>
      </w:pPr>
      <w:r>
        <w:rPr>
          <w:color w:val="000000"/>
          <w:sz w:val="21"/>
          <w:szCs w:val="21"/>
        </w:rPr>
        <w:t xml:space="preserve">Todas </w:t>
      </w:r>
      <w:r>
        <w:rPr>
          <w:rStyle w:val="53"/>
          <w:color w:val="000000" w:themeColor="text1"/>
          <w:sz w:val="21"/>
          <w:szCs w:val="21"/>
          <w14:textFill>
            <w14:solidFill>
              <w14:schemeClr w14:val="tx1"/>
            </w14:solidFill>
          </w14:textFill>
        </w:rPr>
        <w:t>as</w:t>
      </w:r>
      <w:r>
        <w:rPr>
          <w:color w:val="000000"/>
          <w:sz w:val="21"/>
          <w:szCs w:val="21"/>
        </w:rPr>
        <w:t xml:space="preserve"> referências de tempo no Edital, no aviso e durante a sessão pública observarão o horário de </w:t>
      </w:r>
      <w:r>
        <w:rPr>
          <w:rStyle w:val="53"/>
          <w:color w:val="000000" w:themeColor="text1"/>
          <w:sz w:val="21"/>
          <w:szCs w:val="21"/>
          <w14:textFill>
            <w14:solidFill>
              <w14:schemeClr w14:val="tx1"/>
            </w14:solidFill>
          </w14:textFill>
        </w:rPr>
        <w:t>Brasília</w:t>
      </w:r>
      <w:r>
        <w:rPr>
          <w:color w:val="000000"/>
          <w:sz w:val="21"/>
          <w:szCs w:val="21"/>
        </w:rPr>
        <w:t xml:space="preserve"> / DF.</w:t>
      </w:r>
    </w:p>
    <w:p w14:paraId="5C76A420">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sz w:val="21"/>
          <w:szCs w:val="21"/>
        </w:rPr>
      </w:pPr>
      <w:r>
        <w:rPr>
          <w:color w:val="000000"/>
          <w:sz w:val="21"/>
          <w:szCs w:val="21"/>
        </w:rPr>
        <w:t xml:space="preserve">O </w:t>
      </w:r>
      <w:r>
        <w:rPr>
          <w:rStyle w:val="53"/>
          <w:color w:val="000000" w:themeColor="text1"/>
          <w:sz w:val="21"/>
          <w:szCs w:val="21"/>
          <w14:textFill>
            <w14:solidFill>
              <w14:schemeClr w14:val="tx1"/>
            </w14:solidFill>
          </w14:textFill>
        </w:rPr>
        <w:t>licitante</w:t>
      </w:r>
      <w:r>
        <w:rPr>
          <w:color w:val="000000"/>
          <w:sz w:val="21"/>
          <w:szCs w:val="21"/>
        </w:rPr>
        <w:t xml:space="preserve"> será responsável por todas as transações que forem efetuadas em seu nome no sistema eletrônico, assumindo como firmes e verdadeiras suas propostas e lances.</w:t>
      </w:r>
    </w:p>
    <w:p w14:paraId="4AF6AE83">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sz w:val="21"/>
          <w:szCs w:val="21"/>
        </w:rPr>
      </w:pPr>
      <w:r>
        <w:rPr>
          <w:color w:val="000000"/>
          <w:sz w:val="21"/>
          <w:szCs w:val="21"/>
        </w:rPr>
        <w:t xml:space="preserve">Incumbirá ao licitante acompanhar as operações no sistema eletrônico durante a sessão pública deste </w:t>
      </w:r>
      <w:r>
        <w:rPr>
          <w:rStyle w:val="53"/>
          <w:color w:val="000000" w:themeColor="text1"/>
          <w:sz w:val="21"/>
          <w:szCs w:val="21"/>
          <w14:textFill>
            <w14:solidFill>
              <w14:schemeClr w14:val="tx1"/>
            </w14:solidFill>
          </w14:textFill>
        </w:rPr>
        <w:t>Pregão</w:t>
      </w:r>
      <w:r>
        <w:rPr>
          <w:color w:val="000000"/>
          <w:sz w:val="21"/>
          <w:szCs w:val="21"/>
        </w:rPr>
        <w:t>, ficando responsável pelo ônus decorrente da perda de negócios, diante da inobservância de quaisquer mensagens emitidas pelo sistema ou de sua desconexão.</w:t>
      </w:r>
    </w:p>
    <w:p w14:paraId="516C43DF">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 xml:space="preserve">No julgamento das propostas e da habilitação, o </w:t>
      </w:r>
      <w:r>
        <w:rPr>
          <w:sz w:val="21"/>
          <w:szCs w:val="21"/>
        </w:rPr>
        <w:t>Pregoeiro</w:t>
      </w:r>
      <w:r>
        <w:rPr>
          <w:color w:val="000000"/>
          <w:sz w:val="21"/>
          <w:szCs w:val="21"/>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26D7B66B">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 xml:space="preserve">É facultado ao(à) </w:t>
      </w:r>
      <w:r>
        <w:rPr>
          <w:sz w:val="21"/>
          <w:szCs w:val="21"/>
        </w:rPr>
        <w:t>Pregoeiro</w:t>
      </w:r>
      <w:r>
        <w:rPr>
          <w:color w:val="000000"/>
          <w:sz w:val="21"/>
          <w:szCs w:val="21"/>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41993B62">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A homologação do resultado desta licitação não implicará direito à contratação.</w:t>
      </w:r>
    </w:p>
    <w:p w14:paraId="7F1D024D">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sz w:val="21"/>
          <w:szCs w:val="21"/>
        </w:rPr>
      </w:pPr>
      <w:r>
        <w:rPr>
          <w:color w:val="000000"/>
          <w:sz w:val="21"/>
          <w:szCs w:val="21"/>
        </w:rPr>
        <w:t xml:space="preserve">Será divulgada ata da sessão pública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1D16A1E">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Os interessados/licitantes obrigam-se ao acompanhamento das informações disponibilizadas, não podendo alegar seu desconhecimento.</w:t>
      </w:r>
    </w:p>
    <w:p w14:paraId="7356FF5D">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F21E52">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Os licitantes assumem todos os custos de preparação e apresentação de suas propostas e a Administração não será, em nenhum caso, responsável por esses custos, independentemente da condução ou do resultado do processo licitatório.</w:t>
      </w:r>
    </w:p>
    <w:p w14:paraId="4BB02C9C">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Na contagem dos prazos estabelecidos neste Edital e seus Anexos, excluir-se-á o dia do início e incluir-se-á o do vencimento. Só se iniciam e vencem os prazos em dias de expediente na Administração.</w:t>
      </w:r>
    </w:p>
    <w:p w14:paraId="02A2BAF7">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O desatendimento de exigências formais não essenciais não importará o afastamento do licitante, desde que seja possível o aproveitamento do ato, observados os princípios da isonomia e do interesse público.</w:t>
      </w:r>
    </w:p>
    <w:p w14:paraId="0E1BF94E">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sz w:val="21"/>
          <w:szCs w:val="21"/>
        </w:rPr>
      </w:pPr>
      <w:r>
        <w:rPr>
          <w:color w:val="000000"/>
          <w:sz w:val="21"/>
          <w:szCs w:val="21"/>
        </w:rPr>
        <w:t xml:space="preserve">Nenhuma </w:t>
      </w:r>
      <w:r>
        <w:rPr>
          <w:rStyle w:val="53"/>
          <w:color w:val="000000" w:themeColor="text1"/>
          <w:sz w:val="21"/>
          <w:szCs w:val="21"/>
          <w14:textFill>
            <w14:solidFill>
              <w14:schemeClr w14:val="tx1"/>
            </w14:solidFill>
          </w14:textFill>
        </w:rPr>
        <w:t>indenização</w:t>
      </w:r>
      <w:r>
        <w:rPr>
          <w:color w:val="000000"/>
          <w:sz w:val="21"/>
          <w:szCs w:val="21"/>
        </w:rPr>
        <w:t xml:space="preserve"> será devida às licitantes por apresentarem documentação e/ou elaborarem proposta relativa ao presente </w:t>
      </w:r>
      <w:r>
        <w:rPr>
          <w:rStyle w:val="53"/>
          <w:color w:val="000000" w:themeColor="text1"/>
          <w:sz w:val="21"/>
          <w:szCs w:val="21"/>
          <w14:textFill>
            <w14:solidFill>
              <w14:schemeClr w14:val="tx1"/>
            </w14:solidFill>
          </w14:textFill>
        </w:rPr>
        <w:t>Pregão</w:t>
      </w:r>
      <w:r>
        <w:rPr>
          <w:color w:val="000000"/>
          <w:sz w:val="21"/>
          <w:szCs w:val="21"/>
        </w:rPr>
        <w:t>.</w:t>
      </w:r>
    </w:p>
    <w:p w14:paraId="157E64AA">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sz w:val="21"/>
          <w:szCs w:val="21"/>
        </w:rPr>
      </w:pPr>
      <w:r>
        <w:rPr>
          <w:color w:val="000000"/>
          <w:sz w:val="21"/>
          <w:szCs w:val="21"/>
        </w:rPr>
        <w:t xml:space="preserve">A Câmara Municipal de Primavera do Leste - MT não se responsabilizará por eventuais danos </w:t>
      </w:r>
      <w:r>
        <w:rPr>
          <w:rStyle w:val="53"/>
          <w:color w:val="000000" w:themeColor="text1"/>
          <w:sz w:val="21"/>
          <w:szCs w:val="21"/>
          <w14:textFill>
            <w14:solidFill>
              <w14:schemeClr w14:val="tx1"/>
            </w14:solidFill>
          </w14:textFill>
        </w:rPr>
        <w:t>causados</w:t>
      </w:r>
      <w:r>
        <w:rPr>
          <w:color w:val="000000"/>
          <w:sz w:val="21"/>
          <w:szCs w:val="21"/>
        </w:rPr>
        <w:t xml:space="preserve"> à licitante, decorrentes do uso indevido da senha durante as transações efetuadas, ainda que por terceiros.</w:t>
      </w:r>
    </w:p>
    <w:p w14:paraId="4DEB6D64">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5E084AC6">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Se traduzido para a língua portuguesa no exterior, a tradução deverá ter sido efetuada por profissional qualificado, segundo as leis do país de origem e os documentos autenticados pela via consular.</w:t>
      </w:r>
    </w:p>
    <w:p w14:paraId="55943F3D">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0" w:beforeAutospacing="0" w:after="0" w:afterAutospacing="0" w:line="204" w:lineRule="auto"/>
        <w:ind w:left="-87" w:leftChars="0" w:firstLine="567" w:firstLineChars="0"/>
        <w:jc w:val="both"/>
        <w:textAlignment w:val="baseline"/>
        <w:rPr>
          <w:rFonts w:ascii="Times New Roman" w:hAnsi="Times New Roman"/>
          <w:sz w:val="21"/>
          <w:szCs w:val="21"/>
        </w:rPr>
      </w:pPr>
      <w:r>
        <w:rPr>
          <w:color w:val="000000"/>
          <w:sz w:val="21"/>
          <w:szCs w:val="21"/>
        </w:rPr>
        <w:t xml:space="preserve">O horário de atendimento presencial do protocolo administrativo da Câmara Municipal de Primavera do Leste - MT é das </w:t>
      </w:r>
      <w:r>
        <w:rPr>
          <w:color w:val="000000"/>
          <w:sz w:val="21"/>
          <w:szCs w:val="21"/>
          <w:shd w:val="clear" w:fill="auto"/>
        </w:rPr>
        <w:t xml:space="preserve">07h00 </w:t>
      </w:r>
      <w:r>
        <w:rPr>
          <w:color w:val="000000"/>
          <w:sz w:val="21"/>
          <w:szCs w:val="21"/>
        </w:rPr>
        <w:t>às 13h00 , de segunda a sexta-feira, no horário oficial de Mato Grosso (GMT -04:00).</w:t>
      </w:r>
    </w:p>
    <w:p w14:paraId="6D75CF45">
      <w:pPr>
        <w:pStyle w:val="2"/>
        <w:keepNext w:val="0"/>
        <w:keepLines w:val="0"/>
        <w:pageBreakBefore w:val="0"/>
        <w:widowControl/>
        <w:kinsoku/>
        <w:wordWrap/>
        <w:topLinePunct w:val="0"/>
        <w:autoSpaceDE/>
        <w:autoSpaceDN/>
        <w:bidi w:val="0"/>
        <w:adjustRightInd/>
        <w:snapToGrid/>
        <w:spacing w:before="360" w:after="0" w:line="204" w:lineRule="auto"/>
        <w:rPr>
          <w:sz w:val="21"/>
          <w:szCs w:val="21"/>
        </w:rPr>
      </w:pPr>
      <w:bookmarkStart w:id="62" w:name="_Toc149517465"/>
      <w:r>
        <w:rPr>
          <w:rStyle w:val="53"/>
          <w:sz w:val="21"/>
          <w:szCs w:val="21"/>
        </w:rPr>
        <w:t>FORO</w:t>
      </w:r>
      <w:bookmarkEnd w:id="62"/>
    </w:p>
    <w:p w14:paraId="1A9E27B0">
      <w:pPr>
        <w:pStyle w:val="50"/>
        <w:keepNext w:val="0"/>
        <w:keepLines w:val="0"/>
        <w:pageBreakBefore w:val="0"/>
        <w:widowControl/>
        <w:numPr>
          <w:ilvl w:val="1"/>
          <w:numId w:val="1"/>
        </w:numPr>
        <w:tabs>
          <w:tab w:val="left" w:pos="1134"/>
        </w:tabs>
        <w:kinsoku/>
        <w:wordWrap/>
        <w:topLinePunct w:val="0"/>
        <w:autoSpaceDE/>
        <w:autoSpaceDN/>
        <w:bidi w:val="0"/>
        <w:adjustRightInd/>
        <w:snapToGrid/>
        <w:spacing w:before="120" w:beforeAutospacing="0" w:after="120" w:afterAutospacing="0" w:line="204" w:lineRule="auto"/>
        <w:ind w:left="-87" w:leftChars="0" w:firstLine="567" w:firstLineChars="0"/>
        <w:jc w:val="both"/>
        <w:textAlignment w:val="baseline"/>
        <w:rPr>
          <w:rFonts w:ascii="Times New Roman" w:hAnsi="Times New Roman"/>
          <w:sz w:val="21"/>
          <w:szCs w:val="21"/>
        </w:rPr>
      </w:pPr>
      <w:r>
        <w:rPr>
          <w:sz w:val="21"/>
          <w:szCs w:val="21"/>
        </w:rPr>
        <w:t xml:space="preserve">As </w:t>
      </w:r>
      <w:r>
        <w:rPr>
          <w:rFonts w:cs="Times New Roman"/>
          <w:sz w:val="21"/>
          <w:szCs w:val="21"/>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45635348">
      <w:pPr>
        <w:pStyle w:val="181"/>
        <w:keepNext w:val="0"/>
        <w:keepLines w:val="0"/>
        <w:pageBreakBefore w:val="0"/>
        <w:widowControl/>
        <w:kinsoku/>
        <w:wordWrap/>
        <w:overflowPunct w:val="0"/>
        <w:topLinePunct w:val="0"/>
        <w:autoSpaceDE/>
        <w:autoSpaceDN/>
        <w:bidi w:val="0"/>
        <w:adjustRightInd/>
        <w:snapToGrid/>
        <w:spacing w:line="204" w:lineRule="auto"/>
        <w:jc w:val="both"/>
        <w:textAlignment w:val="auto"/>
        <w:rPr>
          <w:rFonts w:ascii="Times New Roman" w:hAnsi="Times New Roman" w:cs="Times New Roman"/>
          <w:sz w:val="21"/>
          <w:szCs w:val="21"/>
        </w:rPr>
      </w:pPr>
    </w:p>
    <w:p w14:paraId="26B041E1">
      <w:pPr>
        <w:pStyle w:val="181"/>
        <w:keepNext w:val="0"/>
        <w:keepLines w:val="0"/>
        <w:pageBreakBefore w:val="0"/>
        <w:widowControl/>
        <w:kinsoku/>
        <w:wordWrap/>
        <w:overflowPunct w:val="0"/>
        <w:topLinePunct w:val="0"/>
        <w:autoSpaceDE/>
        <w:autoSpaceDN/>
        <w:bidi w:val="0"/>
        <w:adjustRightInd/>
        <w:snapToGrid/>
        <w:spacing w:line="204" w:lineRule="auto"/>
        <w:jc w:val="right"/>
        <w:textAlignment w:val="auto"/>
        <w:rPr>
          <w:rFonts w:ascii="Times New Roman" w:hAnsi="Times New Roman"/>
          <w:sz w:val="21"/>
          <w:szCs w:val="21"/>
        </w:rPr>
      </w:pPr>
      <w:r>
        <w:rPr>
          <w:rFonts w:ascii="Times New Roman" w:hAnsi="Times New Roman" w:cs="Times New Roman"/>
          <w:sz w:val="21"/>
          <w:szCs w:val="21"/>
        </w:rPr>
        <w:t>Primavera do Leste - MT,</w:t>
      </w:r>
      <w:r>
        <w:rPr>
          <w:rFonts w:hint="default" w:ascii="Times New Roman" w:hAnsi="Times New Roman" w:cs="Times New Roman"/>
          <w:sz w:val="21"/>
          <w:szCs w:val="21"/>
          <w:lang w:val="pt-BR"/>
        </w:rPr>
        <w:t xml:space="preserve"> 13 de setembro d</w:t>
      </w:r>
      <w:r>
        <w:rPr>
          <w:rFonts w:ascii="Times New Roman" w:hAnsi="Times New Roman" w:cs="Times New Roman"/>
          <w:sz w:val="21"/>
          <w:szCs w:val="21"/>
        </w:rPr>
        <w:t>e 2024.</w:t>
      </w:r>
    </w:p>
    <w:p w14:paraId="10815F43">
      <w:pPr>
        <w:pStyle w:val="181"/>
        <w:keepNext w:val="0"/>
        <w:keepLines w:val="0"/>
        <w:pageBreakBefore w:val="0"/>
        <w:widowControl/>
        <w:kinsoku/>
        <w:wordWrap/>
        <w:overflowPunct w:val="0"/>
        <w:topLinePunct w:val="0"/>
        <w:autoSpaceDE/>
        <w:autoSpaceDN/>
        <w:bidi w:val="0"/>
        <w:adjustRightInd/>
        <w:snapToGrid/>
        <w:spacing w:line="204" w:lineRule="auto"/>
        <w:jc w:val="both"/>
        <w:textAlignment w:val="auto"/>
        <w:rPr>
          <w:rFonts w:ascii="Times New Roman" w:hAnsi="Times New Roman" w:eastAsia="Times New Roman" w:cs="Times New Roman"/>
          <w:b/>
          <w:bCs/>
          <w:color w:val="212529"/>
          <w:sz w:val="21"/>
          <w:szCs w:val="21"/>
          <w:lang w:eastAsia="pt-BR"/>
        </w:rPr>
      </w:pPr>
    </w:p>
    <w:p w14:paraId="08818926">
      <w:pPr>
        <w:pStyle w:val="181"/>
        <w:keepNext w:val="0"/>
        <w:keepLines w:val="0"/>
        <w:pageBreakBefore w:val="0"/>
        <w:widowControl/>
        <w:kinsoku/>
        <w:wordWrap/>
        <w:overflowPunct w:val="0"/>
        <w:topLinePunct w:val="0"/>
        <w:autoSpaceDE/>
        <w:autoSpaceDN/>
        <w:bidi w:val="0"/>
        <w:adjustRightInd/>
        <w:snapToGrid/>
        <w:spacing w:line="204" w:lineRule="auto"/>
        <w:jc w:val="both"/>
        <w:textAlignment w:val="auto"/>
        <w:rPr>
          <w:rFonts w:ascii="Times New Roman" w:hAnsi="Times New Roman" w:eastAsia="Times New Roman" w:cs="Times New Roman"/>
          <w:b/>
          <w:bCs/>
          <w:color w:val="212529"/>
          <w:sz w:val="21"/>
          <w:szCs w:val="21"/>
          <w:lang w:eastAsia="pt-BR"/>
        </w:rPr>
      </w:pPr>
    </w:p>
    <w:p w14:paraId="542F7C01">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eastAsia="Times New Roman" w:cs="Times New Roman"/>
          <w:b/>
          <w:bCs/>
          <w:color w:val="212529"/>
          <w:sz w:val="21"/>
          <w:szCs w:val="21"/>
          <w:lang w:eastAsia="pt-BR"/>
        </w:rPr>
      </w:pPr>
    </w:p>
    <w:p w14:paraId="2CDDFAC3">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eastAsia="Times New Roman" w:cs="Times New Roman"/>
          <w:b/>
          <w:bCs/>
          <w:color w:val="212529"/>
          <w:sz w:val="21"/>
          <w:szCs w:val="21"/>
          <w:lang w:eastAsia="pt-BR"/>
        </w:rPr>
      </w:pPr>
    </w:p>
    <w:p w14:paraId="3498B099">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sz w:val="21"/>
          <w:szCs w:val="21"/>
        </w:rPr>
      </w:pPr>
      <w:r>
        <w:rPr>
          <w:rFonts w:ascii="Times New Roman" w:hAnsi="Times New Roman" w:eastAsia="Times New Roman" w:cs="Times New Roman"/>
          <w:b/>
          <w:bCs/>
          <w:color w:val="000000"/>
          <w:sz w:val="21"/>
          <w:szCs w:val="21"/>
          <w:lang w:eastAsia="pt-BR"/>
        </w:rPr>
        <w:t>Wender de Souza Barros</w:t>
      </w:r>
    </w:p>
    <w:p w14:paraId="1224D9F3">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sz w:val="21"/>
          <w:szCs w:val="21"/>
        </w:rPr>
      </w:pPr>
      <w:r>
        <w:rPr>
          <w:rFonts w:ascii="Times New Roman" w:hAnsi="Times New Roman" w:eastAsia="Times New Roman" w:cs="Times New Roman"/>
          <w:color w:val="000000"/>
          <w:sz w:val="21"/>
          <w:szCs w:val="21"/>
          <w:lang w:val="en-US" w:eastAsia="pt-BR"/>
        </w:rPr>
        <w:t>Agente de Contratação</w:t>
      </w:r>
    </w:p>
    <w:p w14:paraId="10C3986B">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sz w:val="21"/>
          <w:szCs w:val="21"/>
        </w:rPr>
      </w:pPr>
      <w:r>
        <w:rPr>
          <w:rFonts w:ascii="Times New Roman" w:hAnsi="Times New Roman" w:eastAsia="Times New Roman" w:cs="Times New Roman"/>
          <w:color w:val="000000"/>
          <w:sz w:val="21"/>
          <w:szCs w:val="21"/>
          <w:lang w:eastAsia="pt-BR"/>
        </w:rPr>
        <w:t>Portaria nº 0</w:t>
      </w:r>
      <w:r>
        <w:rPr>
          <w:rFonts w:hint="default" w:ascii="Times New Roman" w:hAnsi="Times New Roman" w:eastAsia="Times New Roman" w:cs="Times New Roman"/>
          <w:color w:val="000000"/>
          <w:sz w:val="21"/>
          <w:szCs w:val="21"/>
          <w:lang w:val="en-US" w:eastAsia="pt-BR"/>
        </w:rPr>
        <w:t>85</w:t>
      </w:r>
      <w:r>
        <w:rPr>
          <w:rFonts w:ascii="Times New Roman" w:hAnsi="Times New Roman" w:eastAsia="Times New Roman" w:cs="Times New Roman"/>
          <w:color w:val="000000"/>
          <w:sz w:val="21"/>
          <w:szCs w:val="21"/>
          <w:lang w:val="en-US" w:eastAsia="pt-BR"/>
        </w:rPr>
        <w:t>/2024</w:t>
      </w:r>
    </w:p>
    <w:p w14:paraId="2E264EE9">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eastAsia="Times New Roman" w:cs="Times New Roman"/>
          <w:color w:val="000000"/>
          <w:sz w:val="21"/>
          <w:szCs w:val="21"/>
          <w:lang w:val="en-US" w:eastAsia="pt-BR"/>
        </w:rPr>
      </w:pPr>
    </w:p>
    <w:p w14:paraId="250058C4">
      <w:pPr>
        <w:pStyle w:val="181"/>
        <w:keepNext w:val="0"/>
        <w:keepLines w:val="0"/>
        <w:pageBreakBefore w:val="0"/>
        <w:widowControl/>
        <w:kinsoku/>
        <w:wordWrap/>
        <w:overflowPunct w:val="0"/>
        <w:topLinePunct w:val="0"/>
        <w:autoSpaceDE/>
        <w:autoSpaceDN/>
        <w:bidi w:val="0"/>
        <w:adjustRightInd/>
        <w:snapToGrid/>
        <w:spacing w:line="204" w:lineRule="auto"/>
        <w:jc w:val="both"/>
        <w:textAlignment w:val="auto"/>
        <w:rPr>
          <w:rFonts w:ascii="Times New Roman" w:hAnsi="Times New Roman" w:cs="Times New Roman"/>
          <w:color w:val="000000"/>
          <w:sz w:val="21"/>
          <w:szCs w:val="21"/>
        </w:rPr>
      </w:pPr>
    </w:p>
    <w:p w14:paraId="17C05FCD">
      <w:pPr>
        <w:pStyle w:val="181"/>
        <w:keepNext w:val="0"/>
        <w:keepLines w:val="0"/>
        <w:pageBreakBefore w:val="0"/>
        <w:widowControl/>
        <w:kinsoku/>
        <w:wordWrap/>
        <w:overflowPunct w:val="0"/>
        <w:topLinePunct w:val="0"/>
        <w:autoSpaceDE/>
        <w:autoSpaceDN/>
        <w:bidi w:val="0"/>
        <w:adjustRightInd/>
        <w:snapToGrid/>
        <w:spacing w:line="204" w:lineRule="auto"/>
        <w:jc w:val="both"/>
        <w:textAlignment w:val="auto"/>
        <w:rPr>
          <w:rFonts w:ascii="Times New Roman" w:hAnsi="Times New Roman" w:cs="Times New Roman"/>
          <w:color w:val="000000"/>
          <w:sz w:val="21"/>
          <w:szCs w:val="21"/>
        </w:rPr>
      </w:pPr>
    </w:p>
    <w:p w14:paraId="322BC674">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sz w:val="21"/>
          <w:szCs w:val="21"/>
        </w:rPr>
      </w:pPr>
      <w:r>
        <w:rPr>
          <w:rFonts w:ascii="Times New Roman" w:hAnsi="Times New Roman" w:cs="Times New Roman"/>
          <w:b/>
          <w:sz w:val="21"/>
          <w:szCs w:val="21"/>
        </w:rPr>
        <w:t>Valdecir Alventino da Silva</w:t>
      </w:r>
    </w:p>
    <w:p w14:paraId="778E290A">
      <w:pPr>
        <w:pStyle w:val="181"/>
        <w:keepNext w:val="0"/>
        <w:keepLines w:val="0"/>
        <w:pageBreakBefore w:val="0"/>
        <w:widowControl/>
        <w:kinsoku/>
        <w:wordWrap/>
        <w:overflowPunct w:val="0"/>
        <w:topLinePunct w:val="0"/>
        <w:autoSpaceDE/>
        <w:autoSpaceDN/>
        <w:bidi w:val="0"/>
        <w:adjustRightInd/>
        <w:snapToGrid/>
        <w:spacing w:line="204" w:lineRule="auto"/>
        <w:jc w:val="center"/>
        <w:textAlignment w:val="auto"/>
        <w:rPr>
          <w:rFonts w:ascii="Times New Roman" w:hAnsi="Times New Roman" w:cs="Times New Roman"/>
          <w:sz w:val="21"/>
          <w:szCs w:val="21"/>
        </w:rPr>
      </w:pPr>
      <w:r>
        <w:rPr>
          <w:rFonts w:ascii="Times New Roman" w:hAnsi="Times New Roman" w:cs="Times New Roman"/>
          <w:sz w:val="21"/>
          <w:szCs w:val="21"/>
        </w:rPr>
        <w:t>Vereador Presidente</w:t>
      </w:r>
      <w:bookmarkStart w:id="63" w:name="_ANEXO_I_-"/>
      <w:bookmarkEnd w:id="63"/>
    </w:p>
    <w:p w14:paraId="5BF99F23">
      <w:pPr>
        <w:rPr>
          <w:rFonts w:ascii="Times New Roman" w:hAnsi="Times New Roman" w:cs="Times New Roman"/>
          <w:sz w:val="21"/>
          <w:szCs w:val="21"/>
        </w:rPr>
      </w:pPr>
      <w:r>
        <w:rPr>
          <w:rFonts w:ascii="Times New Roman" w:hAnsi="Times New Roman" w:cs="Times New Roman"/>
          <w:sz w:val="21"/>
          <w:szCs w:val="21"/>
        </w:rPr>
        <w:br w:type="page"/>
      </w:r>
    </w:p>
    <w:tbl>
      <w:tblPr>
        <w:tblStyle w:val="14"/>
        <w:tblW w:w="0" w:type="auto"/>
        <w:tblInd w:w="-176" w:type="dxa"/>
        <w:tblLayout w:type="fixed"/>
        <w:tblCellMar>
          <w:top w:w="0" w:type="dxa"/>
          <w:left w:w="108" w:type="dxa"/>
          <w:bottom w:w="0" w:type="dxa"/>
          <w:right w:w="108" w:type="dxa"/>
        </w:tblCellMar>
      </w:tblPr>
      <w:tblGrid>
        <w:gridCol w:w="9356"/>
      </w:tblGrid>
      <w:tr w14:paraId="1CC9E070">
        <w:tblPrEx>
          <w:tblCellMar>
            <w:top w:w="0" w:type="dxa"/>
            <w:left w:w="108" w:type="dxa"/>
            <w:bottom w:w="0" w:type="dxa"/>
            <w:right w:w="108" w:type="dxa"/>
          </w:tblCellMar>
        </w:tblPrEx>
        <w:trPr>
          <w:trHeight w:val="430" w:hRule="atLeast"/>
        </w:trPr>
        <w:tc>
          <w:tcPr>
            <w:tcW w:w="9356" w:type="dxa"/>
            <w:shd w:val="clear" w:color="auto" w:fill="D9D9D9"/>
            <w:noWrap w:val="0"/>
            <w:vAlign w:val="top"/>
          </w:tcPr>
          <w:p w14:paraId="0B7669AC">
            <w:pPr>
              <w:spacing w:line="240" w:lineRule="auto"/>
              <w:jc w:val="center"/>
              <w:rPr>
                <w:rFonts w:ascii="Arial" w:hAnsi="Arial" w:cs="Arial"/>
                <w:sz w:val="19"/>
                <w:szCs w:val="19"/>
                <w:lang w:eastAsia="en-US"/>
              </w:rPr>
            </w:pPr>
            <w:r>
              <w:rPr>
                <w:rFonts w:eastAsia="Arial Unicode MS" w:cs="Arial"/>
                <w:b/>
                <w:sz w:val="24"/>
                <w:szCs w:val="24"/>
                <w:u w:val="single"/>
                <w:lang w:eastAsia="en-US"/>
              </w:rPr>
              <w:t>TERMO DE REFERÊNCIA</w:t>
            </w:r>
            <w:r>
              <w:rPr>
                <w:rFonts w:eastAsia="Arial Unicode MS" w:cs="Arial"/>
                <w:b/>
                <w:bCs/>
                <w:sz w:val="24"/>
                <w:szCs w:val="24"/>
                <w:u w:val="single"/>
                <w:lang w:eastAsia="en-US"/>
              </w:rPr>
              <w:t xml:space="preserve"> </w:t>
            </w:r>
            <w:r>
              <w:rPr>
                <w:rFonts w:eastAsia="Arial Unicode MS" w:cs="Arial"/>
                <w:b/>
                <w:bCs/>
                <w:sz w:val="24"/>
                <w:szCs w:val="24"/>
                <w:u w:val="single"/>
                <w:shd w:val="clear" w:color="auto" w:fill="FFFFFF"/>
                <w:lang w:eastAsia="en-US"/>
              </w:rPr>
              <w:t>Nº 40/2024</w:t>
            </w:r>
          </w:p>
        </w:tc>
      </w:tr>
    </w:tbl>
    <w:p w14:paraId="3FB62292">
      <w:pPr>
        <w:spacing w:line="240" w:lineRule="auto"/>
        <w:jc w:val="both"/>
        <w:rPr>
          <w:rFonts w:eastAsia="Arial Unicode MS" w:cs="Arial"/>
          <w:b/>
          <w:bCs/>
          <w:sz w:val="24"/>
          <w:szCs w:val="24"/>
          <w:u w:val="single"/>
          <w:shd w:val="clear" w:color="auto" w:fill="FFFFFF"/>
          <w:lang w:eastAsia="en-US"/>
        </w:rPr>
      </w:pPr>
    </w:p>
    <w:tbl>
      <w:tblPr>
        <w:tblStyle w:val="14"/>
        <w:tblW w:w="0" w:type="auto"/>
        <w:tblInd w:w="-132" w:type="dxa"/>
        <w:tblLayout w:type="fixed"/>
        <w:tblCellMar>
          <w:top w:w="0" w:type="dxa"/>
          <w:left w:w="108" w:type="dxa"/>
          <w:bottom w:w="0" w:type="dxa"/>
          <w:right w:w="108" w:type="dxa"/>
        </w:tblCellMar>
      </w:tblPr>
      <w:tblGrid>
        <w:gridCol w:w="9300"/>
      </w:tblGrid>
      <w:tr w14:paraId="686CDC1F">
        <w:tblPrEx>
          <w:tblCellMar>
            <w:top w:w="0" w:type="dxa"/>
            <w:left w:w="108" w:type="dxa"/>
            <w:bottom w:w="0" w:type="dxa"/>
            <w:right w:w="108" w:type="dxa"/>
          </w:tblCellMar>
        </w:tblPrEx>
        <w:trPr>
          <w:trHeight w:val="353" w:hRule="atLeast"/>
        </w:trPr>
        <w:tc>
          <w:tcPr>
            <w:tcW w:w="9300" w:type="dxa"/>
            <w:shd w:val="clear" w:color="auto" w:fill="D9D9D9"/>
            <w:noWrap w:val="0"/>
            <w:vAlign w:val="top"/>
          </w:tcPr>
          <w:p w14:paraId="71906448">
            <w:pPr>
              <w:spacing w:line="240" w:lineRule="auto"/>
              <w:jc w:val="center"/>
            </w:pPr>
            <w:r>
              <w:rPr>
                <w:rFonts w:eastAsia="Arial Unicode MS" w:cs="Arial"/>
                <w:b/>
                <w:sz w:val="24"/>
                <w:szCs w:val="24"/>
                <w:lang w:eastAsia="en-US"/>
              </w:rPr>
              <w:t xml:space="preserve"> INFORMAÇÕES SOBRE </w:t>
            </w:r>
            <w:r>
              <w:rPr>
                <w:rFonts w:eastAsia="Arial Unicode MS" w:cs="Arial"/>
                <w:b/>
                <w:color w:val="auto"/>
                <w:kern w:val="0"/>
                <w:sz w:val="24"/>
                <w:szCs w:val="24"/>
                <w:lang w:val="pt-BR" w:eastAsia="ar-SA" w:bidi="ar-SA"/>
              </w:rPr>
              <w:t>PRESTAÇÃO DE SERVIÇOS</w:t>
            </w:r>
          </w:p>
        </w:tc>
      </w:tr>
    </w:tbl>
    <w:p w14:paraId="24B87322">
      <w:pPr>
        <w:widowControl/>
        <w:shd w:val="clear" w:color="auto" w:fill="auto"/>
        <w:suppressAutoHyphens/>
        <w:bidi w:val="0"/>
        <w:spacing w:before="0" w:after="0" w:line="240" w:lineRule="auto"/>
        <w:ind w:left="-57" w:right="0" w:firstLine="0"/>
        <w:jc w:val="both"/>
        <w:rPr>
          <w:rFonts w:eastAsia="Times New Roman"/>
          <w:b/>
          <w:sz w:val="24"/>
          <w:szCs w:val="24"/>
          <w:lang w:eastAsia="en-US"/>
        </w:rPr>
      </w:pPr>
    </w:p>
    <w:p w14:paraId="39698AF4">
      <w:pPr>
        <w:widowControl/>
        <w:shd w:val="clear" w:color="auto" w:fill="auto"/>
        <w:suppressAutoHyphens/>
        <w:bidi w:val="0"/>
        <w:spacing w:before="0" w:after="0" w:line="240" w:lineRule="auto"/>
        <w:ind w:left="-57" w:right="0" w:firstLine="0"/>
        <w:jc w:val="both"/>
        <w:rPr>
          <w:rFonts w:eastAsia="Times New Roman"/>
          <w:b/>
          <w:sz w:val="24"/>
          <w:szCs w:val="24"/>
          <w:lang w:eastAsia="en-US"/>
        </w:rPr>
      </w:pPr>
      <w:r>
        <w:rPr>
          <w:rFonts w:eastAsia="Times New Roman"/>
          <w:b/>
          <w:sz w:val="24"/>
          <w:szCs w:val="24"/>
          <w:lang w:eastAsia="en-US"/>
        </w:rPr>
        <w:t xml:space="preserve">Órgão: </w:t>
      </w:r>
      <w:r>
        <w:rPr>
          <w:rFonts w:eastAsia="Times New Roman"/>
          <w:sz w:val="24"/>
          <w:szCs w:val="24"/>
          <w:lang w:eastAsia="en-US"/>
        </w:rPr>
        <w:t>Câmara Municipal de Primavera do Leste – MT.</w:t>
      </w:r>
    </w:p>
    <w:p w14:paraId="0ACEC1B6">
      <w:pPr>
        <w:widowControl/>
        <w:shd w:val="clear" w:color="auto" w:fill="auto"/>
        <w:suppressAutoHyphens/>
        <w:bidi w:val="0"/>
        <w:spacing w:before="0" w:after="0" w:line="240" w:lineRule="auto"/>
        <w:ind w:left="-57" w:right="0" w:firstLine="0"/>
        <w:jc w:val="both"/>
        <w:rPr>
          <w:rFonts w:eastAsia="Times New Roman"/>
          <w:b/>
          <w:bCs/>
          <w:sz w:val="24"/>
          <w:szCs w:val="24"/>
          <w:shd w:val="clear" w:color="auto" w:fill="auto"/>
          <w:lang w:eastAsia="en-US"/>
        </w:rPr>
      </w:pPr>
      <w:r>
        <w:rPr>
          <w:rFonts w:eastAsia="Times New Roman"/>
          <w:b/>
          <w:sz w:val="24"/>
          <w:szCs w:val="24"/>
          <w:lang w:eastAsia="en-US"/>
        </w:rPr>
        <w:t>Termo de Referência nº:</w:t>
      </w:r>
      <w:r>
        <w:rPr>
          <w:rFonts w:eastAsia="Times New Roman"/>
          <w:b/>
          <w:bCs/>
          <w:sz w:val="24"/>
          <w:szCs w:val="24"/>
          <w:shd w:val="clear" w:color="auto" w:fill="auto"/>
          <w:lang w:eastAsia="en-US"/>
        </w:rPr>
        <w:t xml:space="preserve"> </w:t>
      </w:r>
      <w:r>
        <w:rPr>
          <w:b/>
          <w:bCs/>
          <w:sz w:val="24"/>
          <w:szCs w:val="24"/>
          <w:lang w:eastAsia="en-US"/>
        </w:rPr>
        <w:t>40/2024</w:t>
      </w:r>
    </w:p>
    <w:p w14:paraId="2FE5E35D">
      <w:pPr>
        <w:widowControl/>
        <w:shd w:val="clear" w:color="auto" w:fill="auto"/>
        <w:suppressAutoHyphens/>
        <w:bidi w:val="0"/>
        <w:spacing w:before="0" w:after="0" w:line="240" w:lineRule="auto"/>
        <w:ind w:left="-57" w:right="0" w:firstLine="0"/>
        <w:jc w:val="both"/>
        <w:rPr>
          <w:rFonts w:eastAsia="Times New Roman"/>
          <w:b/>
          <w:sz w:val="24"/>
          <w:szCs w:val="24"/>
          <w:lang w:eastAsia="en-US"/>
        </w:rPr>
      </w:pPr>
      <w:r>
        <w:rPr>
          <w:rFonts w:eastAsia="Times New Roman"/>
          <w:b/>
          <w:bCs/>
          <w:sz w:val="24"/>
          <w:szCs w:val="24"/>
          <w:shd w:val="clear" w:color="auto" w:fill="auto"/>
          <w:lang w:eastAsia="en-US"/>
        </w:rPr>
        <w:t>Fundamento Legal:</w:t>
      </w:r>
      <w:r>
        <w:rPr>
          <w:rFonts w:eastAsia="Times New Roman"/>
          <w:sz w:val="24"/>
          <w:szCs w:val="24"/>
          <w:shd w:val="clear" w:color="auto" w:fill="auto"/>
          <w:lang w:eastAsia="en-US"/>
        </w:rPr>
        <w:t xml:space="preserve"> Art. 74, inciso III, alínea a da Lei nº 14.133/2021</w:t>
      </w:r>
    </w:p>
    <w:p w14:paraId="2CB82722">
      <w:pPr>
        <w:widowControl/>
        <w:shd w:val="clear" w:color="auto" w:fill="auto"/>
        <w:suppressAutoHyphens/>
        <w:bidi w:val="0"/>
        <w:spacing w:before="0" w:after="0" w:line="240" w:lineRule="auto"/>
        <w:ind w:left="-57" w:right="0" w:firstLine="0"/>
        <w:jc w:val="both"/>
        <w:rPr>
          <w:rFonts w:eastAsia="Times New Roman"/>
          <w:b/>
          <w:sz w:val="24"/>
          <w:szCs w:val="24"/>
          <w:lang w:eastAsia="en-US"/>
        </w:rPr>
      </w:pPr>
      <w:r>
        <w:rPr>
          <w:rFonts w:eastAsia="Times New Roman"/>
          <w:b/>
          <w:sz w:val="24"/>
          <w:szCs w:val="24"/>
          <w:lang w:eastAsia="en-US"/>
        </w:rPr>
        <w:t>Descrição da categoria:</w:t>
      </w:r>
      <w:r>
        <w:rPr>
          <w:rFonts w:eastAsia="Times New Roman"/>
          <w:b w:val="0"/>
          <w:bCs w:val="0"/>
          <w:sz w:val="24"/>
          <w:szCs w:val="24"/>
          <w:lang w:eastAsia="en-US"/>
        </w:rPr>
        <w:t xml:space="preserve"> Contratação de empresa especializada na elaboração de projetos</w:t>
      </w:r>
      <w:r>
        <w:rPr>
          <w:rFonts w:eastAsia="Arial Unicode MS" w:cs="Arial"/>
          <w:b w:val="0"/>
          <w:bCs w:val="0"/>
          <w:color w:val="auto"/>
          <w:kern w:val="0"/>
          <w:sz w:val="24"/>
          <w:szCs w:val="24"/>
          <w:lang w:val="pt-BR" w:eastAsia="ar-SA" w:bidi="ar-SA"/>
        </w:rPr>
        <w:t xml:space="preserve"> para a Câmara Municipal de Primavera do Leste -MT.</w:t>
      </w:r>
    </w:p>
    <w:p w14:paraId="7D83F0CE">
      <w:pPr>
        <w:widowControl/>
        <w:shd w:val="clear" w:color="auto" w:fill="auto"/>
        <w:suppressAutoHyphens/>
        <w:bidi w:val="0"/>
        <w:spacing w:before="0" w:after="0" w:line="240" w:lineRule="auto"/>
        <w:ind w:left="-57" w:right="0" w:firstLine="0"/>
        <w:jc w:val="both"/>
        <w:rPr>
          <w:rFonts w:eastAsia="Times New Roman" w:cs="Arial"/>
          <w:b w:val="0"/>
          <w:bCs w:val="0"/>
          <w:sz w:val="24"/>
          <w:szCs w:val="24"/>
          <w:lang w:eastAsia="en-US"/>
        </w:rPr>
      </w:pPr>
      <w:r>
        <w:rPr>
          <w:rFonts w:eastAsia="Times New Roman"/>
          <w:b/>
          <w:sz w:val="24"/>
          <w:szCs w:val="24"/>
          <w:lang w:eastAsia="en-US"/>
        </w:rPr>
        <w:t>Setor Solicitante</w:t>
      </w:r>
      <w:r>
        <w:rPr>
          <w:rFonts w:eastAsia="Arial Unicode MS" w:cs="Arial"/>
          <w:b/>
          <w:sz w:val="24"/>
          <w:szCs w:val="24"/>
          <w:lang w:eastAsia="en-US"/>
        </w:rPr>
        <w:t>:</w:t>
      </w:r>
      <w:r>
        <w:rPr>
          <w:rFonts w:eastAsia="Times New Roman" w:cs="Liberation Serif"/>
          <w:b w:val="0"/>
          <w:bCs w:val="0"/>
          <w:color w:val="auto"/>
          <w:kern w:val="0"/>
          <w:sz w:val="24"/>
          <w:szCs w:val="24"/>
          <w:lang w:val="pt-BR" w:eastAsia="ar-SA" w:bidi="ar-SA"/>
        </w:rPr>
        <w:t xml:space="preserve"> </w:t>
      </w:r>
      <w:r>
        <w:rPr>
          <w:rFonts w:eastAsia="Arial Unicode MS" w:cs="Arial"/>
          <w:b w:val="0"/>
          <w:bCs w:val="0"/>
          <w:color w:val="auto"/>
          <w:kern w:val="0"/>
          <w:sz w:val="24"/>
          <w:szCs w:val="24"/>
          <w:lang w:val="pt-BR" w:eastAsia="ar-SA" w:bidi="ar-SA"/>
        </w:rPr>
        <w:t>Setor de Manutenção</w:t>
      </w:r>
      <w:r>
        <w:rPr>
          <w:rFonts w:eastAsia="Times New Roman" w:cs="Arial"/>
          <w:b w:val="0"/>
          <w:bCs w:val="0"/>
          <w:sz w:val="24"/>
          <w:szCs w:val="24"/>
          <w:lang w:eastAsia="en-US"/>
        </w:rPr>
        <w:t>.</w:t>
      </w:r>
    </w:p>
    <w:p w14:paraId="00A7441C">
      <w:pPr>
        <w:spacing w:before="0" w:after="0" w:line="240" w:lineRule="auto"/>
        <w:ind w:left="720" w:right="0" w:firstLine="0"/>
        <w:jc w:val="both"/>
        <w:rPr>
          <w:rFonts w:eastAsia="Times New Roman" w:cs="Arial"/>
          <w:b w:val="0"/>
          <w:bCs w:val="0"/>
          <w:sz w:val="24"/>
          <w:szCs w:val="24"/>
          <w:lang w:eastAsia="en-US"/>
        </w:rPr>
      </w:pPr>
    </w:p>
    <w:tbl>
      <w:tblPr>
        <w:tblStyle w:val="14"/>
        <w:tblW w:w="0" w:type="auto"/>
        <w:tblInd w:w="0" w:type="dxa"/>
        <w:tblLayout w:type="fixed"/>
        <w:tblCellMar>
          <w:top w:w="0" w:type="dxa"/>
          <w:left w:w="108" w:type="dxa"/>
          <w:bottom w:w="0" w:type="dxa"/>
          <w:right w:w="108" w:type="dxa"/>
        </w:tblCellMar>
      </w:tblPr>
      <w:tblGrid>
        <w:gridCol w:w="9110"/>
      </w:tblGrid>
      <w:tr w14:paraId="21EAA01B">
        <w:tblPrEx>
          <w:tblCellMar>
            <w:top w:w="0" w:type="dxa"/>
            <w:left w:w="108" w:type="dxa"/>
            <w:bottom w:w="0" w:type="dxa"/>
            <w:right w:w="108" w:type="dxa"/>
          </w:tblCellMar>
        </w:tblPrEx>
        <w:trPr>
          <w:trHeight w:val="915" w:hRule="atLeast"/>
        </w:trPr>
        <w:tc>
          <w:tcPr>
            <w:tcW w:w="9110" w:type="dxa"/>
            <w:shd w:val="clear" w:color="auto" w:fill="D9D9D9"/>
            <w:noWrap w:val="0"/>
            <w:vAlign w:val="top"/>
          </w:tcPr>
          <w:p w14:paraId="49202655">
            <w:pPr>
              <w:spacing w:line="240" w:lineRule="auto"/>
              <w:jc w:val="both"/>
              <w:rPr>
                <w:rFonts w:eastAsia="Arial Unicode MS" w:cs="Arial"/>
                <w:b/>
                <w:sz w:val="24"/>
                <w:szCs w:val="24"/>
                <w:lang w:eastAsia="en-US"/>
              </w:rPr>
            </w:pPr>
          </w:p>
          <w:p w14:paraId="2080381A">
            <w:pPr>
              <w:spacing w:line="240" w:lineRule="auto"/>
              <w:jc w:val="both"/>
            </w:pPr>
            <w:r>
              <w:rPr>
                <w:rFonts w:eastAsia="Arial Unicode MS" w:cs="Arial"/>
                <w:b/>
                <w:sz w:val="24"/>
                <w:szCs w:val="24"/>
                <w:lang w:eastAsia="en-US"/>
              </w:rPr>
              <w:t>I- FUNDAMENTAÇÃO MÍNIMA PARA FUTURA PRESTAÇÃO DE SERVIÇOS</w:t>
            </w:r>
          </w:p>
        </w:tc>
      </w:tr>
    </w:tbl>
    <w:p w14:paraId="0AF646FF">
      <w:pPr>
        <w:spacing w:line="240" w:lineRule="auto"/>
        <w:jc w:val="both"/>
        <w:rPr>
          <w:rFonts w:eastAsia="Arial Unicode MS" w:cs="Arial"/>
          <w:sz w:val="24"/>
          <w:szCs w:val="24"/>
          <w:lang w:eastAsia="en-US"/>
        </w:rPr>
      </w:pPr>
    </w:p>
    <w:p w14:paraId="37156678">
      <w:pPr>
        <w:pStyle w:val="68"/>
        <w:numPr>
          <w:ilvl w:val="0"/>
          <w:numId w:val="13"/>
        </w:numPr>
        <w:spacing w:line="240" w:lineRule="auto"/>
        <w:jc w:val="both"/>
        <w:rPr>
          <w:rFonts w:eastAsia="Arial Unicode MS" w:cs="Arial"/>
          <w:sz w:val="24"/>
          <w:szCs w:val="24"/>
          <w:lang w:eastAsia="en-US"/>
        </w:rPr>
      </w:pPr>
      <w:r>
        <w:rPr>
          <w:rFonts w:eastAsia="Arial Unicode MS" w:cs="Arial"/>
          <w:b/>
          <w:sz w:val="24"/>
          <w:szCs w:val="24"/>
          <w:lang w:eastAsia="en-US"/>
        </w:rPr>
        <w:t>OBJETO</w:t>
      </w:r>
      <w:r>
        <w:rPr>
          <w:rFonts w:eastAsia="Arial Unicode MS" w:cs="Arial"/>
          <w:sz w:val="24"/>
          <w:szCs w:val="24"/>
          <w:lang w:eastAsia="en-US"/>
        </w:rPr>
        <w:t xml:space="preserve">: Contratação de empresa </w:t>
      </w:r>
      <w:r>
        <w:rPr>
          <w:rFonts w:eastAsia="Arial Unicode MS" w:cs="Arial"/>
          <w:b w:val="0"/>
          <w:bCs w:val="0"/>
          <w:sz w:val="24"/>
          <w:szCs w:val="24"/>
          <w:lang w:eastAsia="en-US"/>
        </w:rPr>
        <w:t xml:space="preserve">especializada na elaboração e adequação de </w:t>
      </w:r>
      <w:r>
        <w:rPr>
          <w:rFonts w:eastAsia="Arial Unicode MS" w:cs="Arial"/>
          <w:b/>
          <w:bCs/>
          <w:sz w:val="24"/>
          <w:szCs w:val="24"/>
          <w:lang w:eastAsia="en-US"/>
        </w:rPr>
        <w:t>projetos de engenharia, laudo técnico, planilha orçamentária e acompanhamento da execução dos projetos, com registro nos órgãos competentes (CREA)</w:t>
      </w:r>
      <w:r>
        <w:rPr>
          <w:rFonts w:eastAsia="Arial Unicode MS" w:cs="Arial"/>
          <w:b w:val="0"/>
          <w:bCs w:val="0"/>
          <w:sz w:val="24"/>
          <w:szCs w:val="24"/>
          <w:lang w:eastAsia="en-US"/>
        </w:rPr>
        <w:t xml:space="preserve"> para </w:t>
      </w:r>
      <w:r>
        <w:rPr>
          <w:rFonts w:eastAsia="Arial Unicode MS" w:cs="Arial"/>
          <w:sz w:val="24"/>
          <w:szCs w:val="24"/>
          <w:lang w:eastAsia="en-US"/>
        </w:rPr>
        <w:t>a Câmara Municipal, conforme condições e quantidades necessárias</w:t>
      </w:r>
      <w:r>
        <w:rPr>
          <w:rFonts w:eastAsia="Arial Unicode MS" w:cs="Arial"/>
          <w:b w:val="0"/>
          <w:bCs w:val="0"/>
          <w:color w:val="auto"/>
          <w:kern w:val="0"/>
          <w:sz w:val="24"/>
          <w:szCs w:val="24"/>
          <w:lang w:val="pt-BR" w:eastAsia="ar-SA" w:bidi="ar-SA"/>
        </w:rPr>
        <w:t xml:space="preserve"> </w:t>
      </w:r>
      <w:r>
        <w:rPr>
          <w:rFonts w:eastAsia="Arial Unicode MS" w:cs="Arial"/>
          <w:sz w:val="24"/>
          <w:szCs w:val="24"/>
          <w:lang w:eastAsia="en-US"/>
        </w:rPr>
        <w:t>estabelecidas neste instrumento.</w:t>
      </w:r>
    </w:p>
    <w:p w14:paraId="5D133EDA">
      <w:pPr>
        <w:numPr>
          <w:ilvl w:val="1"/>
          <w:numId w:val="13"/>
        </w:numPr>
        <w:spacing w:before="0" w:after="0" w:line="240" w:lineRule="auto"/>
        <w:jc w:val="both"/>
        <w:rPr>
          <w:rFonts w:eastAsia="Times New Roman"/>
          <w:b/>
          <w:bCs/>
          <w:sz w:val="24"/>
          <w:szCs w:val="24"/>
          <w:lang w:val="en-US"/>
        </w:rPr>
      </w:pPr>
      <w:r>
        <w:rPr>
          <w:rFonts w:eastAsia="Arial Unicode MS" w:cs="Arial"/>
          <w:sz w:val="24"/>
          <w:szCs w:val="24"/>
          <w:lang w:eastAsia="en-US"/>
        </w:rPr>
        <w:t>Dos itens da Categoria:</w:t>
      </w:r>
    </w:p>
    <w:p w14:paraId="4AFE5E66">
      <w:pPr>
        <w:numPr>
          <w:ilvl w:val="0"/>
          <w:numId w:val="0"/>
        </w:numPr>
        <w:spacing w:before="0" w:after="0" w:line="100" w:lineRule="atLeast"/>
        <w:ind w:left="60" w:leftChars="0"/>
        <w:jc w:val="both"/>
        <w:rPr>
          <w:rFonts w:eastAsia="Times New Roman"/>
          <w:b/>
          <w:bCs/>
          <w:sz w:val="24"/>
          <w:szCs w:val="24"/>
          <w:lang w:val="en-US"/>
        </w:rPr>
      </w:pPr>
    </w:p>
    <w:tbl>
      <w:tblPr>
        <w:tblStyle w:val="14"/>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002"/>
        <w:gridCol w:w="960"/>
        <w:gridCol w:w="690"/>
        <w:gridCol w:w="615"/>
        <w:gridCol w:w="2562"/>
        <w:gridCol w:w="1322"/>
        <w:gridCol w:w="1361"/>
      </w:tblGrid>
      <w:tr w14:paraId="68AC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0" w:type="dxa"/>
            <w:gridSpan w:val="8"/>
            <w:tcBorders>
              <w:top w:val="single" w:color="000000" w:sz="2" w:space="0"/>
              <w:left w:val="single" w:color="000000" w:sz="2" w:space="0"/>
              <w:bottom w:val="single" w:color="000000" w:sz="2" w:space="0"/>
              <w:right w:val="single" w:color="000000" w:sz="2" w:space="0"/>
            </w:tcBorders>
            <w:noWrap w:val="0"/>
            <w:vAlign w:val="center"/>
          </w:tcPr>
          <w:p w14:paraId="44959544">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LOTE 1</w:t>
            </w:r>
          </w:p>
        </w:tc>
      </w:tr>
      <w:tr w14:paraId="57FA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57D19840">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Item</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1D9FF4EC">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Código TCE</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709ECA45">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Código Sistema</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4AC8F10E">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Unid.</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3AC0FD58">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Qtd.</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55EF1A3D">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Descrição</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7BEF3A7B">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R$ Unitário</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3FFF6CC6">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R$ Total</w:t>
            </w:r>
          </w:p>
        </w:tc>
      </w:tr>
      <w:tr w14:paraId="2F06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703EEAE6">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70DF1E6D">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216069-2  </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46A514B9">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771</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2D6422FC">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Serv</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6211FFE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40CB9868">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Elaboração e Impressão de PROJETO ELÉTRICO com Planilha de Custo, Memorial Descritivo, BDI, Cronograma Físico Financeiro, ARTs e afins, contemplando toda a área construída da Câmara Municipal que é de aproximadamente 2.000 m² (dois mil metros quadrados) devendo ainda fazer todo o acompanhamento da execução do mesmo conforme o Item 1.1.1 do Termo de Referência.</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10AF597C">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$ 46.871,00 </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174F4FB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R$ 46.872,00 </w:t>
            </w:r>
          </w:p>
        </w:tc>
      </w:tr>
      <w:tr w14:paraId="54DF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079E95C7">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02</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00FA0B3C">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216069-2  </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07E4BB87">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771</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622B5245">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Serv</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0C48CA50">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343E7B12">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Elaboração e Impressão de PROJETO DE ACESSIBILIDADE com Planilha de Custo, Memorial Descritivo, BDI, Cronograma Físico Financeiro, ARTs e afins, contemplando toda a área da Câmara Municipal que é de aproximadamente 10.000 m² (dez mil metros quadrados) devendo ainda fazer todo o acompanhamento da execução do mesmo conforme o Item 1.1.1 do Termo de Referência.</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65B73399">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R$ 29.819,00 </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58884A79">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R$ 29.820,00 </w:t>
            </w:r>
          </w:p>
        </w:tc>
      </w:tr>
      <w:tr w14:paraId="1015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6E760FCE">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03</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1A64D6D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216069-2  </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034525E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771</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0905E52D">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Serv</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21BBA26A">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64382A3B">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Elaboração e Impressão de PROJETO DE PREVENÇÃO E COMBATE A INCÊNDIO com Planilha de Custo, Memorial Descritivo, BDI, Cronograma Físico Financeiro, ARTs e afins, contemplando toda a área construída da Câmara e do Anexo que é de aproximadamente 2.750 m² (dois mil, setecentos e cinquenta metros quadrados) devendo ainda fazer todo o acompanhamento da execução do mesmo conforme o Item 1.1.1 do Termo de Referência.</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2A1E7132">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$ 34.455,50 </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3A3C5E7A">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R$ 34.456,50 </w:t>
            </w:r>
          </w:p>
        </w:tc>
      </w:tr>
      <w:tr w14:paraId="7A53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5E7D14E9">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04</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1A9231ED">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216069-2  </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6E452651">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771</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5E4D744B">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Serv</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4EB482C1">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53DC894B">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Elaboração e Impressão de  uma ATUALIZAÇÃO DO PROJETO ARQUITETÔNICO E LAUDO DE REFORMA com Planilha de Custo, Memorial Descritivo, BDI, Cronograma Físico Financeiro, ARTs e afins, contemplando toda a área construída da Câmara Municipal que é de aproximadamente 2.000 m² (dois mil metros quadrados) devendo ainda fazer todo o acompanhamento da execução do mesmo conforme o Item 1.1.1 do Termo de Referência.</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2914E12F">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$ 72.865,50 </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04555632">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$ 72.866,50 </w:t>
            </w:r>
          </w:p>
        </w:tc>
      </w:tr>
      <w:tr w14:paraId="5D49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115D12BA">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05</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2FB8F8C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216069-2  </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1AFB0819">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771</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4CDBB9C0">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Serv</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2195E77A">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2B6C9815">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Elaboração e Impressão de PROJETO DE CABEAMENTO ESTRUTURADO E DATA CENTER com Planilha de Custo, Memorial Descritivo, BDI, Cronograma Físico Financeiro, ARTs e afins, contemplando toda a área construída da Câmara Municipal que é de aproximadamente 2.000 m² (dois mil metros quadrados) devendo ainda fazer todo o acompanhamento da execução do mesmo conforme o Item 1.1.1 do Termo de Referência.</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79EC963E">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$ 46.194,00 </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76845C25">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R$ 46.195,00 </w:t>
            </w:r>
          </w:p>
        </w:tc>
      </w:tr>
      <w:tr w14:paraId="35A6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tcBorders>
              <w:top w:val="single" w:color="000000" w:sz="2" w:space="0"/>
              <w:left w:val="single" w:color="000000" w:sz="2" w:space="0"/>
              <w:bottom w:val="single" w:color="000000" w:sz="2" w:space="0"/>
              <w:right w:val="single" w:color="000000" w:sz="2" w:space="0"/>
            </w:tcBorders>
            <w:noWrap w:val="0"/>
            <w:vAlign w:val="center"/>
          </w:tcPr>
          <w:p w14:paraId="5AFB391B">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06</w:t>
            </w:r>
          </w:p>
        </w:tc>
        <w:tc>
          <w:tcPr>
            <w:tcW w:w="1002" w:type="dxa"/>
            <w:tcBorders>
              <w:top w:val="single" w:color="000000" w:sz="2" w:space="0"/>
              <w:left w:val="single" w:color="000000" w:sz="2" w:space="0"/>
              <w:bottom w:val="single" w:color="000000" w:sz="2" w:space="0"/>
              <w:right w:val="single" w:color="000000" w:sz="2" w:space="0"/>
            </w:tcBorders>
            <w:noWrap w:val="0"/>
            <w:vAlign w:val="center"/>
          </w:tcPr>
          <w:p w14:paraId="18DF1D9F">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216069-2  </w:t>
            </w:r>
          </w:p>
        </w:tc>
        <w:tc>
          <w:tcPr>
            <w:tcW w:w="960" w:type="dxa"/>
            <w:tcBorders>
              <w:top w:val="single" w:color="000000" w:sz="2" w:space="0"/>
              <w:left w:val="single" w:color="000000" w:sz="2" w:space="0"/>
              <w:bottom w:val="single" w:color="000000" w:sz="2" w:space="0"/>
              <w:right w:val="single" w:color="000000" w:sz="2" w:space="0"/>
            </w:tcBorders>
            <w:noWrap w:val="0"/>
            <w:vAlign w:val="center"/>
          </w:tcPr>
          <w:p w14:paraId="7FA6B295">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771</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14:paraId="33D32EEC">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Serv</w:t>
            </w:r>
          </w:p>
        </w:tc>
        <w:tc>
          <w:tcPr>
            <w:tcW w:w="615" w:type="dxa"/>
            <w:tcBorders>
              <w:top w:val="single" w:color="000000" w:sz="2" w:space="0"/>
              <w:left w:val="single" w:color="000000" w:sz="2" w:space="0"/>
              <w:bottom w:val="single" w:color="000000" w:sz="2" w:space="0"/>
              <w:right w:val="single" w:color="000000" w:sz="2" w:space="0"/>
            </w:tcBorders>
            <w:noWrap w:val="0"/>
            <w:vAlign w:val="center"/>
          </w:tcPr>
          <w:p w14:paraId="2163BB38">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01</w:t>
            </w:r>
          </w:p>
        </w:tc>
        <w:tc>
          <w:tcPr>
            <w:tcW w:w="2562" w:type="dxa"/>
            <w:tcBorders>
              <w:top w:val="single" w:color="000000" w:sz="2" w:space="0"/>
              <w:left w:val="single" w:color="000000" w:sz="2" w:space="0"/>
              <w:bottom w:val="single" w:color="000000" w:sz="2" w:space="0"/>
              <w:right w:val="single" w:color="000000" w:sz="2" w:space="0"/>
            </w:tcBorders>
            <w:noWrap w:val="0"/>
            <w:vAlign w:val="center"/>
          </w:tcPr>
          <w:p w14:paraId="5D5B7D28">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Elaboração e Impressão de uma ATUALIZAÇÃO DO PROJETO DE IRRIGAÇÃO com Planilha de Custo, Memorial Descritivo, BDI, Cronograma Físico Financeiro, ARTs e afins, contemplando toda a área ajardinada da Câmara Municipal que é de aproximadamente 6.000 m² (seis mil metros quadrados) devendo ainda fazer todo o acompanhamento da execução do mesmo conforme o Item 1.1.1 do Termo de Referência.</w:t>
            </w:r>
          </w:p>
        </w:tc>
        <w:tc>
          <w:tcPr>
            <w:tcW w:w="1322" w:type="dxa"/>
            <w:tcBorders>
              <w:top w:val="single" w:color="000000" w:sz="2" w:space="0"/>
              <w:left w:val="single" w:color="000000" w:sz="2" w:space="0"/>
              <w:bottom w:val="single" w:color="000000" w:sz="2" w:space="0"/>
              <w:right w:val="single" w:color="000000" w:sz="2" w:space="0"/>
            </w:tcBorders>
            <w:noWrap w:val="0"/>
            <w:vAlign w:val="center"/>
          </w:tcPr>
          <w:p w14:paraId="1EA53AE1">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$ 32.018,50 </w:t>
            </w:r>
          </w:p>
        </w:tc>
        <w:tc>
          <w:tcPr>
            <w:tcW w:w="1361" w:type="dxa"/>
            <w:tcBorders>
              <w:top w:val="single" w:color="000000" w:sz="2" w:space="0"/>
              <w:left w:val="single" w:color="000000" w:sz="2" w:space="0"/>
              <w:bottom w:val="single" w:color="000000" w:sz="2" w:space="0"/>
              <w:right w:val="single" w:color="000000" w:sz="2" w:space="0"/>
            </w:tcBorders>
            <w:noWrap w:val="0"/>
            <w:vAlign w:val="center"/>
          </w:tcPr>
          <w:p w14:paraId="34C13F9D">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pt-BR" w:eastAsia="zh-CN" w:bidi="ar"/>
              </w:rPr>
              <w:t>R</w:t>
            </w:r>
            <w:r>
              <w:rPr>
                <w:rFonts w:hint="default" w:ascii="Arial" w:hAnsi="Arial" w:eastAsia="SimSun" w:cs="Arial"/>
                <w:i w:val="0"/>
                <w:iCs w:val="0"/>
                <w:color w:val="000000"/>
                <w:kern w:val="0"/>
                <w:sz w:val="18"/>
                <w:szCs w:val="18"/>
                <w:u w:val="none"/>
                <w:lang w:val="en-US" w:eastAsia="zh-CN" w:bidi="ar"/>
              </w:rPr>
              <w:t xml:space="preserve">$ 32.019,50 </w:t>
            </w:r>
          </w:p>
        </w:tc>
      </w:tr>
      <w:tr w14:paraId="3D3D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0" w:type="dxa"/>
            <w:gridSpan w:val="8"/>
            <w:tcBorders>
              <w:top w:val="single" w:color="000000" w:sz="2" w:space="0"/>
              <w:left w:val="single" w:color="000000" w:sz="2" w:space="0"/>
              <w:bottom w:val="single" w:color="000000" w:sz="2" w:space="0"/>
              <w:right w:val="single" w:color="000000" w:sz="2" w:space="0"/>
            </w:tcBorders>
            <w:noWrap w:val="0"/>
            <w:vAlign w:val="center"/>
          </w:tcPr>
          <w:p w14:paraId="6FFFCFA3">
            <w:pPr>
              <w:keepNext w:val="0"/>
              <w:keepLines w:val="0"/>
              <w:widowControl/>
              <w:suppressLineNumbers w:val="0"/>
              <w:jc w:val="right"/>
              <w:textAlignment w:val="center"/>
              <w:rPr>
                <w:rFonts w:hint="default" w:ascii="Arial" w:hAnsi="Arial" w:cs="Arial"/>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VALOR TOTAL DO LOTE 01 - R$ 262.223,50</w:t>
            </w:r>
          </w:p>
        </w:tc>
      </w:tr>
    </w:tbl>
    <w:p w14:paraId="06762F7A">
      <w:pPr>
        <w:spacing w:line="240" w:lineRule="auto"/>
        <w:jc w:val="both"/>
        <w:rPr>
          <w:b/>
          <w:bCs/>
          <w:color w:val="auto"/>
          <w:kern w:val="0"/>
          <w:sz w:val="24"/>
          <w:szCs w:val="24"/>
          <w:lang w:val="pt-BR" w:eastAsia="ar-SA" w:bidi="ar-SA"/>
        </w:rPr>
      </w:pPr>
    </w:p>
    <w:p w14:paraId="1405429E">
      <w:pPr>
        <w:spacing w:line="240" w:lineRule="auto"/>
        <w:jc w:val="both"/>
        <w:rPr>
          <w:b/>
          <w:bCs/>
          <w:color w:val="auto"/>
          <w:kern w:val="0"/>
          <w:sz w:val="24"/>
          <w:szCs w:val="24"/>
          <w:lang w:val="pt-BR" w:eastAsia="ar-SA" w:bidi="ar-SA"/>
        </w:rPr>
      </w:pPr>
      <w:r>
        <w:rPr>
          <w:b/>
          <w:bCs/>
          <w:color w:val="auto"/>
          <w:kern w:val="0"/>
          <w:sz w:val="24"/>
          <w:szCs w:val="24"/>
          <w:lang w:val="pt-BR" w:eastAsia="ar-SA" w:bidi="ar-SA"/>
        </w:rPr>
        <w:t xml:space="preserve">1.1.1. </w:t>
      </w:r>
      <w:r>
        <w:rPr>
          <w:b w:val="0"/>
          <w:bCs w:val="0"/>
          <w:color w:val="auto"/>
          <w:kern w:val="0"/>
          <w:sz w:val="24"/>
          <w:szCs w:val="24"/>
          <w:lang w:val="pt-BR" w:eastAsia="ar-SA" w:bidi="ar-SA"/>
        </w:rPr>
        <w:t xml:space="preserve">Será retido o percentual de 35% (trinta e cinco por cento) do valor do projeto, o qual se refere a fiscalização da Execução da Obra e </w:t>
      </w:r>
      <w:r>
        <w:rPr>
          <w:b/>
          <w:bCs/>
          <w:color w:val="auto"/>
          <w:kern w:val="0"/>
          <w:sz w:val="24"/>
          <w:szCs w:val="24"/>
          <w:lang w:val="pt-BR" w:eastAsia="ar-SA" w:bidi="ar-SA"/>
        </w:rPr>
        <w:t>será pago após o recebimento da obra</w:t>
      </w:r>
      <w:r>
        <w:rPr>
          <w:b w:val="0"/>
          <w:bCs w:val="0"/>
          <w:color w:val="auto"/>
          <w:kern w:val="0"/>
          <w:sz w:val="24"/>
          <w:szCs w:val="24"/>
          <w:lang w:val="pt-BR" w:eastAsia="ar-SA" w:bidi="ar-SA"/>
        </w:rPr>
        <w:t>.</w:t>
      </w:r>
    </w:p>
    <w:p w14:paraId="1E72BFC0">
      <w:pPr>
        <w:spacing w:line="240" w:lineRule="auto"/>
        <w:jc w:val="both"/>
        <w:rPr>
          <w:b w:val="0"/>
          <w:bCs w:val="0"/>
          <w:color w:val="auto"/>
          <w:kern w:val="0"/>
          <w:sz w:val="24"/>
          <w:szCs w:val="24"/>
          <w:lang w:val="pt-BR" w:eastAsia="ar-SA" w:bidi="ar-SA"/>
        </w:rPr>
      </w:pPr>
      <w:r>
        <w:rPr>
          <w:b/>
          <w:bCs/>
          <w:color w:val="auto"/>
          <w:kern w:val="0"/>
          <w:sz w:val="24"/>
          <w:szCs w:val="24"/>
          <w:lang w:val="pt-BR" w:eastAsia="ar-SA" w:bidi="ar-SA"/>
        </w:rPr>
        <w:t xml:space="preserve">1.2. </w:t>
      </w:r>
      <w:r>
        <w:rPr>
          <w:b w:val="0"/>
          <w:bCs w:val="0"/>
          <w:color w:val="auto"/>
          <w:kern w:val="0"/>
          <w:sz w:val="24"/>
          <w:szCs w:val="24"/>
          <w:lang w:val="pt-BR" w:eastAsia="ar-SA" w:bidi="ar-SA"/>
        </w:rPr>
        <w:t>Nos valores propostos estão inclusos todos os custos operacionais,</w:t>
      </w:r>
    </w:p>
    <w:p w14:paraId="16CE4738">
      <w:pPr>
        <w:spacing w:line="240" w:lineRule="auto"/>
        <w:jc w:val="both"/>
        <w:rPr>
          <w:b/>
          <w:bCs/>
          <w:color w:val="auto"/>
          <w:kern w:val="0"/>
          <w:sz w:val="24"/>
          <w:szCs w:val="24"/>
          <w:lang w:val="pt-BR" w:eastAsia="ar-SA" w:bidi="ar-SA"/>
        </w:rPr>
      </w:pPr>
      <w:r>
        <w:rPr>
          <w:b w:val="0"/>
          <w:bCs w:val="0"/>
          <w:color w:val="auto"/>
          <w:kern w:val="0"/>
          <w:sz w:val="24"/>
          <w:szCs w:val="24"/>
          <w:lang w:val="pt-BR" w:eastAsia="ar-SA" w:bidi="ar-SA"/>
        </w:rPr>
        <w:t>Insumos, encargos previdenciários, trabalhistas, tributários e comercias, e quaisquer outros que incidam diretamente ou indiretamente sobre o valor contratado.</w:t>
      </w:r>
    </w:p>
    <w:p w14:paraId="66C06AD7">
      <w:pPr>
        <w:spacing w:line="240" w:lineRule="auto"/>
        <w:jc w:val="both"/>
        <w:rPr>
          <w:rFonts w:cs="Arial"/>
          <w:b/>
          <w:bCs/>
          <w:color w:val="000000"/>
          <w:kern w:val="0"/>
          <w:sz w:val="24"/>
          <w:szCs w:val="24"/>
          <w:shd w:val="clear" w:color="auto" w:fill="FFFFFF"/>
          <w:lang w:val="pt-BR" w:eastAsia="ar-SA" w:bidi="ar-SA"/>
        </w:rPr>
      </w:pPr>
      <w:r>
        <w:rPr>
          <w:b/>
          <w:bCs/>
          <w:color w:val="auto"/>
          <w:kern w:val="0"/>
          <w:sz w:val="24"/>
          <w:szCs w:val="24"/>
          <w:lang w:val="pt-BR" w:eastAsia="ar-SA" w:bidi="ar-SA"/>
        </w:rPr>
        <w:t xml:space="preserve">1.3. </w:t>
      </w:r>
      <w:r>
        <w:rPr>
          <w:rFonts w:cs="Arial"/>
          <w:b w:val="0"/>
          <w:bCs w:val="0"/>
          <w:color w:val="000000"/>
          <w:kern w:val="0"/>
          <w:sz w:val="24"/>
          <w:szCs w:val="24"/>
          <w:shd w:val="clear" w:color="auto" w:fill="FFFFFF"/>
          <w:lang w:val="pt-BR" w:eastAsia="ar-SA" w:bidi="ar-SA"/>
        </w:rPr>
        <w:t xml:space="preserve">Cada projeto devem compor os seguintes itens: </w:t>
      </w:r>
      <w:r>
        <w:rPr>
          <w:rFonts w:cs="Arial"/>
          <w:b w:val="0"/>
          <w:bCs w:val="0"/>
          <w:color w:val="000000"/>
          <w:sz w:val="24"/>
          <w:szCs w:val="24"/>
          <w:shd w:val="clear" w:color="auto" w:fill="FFFFFF"/>
        </w:rPr>
        <w:t xml:space="preserve">Orçamento detalhado (tabela SINAPI); Pranchas de desenho com os detalhes do projeto; Composição dos custos unitários (CCU) de todos os itens de serviços; Composição das taxas de BDI (edificação e equipamentos); Caderno de especificações técnicas; ART do projeto; ART da planilha orçamentária; Acompanhar a execução dos projetos; </w:t>
      </w:r>
      <w:r>
        <w:rPr>
          <w:rFonts w:cs="Arial"/>
          <w:b w:val="0"/>
          <w:bCs w:val="0"/>
          <w:color w:val="000000"/>
          <w:kern w:val="0"/>
          <w:sz w:val="24"/>
          <w:szCs w:val="24"/>
          <w:shd w:val="clear" w:color="auto" w:fill="FFFFFF"/>
          <w:lang w:val="pt-BR" w:eastAsia="ar-SA" w:bidi="ar-SA"/>
        </w:rPr>
        <w:t>Organizar, ao final da obra, o “Memorial da Obra”, memoriais descritivos, relatórios, testes, laudos, inspeções, balanceamento dos sistemas, catálogos de equipamentos, manuais de operação e manutenção.</w:t>
      </w:r>
    </w:p>
    <w:p w14:paraId="3D9EFAD6">
      <w:pPr>
        <w:spacing w:line="240" w:lineRule="auto"/>
        <w:jc w:val="both"/>
        <w:rPr>
          <w:rFonts w:cs="Arial"/>
          <w:b/>
          <w:bCs/>
          <w:color w:val="000000"/>
          <w:kern w:val="0"/>
          <w:sz w:val="24"/>
          <w:szCs w:val="24"/>
          <w:shd w:val="clear" w:color="auto" w:fill="FFFFFF"/>
          <w:lang w:val="pt-BR" w:eastAsia="ar-SA" w:bidi="ar-SA"/>
        </w:rPr>
      </w:pPr>
      <w:r>
        <w:rPr>
          <w:rFonts w:cs="Arial"/>
          <w:b/>
          <w:bCs/>
          <w:color w:val="000000"/>
          <w:kern w:val="0"/>
          <w:sz w:val="24"/>
          <w:szCs w:val="24"/>
          <w:shd w:val="clear" w:color="auto" w:fill="FFFFFF"/>
          <w:lang w:val="pt-BR" w:eastAsia="ar-SA" w:bidi="ar-SA"/>
        </w:rPr>
        <w:t>1.4.</w:t>
      </w:r>
      <w:r>
        <w:rPr>
          <w:rFonts w:cs="Arial"/>
          <w:b w:val="0"/>
          <w:bCs w:val="0"/>
          <w:color w:val="000000"/>
          <w:kern w:val="0"/>
          <w:sz w:val="24"/>
          <w:szCs w:val="24"/>
          <w:shd w:val="clear" w:color="auto" w:fill="FFFFFF"/>
          <w:lang w:val="pt-BR" w:eastAsia="ar-SA" w:bidi="ar-SA"/>
        </w:rPr>
        <w:t xml:space="preserve"> Os documentos devem ser entregue em </w:t>
      </w:r>
      <w:r>
        <w:rPr>
          <w:rFonts w:cs="Arial"/>
          <w:b/>
          <w:bCs/>
          <w:color w:val="000000"/>
          <w:kern w:val="0"/>
          <w:sz w:val="24"/>
          <w:szCs w:val="24"/>
          <w:shd w:val="clear" w:color="auto" w:fill="FFFFFF"/>
          <w:lang w:val="pt-BR" w:eastAsia="ar-SA" w:bidi="ar-SA"/>
        </w:rPr>
        <w:t>2 (duas) vias</w:t>
      </w:r>
      <w:r>
        <w:rPr>
          <w:rFonts w:cs="Arial"/>
          <w:b w:val="0"/>
          <w:bCs w:val="0"/>
          <w:color w:val="000000"/>
          <w:kern w:val="0"/>
          <w:sz w:val="24"/>
          <w:szCs w:val="24"/>
          <w:shd w:val="clear" w:color="auto" w:fill="FFFFFF"/>
          <w:lang w:val="pt-BR" w:eastAsia="ar-SA" w:bidi="ar-SA"/>
        </w:rPr>
        <w:t>.</w:t>
      </w:r>
    </w:p>
    <w:p w14:paraId="1F7DF103">
      <w:pPr>
        <w:spacing w:line="240" w:lineRule="auto"/>
        <w:jc w:val="both"/>
        <w:rPr>
          <w:rFonts w:cs="Arial"/>
          <w:b/>
          <w:bCs/>
          <w:color w:val="000000"/>
          <w:kern w:val="0"/>
          <w:sz w:val="24"/>
          <w:szCs w:val="24"/>
          <w:shd w:val="clear" w:color="auto" w:fill="FFFFFF"/>
          <w:lang w:val="pt-BR" w:eastAsia="ar-SA" w:bidi="ar-SA"/>
        </w:rPr>
      </w:pPr>
      <w:r>
        <w:rPr>
          <w:rFonts w:cs="Arial"/>
          <w:b/>
          <w:bCs/>
          <w:color w:val="000000"/>
          <w:kern w:val="0"/>
          <w:sz w:val="24"/>
          <w:szCs w:val="24"/>
          <w:shd w:val="clear" w:color="auto" w:fill="FFFFFF"/>
          <w:lang w:val="pt-BR" w:eastAsia="ar-SA" w:bidi="ar-SA"/>
        </w:rPr>
        <w:t>1.5.</w:t>
      </w:r>
      <w:r>
        <w:rPr>
          <w:rFonts w:cs="Arial"/>
          <w:b w:val="0"/>
          <w:bCs w:val="0"/>
          <w:color w:val="000000"/>
          <w:kern w:val="0"/>
          <w:sz w:val="24"/>
          <w:szCs w:val="24"/>
          <w:shd w:val="clear" w:color="auto" w:fill="FFFFFF"/>
          <w:lang w:val="pt-BR" w:eastAsia="ar-SA" w:bidi="ar-SA"/>
        </w:rPr>
        <w:t xml:space="preserve"> A área da Câmara Municipal possui </w:t>
      </w:r>
      <w:r>
        <w:rPr>
          <w:rFonts w:cs="Arial"/>
          <w:b/>
          <w:bCs/>
          <w:color w:val="000000"/>
          <w:kern w:val="0"/>
          <w:sz w:val="24"/>
          <w:szCs w:val="24"/>
          <w:shd w:val="clear" w:color="auto" w:fill="FFFFFF"/>
          <w:lang w:val="pt-BR" w:eastAsia="ar-SA" w:bidi="ar-SA"/>
        </w:rPr>
        <w:t>aproximadamente 10.000</w:t>
      </w:r>
      <w:r>
        <w:rPr>
          <w:rFonts w:cs="Arial"/>
          <w:b w:val="0"/>
          <w:bCs w:val="0"/>
          <w:color w:val="000000"/>
          <w:kern w:val="0"/>
          <w:sz w:val="24"/>
          <w:szCs w:val="24"/>
          <w:shd w:val="clear" w:color="auto" w:fill="FFFFFF"/>
          <w:lang w:val="pt-BR" w:eastAsia="ar-SA" w:bidi="ar-SA"/>
        </w:rPr>
        <w:t xml:space="preserve"> (dez mil) m².</w:t>
      </w:r>
    </w:p>
    <w:p w14:paraId="5FE20A8D">
      <w:pPr>
        <w:spacing w:line="240" w:lineRule="auto"/>
        <w:jc w:val="both"/>
        <w:rPr>
          <w:rFonts w:cs="Arial"/>
          <w:b/>
          <w:bCs/>
          <w:color w:val="000000"/>
          <w:kern w:val="0"/>
          <w:sz w:val="24"/>
          <w:szCs w:val="24"/>
          <w:shd w:val="clear" w:color="auto" w:fill="FFFFFF"/>
          <w:lang w:val="pt-BR" w:eastAsia="ar-SA" w:bidi="ar-SA"/>
        </w:rPr>
      </w:pPr>
      <w:r>
        <w:rPr>
          <w:rFonts w:cs="Arial"/>
          <w:b/>
          <w:bCs/>
          <w:color w:val="000000"/>
          <w:kern w:val="0"/>
          <w:sz w:val="24"/>
          <w:szCs w:val="24"/>
          <w:shd w:val="clear" w:color="auto" w:fill="FFFFFF"/>
          <w:lang w:val="pt-BR" w:eastAsia="ar-SA" w:bidi="ar-SA"/>
        </w:rPr>
        <w:t xml:space="preserve">1.6. </w:t>
      </w:r>
      <w:r>
        <w:rPr>
          <w:rFonts w:cs="Arial"/>
          <w:b w:val="0"/>
          <w:bCs w:val="0"/>
          <w:color w:val="000000"/>
          <w:kern w:val="0"/>
          <w:sz w:val="24"/>
          <w:szCs w:val="24"/>
          <w:shd w:val="clear" w:color="auto" w:fill="FFFFFF"/>
          <w:lang w:val="pt-BR" w:eastAsia="ar-SA" w:bidi="ar-SA"/>
        </w:rPr>
        <w:t xml:space="preserve">O prédio Principal da Câmara Municipal possui área construída de </w:t>
      </w:r>
      <w:r>
        <w:rPr>
          <w:rFonts w:cs="Arial"/>
          <w:b/>
          <w:bCs/>
          <w:color w:val="000000"/>
          <w:kern w:val="0"/>
          <w:sz w:val="24"/>
          <w:szCs w:val="24"/>
          <w:shd w:val="clear" w:color="auto" w:fill="FFFFFF"/>
          <w:lang w:val="pt-BR" w:eastAsia="ar-SA" w:bidi="ar-SA"/>
        </w:rPr>
        <w:t>aproximadamente 2.000m²</w:t>
      </w:r>
      <w:r>
        <w:rPr>
          <w:rFonts w:cs="Arial"/>
          <w:b w:val="0"/>
          <w:bCs w:val="0"/>
          <w:color w:val="000000"/>
          <w:kern w:val="0"/>
          <w:sz w:val="24"/>
          <w:szCs w:val="24"/>
          <w:shd w:val="clear" w:color="auto" w:fill="FFFFFF"/>
          <w:lang w:val="pt-BR" w:eastAsia="ar-SA" w:bidi="ar-SA"/>
        </w:rPr>
        <w:t xml:space="preserve"> (dois mil metros quadrados).</w:t>
      </w:r>
    </w:p>
    <w:p w14:paraId="7C7671A4">
      <w:pPr>
        <w:spacing w:line="240" w:lineRule="auto"/>
        <w:jc w:val="both"/>
        <w:rPr>
          <w:rFonts w:cs="Arial"/>
          <w:b/>
          <w:bCs/>
          <w:color w:val="000000"/>
          <w:kern w:val="0"/>
          <w:sz w:val="24"/>
          <w:szCs w:val="24"/>
          <w:shd w:val="clear" w:color="auto" w:fill="FFFFFF"/>
          <w:lang w:val="pt-BR" w:eastAsia="ar-SA" w:bidi="ar-SA"/>
        </w:rPr>
      </w:pPr>
      <w:r>
        <w:rPr>
          <w:rFonts w:cs="Arial"/>
          <w:b/>
          <w:bCs/>
          <w:color w:val="000000"/>
          <w:kern w:val="0"/>
          <w:sz w:val="24"/>
          <w:szCs w:val="24"/>
          <w:shd w:val="clear" w:color="auto" w:fill="FFFFFF"/>
          <w:lang w:val="pt-BR" w:eastAsia="ar-SA" w:bidi="ar-SA"/>
        </w:rPr>
        <w:t xml:space="preserve">1.7. </w:t>
      </w:r>
      <w:r>
        <w:rPr>
          <w:rFonts w:cs="Arial"/>
          <w:b w:val="0"/>
          <w:bCs w:val="0"/>
          <w:color w:val="000000"/>
          <w:kern w:val="0"/>
          <w:sz w:val="24"/>
          <w:szCs w:val="24"/>
          <w:shd w:val="clear" w:color="auto" w:fill="FFFFFF"/>
          <w:lang w:val="pt-BR" w:eastAsia="ar-SA" w:bidi="ar-SA"/>
        </w:rPr>
        <w:t xml:space="preserve">A área total construída possui </w:t>
      </w:r>
      <w:r>
        <w:rPr>
          <w:rFonts w:cs="Arial"/>
          <w:b/>
          <w:bCs/>
          <w:color w:val="000000"/>
          <w:kern w:val="0"/>
          <w:sz w:val="24"/>
          <w:szCs w:val="24"/>
          <w:shd w:val="clear" w:color="auto" w:fill="FFFFFF"/>
          <w:lang w:val="pt-BR" w:eastAsia="ar-SA" w:bidi="ar-SA"/>
        </w:rPr>
        <w:t>aproximadamente 2.750</w:t>
      </w:r>
      <w:r>
        <w:rPr>
          <w:rFonts w:cs="Arial"/>
          <w:b w:val="0"/>
          <w:bCs w:val="0"/>
          <w:color w:val="000000"/>
          <w:kern w:val="0"/>
          <w:sz w:val="24"/>
          <w:szCs w:val="24"/>
          <w:shd w:val="clear" w:color="auto" w:fill="FFFFFF"/>
          <w:lang w:val="pt-BR" w:eastAsia="ar-SA" w:bidi="ar-SA"/>
        </w:rPr>
        <w:t xml:space="preserve"> (dois mil setecentos e cinquenta) m², excluindo as áreas calçadas.</w:t>
      </w:r>
    </w:p>
    <w:p w14:paraId="799C88EA">
      <w:pPr>
        <w:spacing w:line="240" w:lineRule="auto"/>
        <w:jc w:val="both"/>
        <w:rPr>
          <w:rFonts w:cs="Arial"/>
          <w:b/>
          <w:bCs/>
          <w:color w:val="000000"/>
          <w:kern w:val="0"/>
          <w:sz w:val="24"/>
          <w:szCs w:val="24"/>
          <w:shd w:val="clear" w:color="auto" w:fill="FFFFFF"/>
          <w:lang w:val="pt-BR" w:eastAsia="ar-SA" w:bidi="ar-SA"/>
        </w:rPr>
      </w:pPr>
      <w:r>
        <w:rPr>
          <w:rFonts w:cs="Arial"/>
          <w:b/>
          <w:bCs/>
          <w:color w:val="000000"/>
          <w:kern w:val="0"/>
          <w:sz w:val="24"/>
          <w:szCs w:val="24"/>
          <w:shd w:val="clear" w:color="auto" w:fill="FFFFFF"/>
          <w:lang w:val="pt-BR" w:eastAsia="ar-SA" w:bidi="ar-SA"/>
        </w:rPr>
        <w:t>1.8.</w:t>
      </w:r>
      <w:r>
        <w:rPr>
          <w:rFonts w:cs="Arial"/>
          <w:b w:val="0"/>
          <w:bCs w:val="0"/>
          <w:color w:val="000000"/>
          <w:kern w:val="0"/>
          <w:sz w:val="24"/>
          <w:szCs w:val="24"/>
          <w:shd w:val="clear" w:color="auto" w:fill="FFFFFF"/>
          <w:lang w:val="pt-BR" w:eastAsia="ar-SA" w:bidi="ar-SA"/>
        </w:rPr>
        <w:t xml:space="preserve"> As medidas exatas para a realização e atualização dos projetos são de responsabilidade da empresa contratada, sendo a medida do gramado de aproximadamente seis mil metros quadrados.</w:t>
      </w:r>
    </w:p>
    <w:p w14:paraId="7B3E8884">
      <w:pPr>
        <w:spacing w:line="240" w:lineRule="auto"/>
        <w:jc w:val="both"/>
        <w:rPr>
          <w:rFonts w:cs="Arial"/>
          <w:b w:val="0"/>
          <w:bCs w:val="0"/>
          <w:color w:val="000000"/>
          <w:kern w:val="0"/>
          <w:sz w:val="24"/>
          <w:szCs w:val="24"/>
          <w:shd w:val="clear" w:color="auto" w:fill="FFFFFF"/>
          <w:lang w:val="pt-BR" w:eastAsia="ar-SA" w:bidi="ar-SA"/>
        </w:rPr>
      </w:pPr>
      <w:r>
        <w:rPr>
          <w:rFonts w:cs="Arial"/>
          <w:b/>
          <w:bCs/>
          <w:color w:val="000000"/>
          <w:kern w:val="0"/>
          <w:sz w:val="24"/>
          <w:szCs w:val="24"/>
          <w:shd w:val="clear" w:color="auto" w:fill="FFFFFF"/>
          <w:lang w:val="pt-BR" w:eastAsia="ar-SA" w:bidi="ar-SA"/>
        </w:rPr>
        <w:t>1.9.</w:t>
      </w:r>
      <w:r>
        <w:rPr>
          <w:rFonts w:cs="Arial"/>
          <w:b w:val="0"/>
          <w:bCs w:val="0"/>
          <w:color w:val="000000"/>
          <w:kern w:val="0"/>
          <w:sz w:val="24"/>
          <w:szCs w:val="24"/>
          <w:shd w:val="clear" w:color="auto" w:fill="FFFFFF"/>
          <w:lang w:val="pt-BR" w:eastAsia="ar-SA" w:bidi="ar-SA"/>
        </w:rPr>
        <w:t xml:space="preserve"> A Câmara Municipal possui os projetos a serem atualizados na </w:t>
      </w:r>
      <w:r>
        <w:rPr>
          <w:rFonts w:cs="Arial"/>
          <w:b/>
          <w:bCs/>
          <w:color w:val="000000"/>
          <w:kern w:val="0"/>
          <w:sz w:val="24"/>
          <w:szCs w:val="24"/>
          <w:shd w:val="clear" w:color="auto" w:fill="FFFFFF"/>
          <w:lang w:val="pt-BR" w:eastAsia="ar-SA" w:bidi="ar-SA"/>
        </w:rPr>
        <w:t>forma impressa</w:t>
      </w:r>
      <w:r>
        <w:rPr>
          <w:rFonts w:cs="Arial"/>
          <w:b w:val="0"/>
          <w:bCs w:val="0"/>
          <w:color w:val="000000"/>
          <w:kern w:val="0"/>
          <w:sz w:val="24"/>
          <w:szCs w:val="24"/>
          <w:shd w:val="clear" w:color="auto" w:fill="FFFFFF"/>
          <w:lang w:val="pt-BR" w:eastAsia="ar-SA" w:bidi="ar-SA"/>
        </w:rPr>
        <w:t>.</w:t>
      </w:r>
    </w:p>
    <w:p w14:paraId="46511DBA">
      <w:pPr>
        <w:spacing w:line="240" w:lineRule="auto"/>
        <w:jc w:val="both"/>
        <w:rPr>
          <w:rFonts w:cs="Arial"/>
          <w:b w:val="0"/>
          <w:bCs w:val="0"/>
          <w:color w:val="000000"/>
          <w:kern w:val="0"/>
          <w:sz w:val="24"/>
          <w:szCs w:val="24"/>
          <w:shd w:val="clear" w:color="auto" w:fill="FFFFFF"/>
          <w:lang w:val="pt-BR" w:eastAsia="en-US" w:bidi="ar-SA"/>
        </w:rPr>
      </w:pPr>
    </w:p>
    <w:p w14:paraId="1C014964">
      <w:pPr>
        <w:spacing w:line="240" w:lineRule="auto"/>
        <w:jc w:val="both"/>
        <w:rPr>
          <w:b/>
          <w:bCs/>
          <w:sz w:val="24"/>
          <w:szCs w:val="24"/>
          <w:lang w:eastAsia="en-US"/>
        </w:rPr>
      </w:pPr>
      <w:r>
        <w:rPr>
          <w:rFonts w:eastAsia="Arial Unicode MS" w:cs="Arial"/>
          <w:b/>
          <w:sz w:val="24"/>
          <w:szCs w:val="24"/>
          <w:lang w:eastAsia="en-US"/>
        </w:rPr>
        <w:t>2. DO VALOR DA CONTRATAÇÃO:</w:t>
      </w:r>
    </w:p>
    <w:p w14:paraId="01B260B0">
      <w:pPr>
        <w:spacing w:line="240" w:lineRule="auto"/>
        <w:jc w:val="both"/>
        <w:rPr>
          <w:b/>
          <w:bCs/>
          <w:sz w:val="24"/>
          <w:szCs w:val="24"/>
          <w:shd w:val="clear" w:color="auto" w:fill="FFFF00"/>
        </w:rPr>
      </w:pPr>
      <w:r>
        <w:rPr>
          <w:b/>
          <w:bCs/>
          <w:sz w:val="24"/>
          <w:szCs w:val="24"/>
          <w:lang w:eastAsia="en-US"/>
        </w:rPr>
        <w:t>2.1.</w:t>
      </w:r>
      <w:r>
        <w:rPr>
          <w:sz w:val="24"/>
          <w:szCs w:val="24"/>
          <w:lang w:eastAsia="en-US"/>
        </w:rPr>
        <w:t xml:space="preserve"> O valor da contratação é de </w:t>
      </w:r>
      <w:r>
        <w:rPr>
          <w:b/>
          <w:bCs/>
          <w:sz w:val="24"/>
          <w:szCs w:val="24"/>
          <w:shd w:val="clear" w:color="auto" w:fill="auto"/>
          <w:lang w:eastAsia="en-US"/>
        </w:rPr>
        <w:t xml:space="preserve">R$ 262.223,50 (Duzentos e sessenta e dois mil, duzentos e vinte e três reais e cinquenta centavos). </w:t>
      </w:r>
    </w:p>
    <w:p w14:paraId="78057FFE">
      <w:pPr>
        <w:spacing w:line="240" w:lineRule="auto"/>
        <w:rPr>
          <w:sz w:val="24"/>
          <w:szCs w:val="24"/>
          <w:shd w:val="clear" w:color="auto" w:fill="FFFF00"/>
        </w:rPr>
      </w:pPr>
    </w:p>
    <w:p w14:paraId="4ED19E29">
      <w:pPr>
        <w:keepNext w:val="0"/>
        <w:keepLines w:val="0"/>
        <w:pageBreakBefore w:val="0"/>
        <w:widowControl/>
        <w:kinsoku/>
        <w:wordWrap/>
        <w:overflowPunct/>
        <w:topLinePunct w:val="0"/>
        <w:autoSpaceDE/>
        <w:autoSpaceDN/>
        <w:bidi w:val="0"/>
        <w:adjustRightInd/>
        <w:snapToGrid/>
        <w:spacing w:before="0" w:beforeAutospacing="0" w:line="240" w:lineRule="auto"/>
        <w:jc w:val="left"/>
        <w:textAlignment w:val="auto"/>
        <w:rPr>
          <w:rFonts w:eastAsia="Arial Unicode MS" w:cs="Arial"/>
          <w:b/>
          <w:sz w:val="24"/>
          <w:szCs w:val="24"/>
          <w:lang w:eastAsia="en-US"/>
        </w:rPr>
      </w:pPr>
      <w:r>
        <w:rPr>
          <w:rFonts w:eastAsia="Arial Unicode MS" w:cs="Arial"/>
          <w:b/>
          <w:sz w:val="24"/>
          <w:szCs w:val="24"/>
          <w:lang w:eastAsia="en-US"/>
        </w:rPr>
        <w:t>3. JUSTIFICATIVA TÉCNICA PARA A CONTRATAÇÃO:</w:t>
      </w:r>
    </w:p>
    <w:p w14:paraId="57A55089">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pt-BR"/>
        </w:rPr>
        <w:t xml:space="preserve">3.1. </w:t>
      </w:r>
      <w:r>
        <w:rPr>
          <w:rFonts w:hint="default" w:ascii="Times New Roman" w:hAnsi="Times New Roman" w:cs="Times New Roman"/>
          <w:b w:val="0"/>
          <w:bCs w:val="0"/>
          <w:color w:val="000000"/>
          <w:sz w:val="24"/>
          <w:szCs w:val="24"/>
          <w:lang w:val="pt-BR"/>
        </w:rPr>
        <w:t xml:space="preserve">A Casa de Leis apresenta diversas deficiências identificadas, é imprescindível uma reforma ampla, que contemple a modernização, segurança e adequação da infraestrutura existente, garantindo acessibilidade, conforto e eficiência de todos os setores do prédio. Assim assim a elaboração de Projetos fundamentais, essenciais para solução dos problemas de infraestrutura apresentados e à modernização necessária para o pleno funcionamento da Casa Legislativa garantirá a preservação do Patrimônio público e assegurando as condições adequadas para o desenvolvimento das atividades legislativas e para o atendimento à população. Sendo assim: </w:t>
      </w:r>
    </w:p>
    <w:p w14:paraId="1D69C466">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pt-BR"/>
        </w:rPr>
        <w:t>3.1.1</w:t>
      </w:r>
      <w:r>
        <w:rPr>
          <w:rFonts w:hint="default" w:ascii="Times New Roman" w:hAnsi="Times New Roman" w:cs="Times New Roman"/>
          <w:b w:val="0"/>
          <w:bCs w:val="0"/>
          <w:color w:val="000000"/>
          <w:sz w:val="24"/>
          <w:szCs w:val="24"/>
          <w:lang w:val="pt-BR"/>
        </w:rPr>
        <w:t>. Com base nisto haverá a necessidade de Adequação do Projeto arquitetônico existente, e ainda um levantamento e a análise</w:t>
      </w:r>
      <w:r>
        <w:rPr>
          <w:rFonts w:hint="default" w:ascii="Times New Roman" w:hAnsi="Times New Roman" w:cs="Times New Roman"/>
          <w:b w:val="0"/>
          <w:bCs w:val="0"/>
          <w:i/>
          <w:iCs/>
          <w:color w:val="000000"/>
          <w:sz w:val="24"/>
          <w:szCs w:val="24"/>
          <w:lang w:val="pt-BR"/>
        </w:rPr>
        <w:t xml:space="preserve"> in loco</w:t>
      </w:r>
      <w:r>
        <w:rPr>
          <w:rFonts w:hint="default" w:ascii="Times New Roman" w:hAnsi="Times New Roman" w:cs="Times New Roman"/>
          <w:b w:val="0"/>
          <w:bCs w:val="0"/>
          <w:color w:val="000000"/>
          <w:sz w:val="24"/>
          <w:szCs w:val="24"/>
          <w:lang w:val="pt-BR"/>
        </w:rPr>
        <w:t xml:space="preserve"> da situação do prédio principal da Câmara Municipal, também deverá ser feiro a elaboração de relatórios com o levantamento e análise quantitativa e qualitativa dos serviços a serem executados, contemplando análise de compatibilidade técnica com as normas vigentes. Elaboração de projeto elétrico, projeto de cabeamento estruturado e Data Center, Projeto de Prevenção e Combate a Incêndio, Projeto de acessibilidade, atualização do projeto de irrigação e atualização do projeto arquitetônico com laudo de reforma.</w:t>
      </w:r>
    </w:p>
    <w:p w14:paraId="4AADE033">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lang w:val="pt-BR"/>
        </w:rPr>
      </w:pPr>
      <w:r>
        <w:rPr>
          <w:rFonts w:hint="default" w:ascii="Times New Roman" w:hAnsi="Times New Roman" w:cs="Times New Roman"/>
          <w:b/>
          <w:bCs/>
          <w:color w:val="000000"/>
          <w:sz w:val="24"/>
          <w:szCs w:val="24"/>
          <w:shd w:val="clear" w:color="auto" w:fill="FFFFFF"/>
          <w:lang w:val="pt-BR"/>
        </w:rPr>
        <w:t>3.1.2.</w:t>
      </w:r>
      <w:r>
        <w:rPr>
          <w:rFonts w:hint="default" w:ascii="Times New Roman" w:hAnsi="Times New Roman" w:cs="Times New Roman"/>
          <w:b w:val="0"/>
          <w:bCs w:val="0"/>
          <w:color w:val="000000"/>
          <w:sz w:val="24"/>
          <w:szCs w:val="24"/>
          <w:shd w:val="clear" w:color="auto" w:fill="FFFFFF"/>
          <w:lang w:val="pt-BR"/>
        </w:rPr>
        <w:t xml:space="preserve"> A contratação de empresa especializada em elaboração de Projetos de Engenharia é de grande valia, tendo em vista que não há no quadro de servidores da Câmara Municipal profissional com qualificação técnica para realizar projetos, fiscalizar a execução dos mesmos e proceder com as revisões necessárias. Posto isto, após elencar esses pontos, os projetos básicos para reforma/adequação do prédio estarão mais completos e aptos a atender às necessidades desta Casa de Leis, garantind</w:t>
      </w:r>
      <w:r>
        <w:rPr>
          <w:rFonts w:hint="default" w:ascii="Times New Roman" w:hAnsi="Times New Roman" w:eastAsia="SimSun" w:cs="Times New Roman"/>
          <w:sz w:val="24"/>
          <w:szCs w:val="24"/>
        </w:rPr>
        <w:t>o pleno acesso de pessoas</w:t>
      </w:r>
      <w:r>
        <w:rPr>
          <w:rFonts w:hint="default" w:ascii="Times New Roman" w:hAnsi="Times New Roman" w:eastAsia="SimSun" w:cs="Times New Roman"/>
          <w:sz w:val="24"/>
          <w:szCs w:val="24"/>
          <w:lang w:val="pt-BR"/>
        </w:rPr>
        <w:t xml:space="preserve"> </w:t>
      </w:r>
      <w:r>
        <w:rPr>
          <w:rFonts w:hint="default" w:ascii="Times New Roman" w:hAnsi="Times New Roman" w:eastAsia="SimSun" w:cs="Times New Roman"/>
          <w:sz w:val="24"/>
          <w:szCs w:val="24"/>
        </w:rPr>
        <w:t>em conformidade</w:t>
      </w:r>
      <w:r>
        <w:rPr>
          <w:rFonts w:hint="default" w:ascii="Times New Roman" w:hAnsi="Times New Roman" w:eastAsia="SimSun" w:cs="Times New Roman"/>
          <w:sz w:val="24"/>
          <w:szCs w:val="24"/>
          <w:lang w:val="pt-BR"/>
        </w:rPr>
        <w:t xml:space="preserve"> </w:t>
      </w:r>
      <w:r>
        <w:rPr>
          <w:rFonts w:hint="default" w:ascii="Times New Roman" w:hAnsi="Times New Roman" w:eastAsia="SimSun" w:cs="Times New Roman"/>
          <w:sz w:val="24"/>
          <w:szCs w:val="24"/>
        </w:rPr>
        <w:t>com as normas de acessibilidade previstas em legislação federal</w:t>
      </w:r>
      <w:r>
        <w:rPr>
          <w:rFonts w:hint="default" w:ascii="Times New Roman" w:hAnsi="Times New Roman" w:eastAsia="SimSun" w:cs="Times New Roman"/>
          <w:sz w:val="24"/>
          <w:szCs w:val="24"/>
          <w:lang w:val="pt-BR"/>
        </w:rPr>
        <w:t>, bem como a integridade</w:t>
      </w:r>
      <w:r>
        <w:rPr>
          <w:rFonts w:hint="default" w:ascii="Times New Roman" w:hAnsi="Times New Roman" w:eastAsia="SimSun" w:cs="Times New Roman"/>
          <w:sz w:val="24"/>
          <w:szCs w:val="24"/>
        </w:rPr>
        <w:t xml:space="preserve"> do edifício e à segurança dos funcionários, vereadores e visitantes.</w:t>
      </w:r>
    </w:p>
    <w:p w14:paraId="17D6BD4C">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Style w:val="20"/>
          <w:rFonts w:hint="default" w:ascii="Times New Roman" w:hAnsi="Times New Roman" w:cs="Times New Roman"/>
          <w:b/>
          <w:bCs/>
          <w:i w:val="0"/>
          <w:iCs w:val="0"/>
          <w:color w:val="000000"/>
          <w:spacing w:val="0"/>
          <w:sz w:val="24"/>
          <w:szCs w:val="24"/>
          <w:lang w:val="pt-BR"/>
        </w:rPr>
        <w:t xml:space="preserve">3.1.3. </w:t>
      </w:r>
      <w:r>
        <w:rPr>
          <w:rStyle w:val="20"/>
          <w:rFonts w:hint="default" w:ascii="Times New Roman" w:hAnsi="Times New Roman" w:cs="Times New Roman"/>
          <w:b w:val="0"/>
          <w:bCs w:val="0"/>
          <w:i w:val="0"/>
          <w:iCs w:val="0"/>
          <w:color w:val="000000"/>
          <w:spacing w:val="0"/>
          <w:sz w:val="24"/>
          <w:szCs w:val="24"/>
          <w:lang w:val="pt-BR"/>
        </w:rPr>
        <w:t xml:space="preserve">É válido aqui ressaltar que há necessidades de manutenção no prédio da Câmara Municipal, uma que o mesmo se encontra com algumas avarias devido o decorrer do tempo. Existe também a necessidade de adequação da rede elétrica e da rede lógica, sendo que as mesmas não atendem de forma satisfatória e segura as necessidades atuais desta Casa de Leis, conforme laudo da rede elétrica em anexo a este processo. </w:t>
      </w:r>
    </w:p>
    <w:p w14:paraId="71280072">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Style w:val="20"/>
          <w:rFonts w:hint="default" w:ascii="Times New Roman" w:hAnsi="Times New Roman" w:cs="Times New Roman"/>
          <w:b/>
          <w:bCs/>
          <w:i w:val="0"/>
          <w:iCs w:val="0"/>
          <w:color w:val="000000"/>
          <w:spacing w:val="0"/>
          <w:sz w:val="24"/>
          <w:szCs w:val="24"/>
          <w:lang w:val="pt-BR"/>
        </w:rPr>
        <w:t>3.1.4</w:t>
      </w:r>
      <w:r>
        <w:rPr>
          <w:rStyle w:val="20"/>
          <w:rFonts w:hint="default" w:ascii="Times New Roman" w:hAnsi="Times New Roman" w:cs="Times New Roman"/>
          <w:b w:val="0"/>
          <w:bCs w:val="0"/>
          <w:i w:val="0"/>
          <w:iCs w:val="0"/>
          <w:color w:val="000000"/>
          <w:spacing w:val="0"/>
          <w:sz w:val="24"/>
          <w:szCs w:val="24"/>
          <w:lang w:val="pt-BR"/>
        </w:rPr>
        <w:t xml:space="preserve"> Outro fato a ser abordado é sobre o que se refere a irrigação automatizada da Câmara Municipal. Acontece que existe um antigo Projeto de Irrigação que foi adquirido por esta Casa de Leis e que acabou sendo comprometido em detrimento da construção do Prédio Anexo da desta Casa e também dos dois novos estacionamentos pertencentes a mesma. Por este motivo, pleiteamos uma atualização do projeto para toda a área que necessita ser irrigada. </w:t>
      </w:r>
      <w:r>
        <w:rPr>
          <w:rFonts w:hint="default" w:ascii="Times New Roman" w:hAnsi="Times New Roman" w:cs="Times New Roman"/>
          <w:b w:val="0"/>
          <w:bCs w:val="0"/>
          <w:color w:val="000000"/>
          <w:sz w:val="24"/>
          <w:szCs w:val="24"/>
          <w:lang w:val="pt-BR"/>
        </w:rPr>
        <w:t>Ocorre que, devido a construção do anexo e das garagens, é necessária esta atualização para manter a distribuição uniforme de água em todas as áreas verdes da Casa.</w:t>
      </w:r>
    </w:p>
    <w:p w14:paraId="19112775">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Style w:val="20"/>
          <w:rFonts w:hint="default" w:ascii="Times New Roman" w:hAnsi="Times New Roman" w:cs="Times New Roman"/>
          <w:b/>
          <w:bCs/>
          <w:i w:val="0"/>
          <w:iCs w:val="0"/>
          <w:color w:val="000000"/>
          <w:spacing w:val="0"/>
          <w:sz w:val="24"/>
          <w:szCs w:val="24"/>
          <w:lang w:val="pt-BR"/>
        </w:rPr>
        <w:t>3.1.5.</w:t>
      </w:r>
      <w:r>
        <w:rPr>
          <w:rStyle w:val="20"/>
          <w:rFonts w:hint="default" w:ascii="Times New Roman" w:hAnsi="Times New Roman" w:cs="Times New Roman"/>
          <w:b w:val="0"/>
          <w:bCs w:val="0"/>
          <w:i w:val="0"/>
          <w:iCs w:val="0"/>
          <w:color w:val="000000"/>
          <w:spacing w:val="0"/>
          <w:sz w:val="24"/>
          <w:szCs w:val="24"/>
          <w:lang w:val="pt-BR"/>
        </w:rPr>
        <w:t xml:space="preserve"> Outro fator de extrema importância que abordamos neste estudo é sobre a </w:t>
      </w:r>
      <w:r>
        <w:rPr>
          <w:rStyle w:val="20"/>
          <w:rFonts w:hint="default" w:ascii="Times New Roman" w:hAnsi="Times New Roman" w:cs="Times New Roman"/>
          <w:b/>
          <w:bCs/>
          <w:i w:val="0"/>
          <w:iCs w:val="0"/>
          <w:color w:val="000000"/>
          <w:spacing w:val="0"/>
          <w:sz w:val="24"/>
          <w:szCs w:val="24"/>
          <w:lang w:val="pt-BR"/>
        </w:rPr>
        <w:t>ACESSIBILIDADE</w:t>
      </w:r>
      <w:r>
        <w:rPr>
          <w:rStyle w:val="20"/>
          <w:rFonts w:hint="default" w:ascii="Times New Roman" w:hAnsi="Times New Roman" w:cs="Times New Roman"/>
          <w:b w:val="0"/>
          <w:bCs w:val="0"/>
          <w:i w:val="0"/>
          <w:iCs w:val="0"/>
          <w:color w:val="000000"/>
          <w:spacing w:val="0"/>
          <w:sz w:val="24"/>
          <w:szCs w:val="24"/>
          <w:lang w:val="pt-BR"/>
        </w:rPr>
        <w:t xml:space="preserve">, uma vez que, na construção do prédio principal não houve a realização dos espaços de acessibilidade compatíveis com o que determina a </w:t>
      </w:r>
      <w:r>
        <w:rPr>
          <w:rStyle w:val="20"/>
          <w:rFonts w:hint="default" w:ascii="Times New Roman" w:hAnsi="Times New Roman" w:cs="Times New Roman"/>
          <w:b w:val="0"/>
          <w:bCs w:val="0"/>
          <w:i w:val="0"/>
          <w:iCs w:val="0"/>
          <w:color w:val="040C28"/>
          <w:spacing w:val="0"/>
          <w:sz w:val="24"/>
          <w:szCs w:val="24"/>
          <w:lang w:val="pt-BR"/>
        </w:rPr>
        <w:t>Lei Nº 10.098, de 19 de dezembro de 2000 e-</w:t>
      </w:r>
      <w:r>
        <w:rPr>
          <w:rStyle w:val="20"/>
          <w:rFonts w:hint="default" w:ascii="Times New Roman" w:hAnsi="Times New Roman" w:cs="Times New Roman"/>
          <w:b w:val="0"/>
          <w:bCs w:val="0"/>
          <w:i w:val="0"/>
          <w:iCs w:val="0"/>
          <w:color w:val="202124"/>
          <w:spacing w:val="0"/>
          <w:sz w:val="24"/>
          <w:szCs w:val="24"/>
          <w:lang w:val="pt-BR"/>
        </w:rPr>
        <w:t xml:space="preserve"> que estabelece normas gerais e critérios básicos para a promoção da acessibilidade das pessoas portadoras de deficiência ou com mobilidade reduzida, bem como as demais legislações vigentes que tratam desta pauta.</w:t>
      </w:r>
    </w:p>
    <w:p w14:paraId="33A1495D">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Style w:val="20"/>
          <w:rFonts w:hint="default" w:ascii="Times New Roman" w:hAnsi="Times New Roman" w:cs="Times New Roman"/>
          <w:b/>
          <w:bCs/>
          <w:i w:val="0"/>
          <w:iCs w:val="0"/>
          <w:color w:val="000000"/>
          <w:spacing w:val="0"/>
          <w:sz w:val="24"/>
          <w:szCs w:val="24"/>
          <w:lang w:val="pt-BR"/>
        </w:rPr>
        <w:t xml:space="preserve">3.1.6. </w:t>
      </w:r>
      <w:r>
        <w:rPr>
          <w:rStyle w:val="20"/>
          <w:rFonts w:hint="default" w:ascii="Times New Roman" w:hAnsi="Times New Roman" w:cs="Times New Roman"/>
          <w:b w:val="0"/>
          <w:bCs w:val="0"/>
          <w:i w:val="0"/>
          <w:iCs w:val="0"/>
          <w:color w:val="000000"/>
          <w:spacing w:val="0"/>
          <w:sz w:val="24"/>
          <w:szCs w:val="24"/>
          <w:lang w:val="pt-BR"/>
        </w:rPr>
        <w:t xml:space="preserve">É necessário que também abordarmos que existe a necessidade de um Projeto de Incêndio atualizado, em razão da ampliação da área construída, para que sejam instalados equipamentos de segurança contra incêndio e pânico, conforme relatório de vistoria técnica emitido pelo Corpo de Bombeiros Militar acostado. </w:t>
      </w:r>
    </w:p>
    <w:p w14:paraId="423AB43A">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Style w:val="20"/>
          <w:rFonts w:hint="default" w:ascii="Times New Roman" w:hAnsi="Times New Roman" w:cs="Times New Roman"/>
          <w:b/>
          <w:bCs/>
          <w:i w:val="0"/>
          <w:iCs w:val="0"/>
          <w:color w:val="000000"/>
          <w:spacing w:val="0"/>
          <w:sz w:val="24"/>
          <w:szCs w:val="24"/>
          <w:lang w:val="pt-BR"/>
        </w:rPr>
        <w:t>3.1.7.</w:t>
      </w:r>
      <w:r>
        <w:rPr>
          <w:rStyle w:val="20"/>
          <w:rFonts w:hint="default" w:ascii="Times New Roman" w:hAnsi="Times New Roman" w:cs="Times New Roman"/>
          <w:b w:val="0"/>
          <w:bCs w:val="0"/>
          <w:i w:val="0"/>
          <w:iCs w:val="0"/>
          <w:color w:val="000000"/>
          <w:spacing w:val="0"/>
          <w:sz w:val="24"/>
          <w:szCs w:val="24"/>
          <w:lang w:val="pt-BR"/>
        </w:rPr>
        <w:t xml:space="preserve"> Em razão da alteração citada, todas as análises dos profissionais aptos deverão serem feitas </w:t>
      </w:r>
      <w:r>
        <w:rPr>
          <w:rStyle w:val="20"/>
          <w:rFonts w:hint="default" w:ascii="Times New Roman" w:hAnsi="Times New Roman" w:cs="Times New Roman"/>
          <w:b/>
          <w:bCs/>
          <w:i/>
          <w:iCs/>
          <w:color w:val="000000"/>
          <w:spacing w:val="0"/>
          <w:sz w:val="24"/>
          <w:szCs w:val="24"/>
          <w:lang w:val="pt-BR"/>
        </w:rPr>
        <w:t xml:space="preserve">in loco, </w:t>
      </w:r>
      <w:r>
        <w:rPr>
          <w:rStyle w:val="20"/>
          <w:rFonts w:hint="default" w:ascii="Times New Roman" w:hAnsi="Times New Roman" w:cs="Times New Roman"/>
          <w:b w:val="0"/>
          <w:bCs w:val="0"/>
          <w:i w:val="0"/>
          <w:iCs w:val="0"/>
          <w:color w:val="000000"/>
          <w:spacing w:val="0"/>
          <w:sz w:val="24"/>
          <w:szCs w:val="24"/>
          <w:lang w:val="pt-BR"/>
        </w:rPr>
        <w:t>havendo assim, a necessidade de vistoria de toda a situação atual dos ambientes para que seja possível a necessária elaboração de projetos novos.</w:t>
      </w:r>
    </w:p>
    <w:p w14:paraId="7E3DE2D4">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pt-BR"/>
        </w:rPr>
        <w:t>3.1.8.</w:t>
      </w:r>
      <w:r>
        <w:rPr>
          <w:rFonts w:hint="default" w:ascii="Times New Roman" w:hAnsi="Times New Roman" w:cs="Times New Roman"/>
          <w:b w:val="0"/>
          <w:bCs w:val="0"/>
          <w:color w:val="000000"/>
          <w:sz w:val="24"/>
          <w:szCs w:val="24"/>
          <w:lang w:val="pt-BR"/>
        </w:rPr>
        <w:t xml:space="preserve"> Outro ponto que merece ser aqui mencionado é que os projetos apresentados estão correlacionados, e por este fato deverá haver a aplicação da logística e a interação dos profissionais envolvidos no instante da elaboração dos mesmos especificamente em cada área, e sendo assim, acarretará certamente uma </w:t>
      </w:r>
      <w:r>
        <w:rPr>
          <w:rFonts w:hint="default" w:ascii="Times New Roman" w:hAnsi="Times New Roman" w:cs="Times New Roman"/>
          <w:b/>
          <w:bCs/>
          <w:color w:val="000000"/>
          <w:sz w:val="24"/>
          <w:szCs w:val="24"/>
          <w:lang w:val="pt-BR"/>
        </w:rPr>
        <w:t>REDUÇÃO DE CUSTOS</w:t>
      </w:r>
      <w:r>
        <w:rPr>
          <w:rFonts w:hint="default" w:ascii="Times New Roman" w:hAnsi="Times New Roman" w:cs="Times New Roman"/>
          <w:b w:val="0"/>
          <w:bCs w:val="0"/>
          <w:color w:val="000000"/>
          <w:sz w:val="24"/>
          <w:szCs w:val="24"/>
          <w:lang w:val="pt-BR"/>
        </w:rPr>
        <w:t xml:space="preserve"> para o Erário na execução da obra, já que haverá uma comunicação mais eficiente entre as partes envolvidas.</w:t>
      </w:r>
    </w:p>
    <w:p w14:paraId="4BE33551">
      <w:pPr>
        <w:pStyle w:val="18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val="0"/>
          <w:bCs w:val="0"/>
          <w:color w:val="000000"/>
          <w:sz w:val="24"/>
          <w:szCs w:val="24"/>
          <w:lang w:val="pt-BR"/>
        </w:rPr>
        <w:t xml:space="preserve">Ademais, o Artigo 37 da Constituição Federal de 1988, trás em seu </w:t>
      </w:r>
      <w:r>
        <w:rPr>
          <w:rFonts w:hint="default" w:ascii="Times New Roman" w:hAnsi="Times New Roman" w:cs="Times New Roman"/>
          <w:b/>
          <w:bCs/>
          <w:i/>
          <w:iCs/>
          <w:color w:val="000000"/>
          <w:sz w:val="24"/>
          <w:szCs w:val="24"/>
          <w:lang w:val="pt-BR"/>
        </w:rPr>
        <w:t>caput,</w:t>
      </w:r>
      <w:r>
        <w:rPr>
          <w:rFonts w:hint="default" w:ascii="Times New Roman" w:hAnsi="Times New Roman" w:cs="Times New Roman"/>
          <w:b w:val="0"/>
          <w:bCs w:val="0"/>
          <w:i/>
          <w:iCs/>
          <w:color w:val="000000"/>
          <w:sz w:val="24"/>
          <w:szCs w:val="24"/>
          <w:lang w:val="pt-BR"/>
        </w:rPr>
        <w:t xml:space="preserve"> </w:t>
      </w:r>
      <w:r>
        <w:rPr>
          <w:rFonts w:hint="default" w:ascii="Times New Roman" w:hAnsi="Times New Roman" w:cs="Times New Roman"/>
          <w:b w:val="0"/>
          <w:bCs w:val="0"/>
          <w:i w:val="0"/>
          <w:iCs w:val="0"/>
          <w:color w:val="000000"/>
          <w:sz w:val="24"/>
          <w:szCs w:val="24"/>
          <w:lang w:val="pt-BR"/>
        </w:rPr>
        <w:t>os princípios norteadores da Administração Pública direta e indireta e o princípio da</w:t>
      </w:r>
      <w:r>
        <w:rPr>
          <w:rFonts w:hint="default" w:ascii="Times New Roman" w:hAnsi="Times New Roman" w:cs="Times New Roman"/>
          <w:b/>
          <w:bCs/>
          <w:i w:val="0"/>
          <w:iCs w:val="0"/>
          <w:color w:val="000000"/>
          <w:sz w:val="24"/>
          <w:szCs w:val="24"/>
          <w:lang w:val="pt-BR"/>
        </w:rPr>
        <w:t xml:space="preserve"> EFICIÊNCIA </w:t>
      </w:r>
      <w:r>
        <w:rPr>
          <w:rFonts w:hint="default" w:ascii="Times New Roman" w:hAnsi="Times New Roman" w:cs="Times New Roman"/>
          <w:b w:val="0"/>
          <w:bCs w:val="0"/>
          <w:i w:val="0"/>
          <w:iCs w:val="0"/>
          <w:color w:val="000000"/>
          <w:sz w:val="24"/>
          <w:szCs w:val="24"/>
          <w:lang w:val="pt-BR"/>
        </w:rPr>
        <w:t>está neste rol.</w:t>
      </w:r>
    </w:p>
    <w:p w14:paraId="063CA6F9">
      <w:pPr>
        <w:spacing w:line="240" w:lineRule="auto"/>
        <w:jc w:val="both"/>
        <w:rPr>
          <w:rFonts w:hint="default" w:ascii="Times New Roman" w:hAnsi="Times New Roman" w:eastAsia="Arial Unicode MS" w:cs="Times New Roman"/>
          <w:b/>
          <w:sz w:val="22"/>
          <w:szCs w:val="22"/>
          <w:lang w:eastAsia="en-US"/>
        </w:rPr>
      </w:pPr>
    </w:p>
    <w:p w14:paraId="7C6A6B68">
      <w:pPr>
        <w:spacing w:line="240" w:lineRule="auto"/>
        <w:jc w:val="both"/>
        <w:rPr>
          <w:rFonts w:eastAsia="Arial Unicode MS" w:cs="Arial"/>
          <w:b/>
          <w:sz w:val="24"/>
          <w:szCs w:val="24"/>
          <w:lang w:eastAsia="en-US"/>
        </w:rPr>
      </w:pPr>
      <w:r>
        <w:rPr>
          <w:rFonts w:eastAsia="Arial Unicode MS" w:cs="Arial"/>
          <w:b/>
          <w:sz w:val="24"/>
          <w:szCs w:val="24"/>
          <w:lang w:eastAsia="en-US"/>
        </w:rPr>
        <w:t>4. DOS SERVIÇOS E DA EXECUÇÃO:</w:t>
      </w:r>
    </w:p>
    <w:p w14:paraId="38BDA5D4">
      <w:pPr>
        <w:spacing w:line="240" w:lineRule="auto"/>
        <w:jc w:val="both"/>
        <w:rPr>
          <w:rFonts w:eastAsia="Arial Unicode MS" w:cs="Arial"/>
          <w:b/>
          <w:bCs/>
          <w:sz w:val="24"/>
          <w:szCs w:val="24"/>
          <w:lang w:eastAsia="en-US"/>
        </w:rPr>
      </w:pPr>
      <w:r>
        <w:rPr>
          <w:rFonts w:eastAsia="Arial Unicode MS" w:cs="Arial"/>
          <w:b/>
          <w:sz w:val="24"/>
          <w:szCs w:val="24"/>
          <w:lang w:eastAsia="en-US"/>
        </w:rPr>
        <w:t>4.1</w:t>
      </w:r>
      <w:r>
        <w:rPr>
          <w:rFonts w:eastAsia="Arial Unicode MS" w:cs="Arial"/>
          <w:sz w:val="24"/>
          <w:szCs w:val="24"/>
          <w:lang w:eastAsia="en-US"/>
        </w:rPr>
        <w:t>. Os serviços serão executados de acordo com as condições contidas neste termo de referência e demais anexos integrantes, e dos documentos que a contratada declara conhecer, bem como da proposta apresentada;</w:t>
      </w:r>
    </w:p>
    <w:p w14:paraId="50D8B2A2">
      <w:pPr>
        <w:spacing w:line="240" w:lineRule="auto"/>
        <w:jc w:val="both"/>
        <w:rPr>
          <w:rFonts w:eastAsia="Arial Unicode MS" w:cs="Arial"/>
          <w:b/>
          <w:color w:val="000000"/>
          <w:sz w:val="24"/>
          <w:szCs w:val="24"/>
          <w:lang w:eastAsia="en-US"/>
        </w:rPr>
      </w:pPr>
      <w:r>
        <w:rPr>
          <w:rFonts w:eastAsia="Arial Unicode MS" w:cs="Arial"/>
          <w:b/>
          <w:bCs/>
          <w:sz w:val="24"/>
          <w:szCs w:val="24"/>
          <w:lang w:eastAsia="en-US"/>
        </w:rPr>
        <w:t xml:space="preserve">4.2. </w:t>
      </w:r>
      <w:r>
        <w:rPr>
          <w:rFonts w:eastAsia="SimSun" w:cs="Times New Roman"/>
          <w:sz w:val="24"/>
          <w:szCs w:val="24"/>
          <w:lang w:eastAsia="en-US"/>
        </w:rPr>
        <w:t>A</w:t>
      </w:r>
      <w:r>
        <w:rPr>
          <w:rFonts w:eastAsia="SimSun" w:cs="Times New Roman"/>
          <w:sz w:val="24"/>
          <w:szCs w:val="24"/>
          <w:shd w:val="clear" w:color="auto" w:fill="auto"/>
          <w:lang w:eastAsia="en-US"/>
        </w:rPr>
        <w:t xml:space="preserve"> empresa </w:t>
      </w:r>
      <w:r>
        <w:rPr>
          <w:rFonts w:eastAsia="SimSun" w:cs="Times New Roman"/>
          <w:sz w:val="24"/>
          <w:szCs w:val="24"/>
          <w:shd w:val="clear" w:color="auto" w:fill="auto"/>
          <w:lang w:val="pt-BR" w:eastAsia="en-US"/>
        </w:rPr>
        <w:t>terá</w:t>
      </w:r>
      <w:r>
        <w:rPr>
          <w:rFonts w:eastAsia="SimSun" w:cs="Times New Roman"/>
          <w:b w:val="0"/>
          <w:bCs w:val="0"/>
          <w:sz w:val="24"/>
          <w:szCs w:val="24"/>
          <w:shd w:val="clear" w:color="auto" w:fill="auto"/>
          <w:lang w:val="pt-BR" w:eastAsia="en-US"/>
        </w:rPr>
        <w:t xml:space="preserve"> 30 (trinta) dias </w:t>
      </w:r>
      <w:r>
        <w:rPr>
          <w:rFonts w:eastAsia="SimSun" w:cs="Times New Roman"/>
          <w:sz w:val="24"/>
          <w:szCs w:val="24"/>
          <w:shd w:val="clear" w:color="auto" w:fill="auto"/>
          <w:lang w:val="pt-BR" w:eastAsia="en-US"/>
        </w:rPr>
        <w:t xml:space="preserve">para entrega definitiva do objeto a </w:t>
      </w:r>
      <w:r>
        <w:rPr>
          <w:rFonts w:eastAsia="SimSun" w:cs="Times New Roman"/>
          <w:sz w:val="24"/>
          <w:szCs w:val="24"/>
          <w:lang w:val="pt-BR" w:eastAsia="en-US"/>
        </w:rPr>
        <w:t>partir da aprovação da contratante, de acordo com interesse da administração</w:t>
      </w:r>
      <w:r>
        <w:rPr>
          <w:rFonts w:eastAsia="SimSun" w:cs="Times New Roman"/>
          <w:sz w:val="24"/>
          <w:szCs w:val="24"/>
          <w:lang w:eastAsia="en-US"/>
        </w:rPr>
        <w:t xml:space="preserve">, salvo a ocorrência de calamidade pública, perturbação da ordem, greves ou por outro motivo que a </w:t>
      </w:r>
      <w:r>
        <w:rPr>
          <w:rFonts w:eastAsia="SimSun" w:cs="Times New Roman"/>
          <w:sz w:val="24"/>
          <w:szCs w:val="24"/>
          <w:lang w:val="pt-BR" w:eastAsia="en-US"/>
        </w:rPr>
        <w:t xml:space="preserve">Câmara Municipal </w:t>
      </w:r>
      <w:r>
        <w:rPr>
          <w:rFonts w:eastAsia="SimSun" w:cs="Times New Roman"/>
          <w:sz w:val="24"/>
          <w:szCs w:val="24"/>
          <w:lang w:eastAsia="en-US"/>
        </w:rPr>
        <w:t>venha a aceitar por considerá-lo justo, ficando esses prazos prorrogados, para todos os efeitos contratuais de tantos dias quantos forem os de duração do obstáculo impeditivo, na forma prevista nesta Cláusula.</w:t>
      </w:r>
    </w:p>
    <w:p w14:paraId="7E130A48">
      <w:pPr>
        <w:spacing w:line="240" w:lineRule="auto"/>
        <w:jc w:val="both"/>
        <w:rPr>
          <w:rFonts w:eastAsia="Arial Unicode MS" w:cs="Arial"/>
          <w:b/>
          <w:color w:val="000000"/>
          <w:sz w:val="24"/>
          <w:szCs w:val="24"/>
          <w:lang w:eastAsia="en-US"/>
        </w:rPr>
      </w:pPr>
    </w:p>
    <w:p w14:paraId="117111B0">
      <w:pPr>
        <w:spacing w:line="240" w:lineRule="auto"/>
        <w:jc w:val="both"/>
        <w:rPr>
          <w:rFonts w:cs="Arial"/>
          <w:b/>
          <w:bCs/>
          <w:sz w:val="24"/>
          <w:szCs w:val="24"/>
        </w:rPr>
      </w:pPr>
      <w:r>
        <w:rPr>
          <w:rFonts w:eastAsia="Arial Unicode MS" w:cs="Arial"/>
          <w:b/>
          <w:color w:val="000000"/>
          <w:sz w:val="24"/>
          <w:szCs w:val="24"/>
          <w:lang w:eastAsia="en-US"/>
        </w:rPr>
        <w:t>5. DAS OBRIGAÇÕES DA CONTRATADA:</w:t>
      </w:r>
    </w:p>
    <w:p w14:paraId="5D773155">
      <w:pPr>
        <w:pStyle w:val="5"/>
        <w:widowControl w:val="0"/>
        <w:spacing w:before="0" w:after="0" w:line="240" w:lineRule="auto"/>
        <w:jc w:val="both"/>
        <w:rPr>
          <w:rFonts w:eastAsia="SimSun" w:cs="Times New Roman"/>
          <w:b/>
          <w:bCs/>
          <w:sz w:val="24"/>
          <w:szCs w:val="24"/>
        </w:rPr>
      </w:pPr>
      <w:r>
        <w:rPr>
          <w:rFonts w:cs="Arial"/>
          <w:b/>
          <w:bCs/>
          <w:sz w:val="24"/>
          <w:szCs w:val="24"/>
        </w:rPr>
        <w:t>5.1.</w:t>
      </w:r>
      <w:r>
        <w:rPr>
          <w:rFonts w:cs="Arial"/>
          <w:sz w:val="24"/>
          <w:szCs w:val="24"/>
        </w:rPr>
        <w:t xml:space="preserve"> Cumprir</w:t>
      </w:r>
      <w:r>
        <w:rPr>
          <w:rFonts w:eastAsia="SimSun" w:cs="Times New Roman"/>
          <w:sz w:val="24"/>
          <w:szCs w:val="24"/>
          <w:lang w:eastAsia="en-US"/>
        </w:rPr>
        <w:t xml:space="preserve"> todas as obrigações assumidas de acordo com as cláusulas contratuais e os termos de sua proposta;</w:t>
      </w:r>
    </w:p>
    <w:p w14:paraId="6F747642">
      <w:pPr>
        <w:numPr>
          <w:ilvl w:val="0"/>
          <w:numId w:val="0"/>
        </w:numPr>
        <w:spacing w:line="240" w:lineRule="auto"/>
        <w:ind w:left="0" w:right="0" w:firstLine="0"/>
        <w:jc w:val="both"/>
        <w:rPr>
          <w:rFonts w:eastAsia="SimSun" w:cs="Times New Roman"/>
          <w:b/>
          <w:bCs/>
          <w:sz w:val="24"/>
          <w:szCs w:val="24"/>
        </w:rPr>
      </w:pPr>
      <w:r>
        <w:rPr>
          <w:rFonts w:eastAsia="SimSun" w:cs="Times New Roman"/>
          <w:b/>
          <w:bCs/>
          <w:sz w:val="24"/>
          <w:szCs w:val="24"/>
        </w:rPr>
        <w:t>5.2.</w:t>
      </w:r>
      <w:r>
        <w:rPr>
          <w:rFonts w:eastAsia="SimSun" w:cs="Times New Roman"/>
          <w:sz w:val="24"/>
          <w:szCs w:val="24"/>
        </w:rPr>
        <w:t xml:space="preserve"> </w:t>
      </w:r>
      <w:r>
        <w:rPr>
          <w:rFonts w:eastAsia="SimSun" w:cs="Times New Roman"/>
          <w:sz w:val="24"/>
          <w:szCs w:val="24"/>
          <w:lang w:eastAsia="en-US"/>
        </w:rPr>
        <w:t>Exercer o acompanhamento e a fiscalização dos serviços, anotando em registro próprio as falhas detectadas, indicando dia, mês e ano, bem como o nome dos empregados eventualmente envolvidos, e encaminhando os apontamentos à autoridade competente para as providências cabíveis;</w:t>
      </w:r>
    </w:p>
    <w:p w14:paraId="09359CCE">
      <w:pPr>
        <w:numPr>
          <w:ilvl w:val="0"/>
          <w:numId w:val="0"/>
        </w:numPr>
        <w:spacing w:line="240" w:lineRule="auto"/>
        <w:ind w:left="0" w:right="0" w:firstLine="0"/>
        <w:jc w:val="both"/>
        <w:rPr>
          <w:rFonts w:eastAsia="SimSun" w:cs="Times New Roman"/>
          <w:b/>
          <w:bCs/>
          <w:sz w:val="24"/>
          <w:szCs w:val="24"/>
        </w:rPr>
      </w:pPr>
      <w:r>
        <w:rPr>
          <w:rFonts w:eastAsia="SimSun" w:cs="Times New Roman"/>
          <w:b/>
          <w:bCs/>
          <w:sz w:val="24"/>
          <w:szCs w:val="24"/>
        </w:rPr>
        <w:t>5.3.</w:t>
      </w:r>
      <w:r>
        <w:rPr>
          <w:rFonts w:eastAsia="SimSun" w:cs="Times New Roman"/>
          <w:sz w:val="24"/>
          <w:szCs w:val="24"/>
        </w:rPr>
        <w:t xml:space="preserve"> Manter durante toda a execução do Contrato, todas as condições de habilitação. </w:t>
      </w:r>
    </w:p>
    <w:p w14:paraId="74CD95BF">
      <w:pPr>
        <w:numPr>
          <w:ilvl w:val="0"/>
          <w:numId w:val="0"/>
        </w:numPr>
        <w:spacing w:line="240" w:lineRule="auto"/>
        <w:ind w:left="0" w:right="0" w:firstLine="0"/>
        <w:jc w:val="both"/>
        <w:rPr>
          <w:rFonts w:eastAsia="SimSun" w:cs="Times New Roman"/>
          <w:b/>
          <w:bCs/>
          <w:sz w:val="24"/>
          <w:szCs w:val="24"/>
        </w:rPr>
      </w:pPr>
      <w:r>
        <w:rPr>
          <w:rFonts w:eastAsia="SimSun" w:cs="Times New Roman"/>
          <w:b/>
          <w:bCs/>
          <w:sz w:val="24"/>
          <w:szCs w:val="24"/>
        </w:rPr>
        <w:t>5.4.</w:t>
      </w:r>
      <w:r>
        <w:rPr>
          <w:rFonts w:eastAsia="SimSun" w:cs="Times New Roman"/>
          <w:sz w:val="24"/>
          <w:szCs w:val="24"/>
        </w:rPr>
        <w:t xml:space="preserve"> Manter-se, no decorrer de todo o contrato em condições legais e fiscais iguais à da contratação; </w:t>
      </w:r>
    </w:p>
    <w:p w14:paraId="4155DDE5">
      <w:pPr>
        <w:numPr>
          <w:ilvl w:val="0"/>
          <w:numId w:val="0"/>
        </w:numPr>
        <w:spacing w:line="240" w:lineRule="auto"/>
        <w:ind w:left="0" w:right="0" w:firstLine="0"/>
        <w:jc w:val="both"/>
        <w:rPr>
          <w:rFonts w:eastAsia="SimSun" w:cs="Times New Roman"/>
          <w:b/>
          <w:bCs/>
          <w:sz w:val="24"/>
          <w:szCs w:val="24"/>
          <w:lang w:val="pt-BR"/>
        </w:rPr>
      </w:pPr>
      <w:r>
        <w:rPr>
          <w:rFonts w:eastAsia="SimSun" w:cs="Times New Roman"/>
          <w:b/>
          <w:bCs/>
          <w:sz w:val="24"/>
          <w:szCs w:val="24"/>
        </w:rPr>
        <w:t>5.5</w:t>
      </w:r>
      <w:r>
        <w:rPr>
          <w:rFonts w:eastAsia="SimSun" w:cs="Times New Roman"/>
          <w:sz w:val="24"/>
          <w:szCs w:val="24"/>
        </w:rPr>
        <w:t xml:space="preserve">. Apresentar </w:t>
      </w:r>
      <w:r>
        <w:rPr>
          <w:rFonts w:eastAsia="SimSun" w:cs="Times New Roman"/>
          <w:b/>
          <w:bCs/>
          <w:sz w:val="24"/>
          <w:szCs w:val="24"/>
        </w:rPr>
        <w:t>R</w:t>
      </w:r>
      <w:r>
        <w:rPr>
          <w:rFonts w:hint="default" w:eastAsia="SimSun" w:cs="Times New Roman"/>
          <w:b/>
          <w:bCs/>
          <w:sz w:val="24"/>
          <w:szCs w:val="24"/>
          <w:lang w:val="pt-BR"/>
        </w:rPr>
        <w:t xml:space="preserve">igorosamente </w:t>
      </w:r>
      <w:r>
        <w:rPr>
          <w:rFonts w:eastAsia="SimSun" w:cs="Times New Roman"/>
          <w:sz w:val="24"/>
          <w:szCs w:val="24"/>
        </w:rPr>
        <w:t xml:space="preserve">Nota Fiscal/Fatura à </w:t>
      </w:r>
      <w:r>
        <w:rPr>
          <w:rFonts w:eastAsia="SimSun" w:cs="Times New Roman"/>
          <w:sz w:val="24"/>
          <w:szCs w:val="24"/>
          <w:lang w:val="pt-BR"/>
        </w:rPr>
        <w:t>Câmara Municipal de Primavera do Leste-MT</w:t>
      </w:r>
      <w:r>
        <w:rPr>
          <w:rFonts w:eastAsia="SimSun" w:cs="Times New Roman"/>
          <w:sz w:val="24"/>
          <w:szCs w:val="24"/>
        </w:rPr>
        <w:t>, com todas as informações necessárias para depósito em conta, para retenção de impostos e/ou Declaração do Simples.</w:t>
      </w:r>
    </w:p>
    <w:p w14:paraId="1BB085AA">
      <w:pPr>
        <w:numPr>
          <w:ilvl w:val="0"/>
          <w:numId w:val="0"/>
        </w:numPr>
        <w:spacing w:line="240" w:lineRule="auto"/>
        <w:ind w:left="0" w:right="0" w:firstLine="0"/>
        <w:jc w:val="both"/>
        <w:rPr>
          <w:rFonts w:cs="Arial"/>
          <w:b/>
          <w:bCs/>
          <w:color w:val="000000"/>
          <w:sz w:val="24"/>
          <w:szCs w:val="24"/>
        </w:rPr>
      </w:pPr>
      <w:r>
        <w:rPr>
          <w:rFonts w:eastAsia="SimSun" w:cs="Times New Roman"/>
          <w:b/>
          <w:bCs/>
          <w:sz w:val="24"/>
          <w:szCs w:val="24"/>
          <w:lang w:val="pt-BR"/>
        </w:rPr>
        <w:t>5.6.</w:t>
      </w:r>
      <w:r>
        <w:rPr>
          <w:rFonts w:eastAsia="SimSun" w:cs="Times New Roman"/>
          <w:sz w:val="24"/>
          <w:szCs w:val="24"/>
          <w:lang w:val="pt-BR"/>
        </w:rPr>
        <w:t xml:space="preserve"> Apresentar Anotação de Responsabilidade Técnica dos serviços solicitados</w:t>
      </w:r>
    </w:p>
    <w:p w14:paraId="6E1B7E3B">
      <w:pPr>
        <w:pStyle w:val="5"/>
        <w:widowControl w:val="0"/>
        <w:spacing w:before="0" w:after="0" w:line="240" w:lineRule="auto"/>
        <w:jc w:val="both"/>
        <w:rPr>
          <w:rFonts w:cs="Arial"/>
          <w:b/>
          <w:bCs/>
          <w:color w:val="000000"/>
          <w:sz w:val="24"/>
          <w:szCs w:val="24"/>
        </w:rPr>
      </w:pPr>
      <w:r>
        <w:rPr>
          <w:rFonts w:cs="Arial"/>
          <w:b/>
          <w:bCs/>
          <w:color w:val="000000"/>
          <w:sz w:val="24"/>
          <w:szCs w:val="24"/>
        </w:rPr>
        <w:t>5.7.</w:t>
      </w:r>
      <w:r>
        <w:rPr>
          <w:rFonts w:cs="Arial"/>
          <w:color w:val="000000"/>
          <w:sz w:val="24"/>
          <w:szCs w:val="24"/>
        </w:rPr>
        <w:t xml:space="preserve"> Manter durante a vigência contratual, as condições de habilitação para contratar com a Administração Pública, apresentando sempre que forem solicitados os comprovantes de regularidade fiscal;</w:t>
      </w:r>
    </w:p>
    <w:p w14:paraId="0AB7D4FC">
      <w:pPr>
        <w:pStyle w:val="5"/>
        <w:widowControl w:val="0"/>
        <w:spacing w:before="0" w:after="0" w:line="240" w:lineRule="auto"/>
        <w:jc w:val="both"/>
        <w:rPr>
          <w:rFonts w:cs="Arial"/>
          <w:b/>
          <w:bCs/>
          <w:color w:val="000000"/>
          <w:sz w:val="24"/>
          <w:szCs w:val="24"/>
        </w:rPr>
      </w:pPr>
      <w:r>
        <w:rPr>
          <w:rFonts w:cs="Arial"/>
          <w:b/>
          <w:bCs/>
          <w:color w:val="000000"/>
          <w:sz w:val="24"/>
          <w:szCs w:val="24"/>
        </w:rPr>
        <w:t>5.8.</w:t>
      </w:r>
      <w:r>
        <w:rPr>
          <w:rFonts w:cs="Arial"/>
          <w:color w:val="000000"/>
          <w:sz w:val="24"/>
          <w:szCs w:val="24"/>
        </w:rPr>
        <w:t xml:space="preserve"> Não transferir a terceiro, por qualquer forma o Contrato sem o prévio consentimento por escrito da contratante;</w:t>
      </w:r>
    </w:p>
    <w:p w14:paraId="00ADDC67">
      <w:pPr>
        <w:pStyle w:val="5"/>
        <w:widowControl w:val="0"/>
        <w:spacing w:before="0" w:after="0" w:line="240" w:lineRule="auto"/>
        <w:jc w:val="both"/>
        <w:rPr>
          <w:rFonts w:cs="Arial"/>
          <w:b/>
          <w:bCs/>
          <w:color w:val="000000"/>
          <w:sz w:val="24"/>
          <w:szCs w:val="24"/>
        </w:rPr>
      </w:pPr>
      <w:r>
        <w:rPr>
          <w:rFonts w:cs="Arial"/>
          <w:b/>
          <w:bCs/>
          <w:color w:val="000000"/>
          <w:sz w:val="24"/>
          <w:szCs w:val="24"/>
        </w:rPr>
        <w:t>5.9.</w:t>
      </w:r>
      <w:r>
        <w:rPr>
          <w:rFonts w:cs="Arial"/>
          <w:color w:val="000000"/>
          <w:sz w:val="24"/>
          <w:szCs w:val="24"/>
        </w:rPr>
        <w:t xml:space="preserve"> Atender prontamente a quaisquer exigências da Administração, inerentes ao objeto do presente contrato;</w:t>
      </w:r>
    </w:p>
    <w:p w14:paraId="66A51B58">
      <w:pPr>
        <w:tabs>
          <w:tab w:val="left" w:pos="426"/>
        </w:tabs>
        <w:spacing w:before="0" w:after="0" w:line="240" w:lineRule="auto"/>
        <w:jc w:val="both"/>
        <w:rPr>
          <w:rFonts w:cs="Arial"/>
          <w:b/>
          <w:bCs/>
          <w:color w:val="000000"/>
          <w:sz w:val="24"/>
          <w:szCs w:val="24"/>
        </w:rPr>
      </w:pPr>
      <w:r>
        <w:rPr>
          <w:rFonts w:cs="Arial"/>
          <w:b/>
          <w:bCs/>
          <w:color w:val="000000"/>
          <w:sz w:val="24"/>
          <w:szCs w:val="24"/>
        </w:rPr>
        <w:t>5.10.</w:t>
      </w:r>
      <w:r>
        <w:rPr>
          <w:rFonts w:cs="Arial"/>
          <w:color w:val="000000"/>
          <w:sz w:val="24"/>
          <w:szCs w:val="24"/>
        </w:rPr>
        <w:t xml:space="preserve"> Na hipótese de descumprimento da obrigação no prazo assinalado, fica facultado a Câmara Municipal o requerer que ela seja executada a custa do detentor do contrato, descontando-se o valor correspondente dos pagamentos devidos à mesma;</w:t>
      </w:r>
    </w:p>
    <w:p w14:paraId="43509B5B">
      <w:pPr>
        <w:spacing w:before="0" w:after="0" w:line="240" w:lineRule="auto"/>
        <w:jc w:val="both"/>
        <w:rPr>
          <w:rFonts w:cs="Arial"/>
          <w:b/>
          <w:bCs/>
          <w:color w:val="000000"/>
          <w:sz w:val="24"/>
          <w:szCs w:val="24"/>
        </w:rPr>
      </w:pPr>
      <w:r>
        <w:rPr>
          <w:rFonts w:cs="Arial"/>
          <w:b/>
          <w:bCs/>
          <w:color w:val="000000"/>
          <w:sz w:val="24"/>
          <w:szCs w:val="24"/>
        </w:rPr>
        <w:t xml:space="preserve">5.11. </w:t>
      </w:r>
      <w:r>
        <w:rPr>
          <w:rFonts w:cs="Arial"/>
          <w:color w:val="000000"/>
          <w:sz w:val="24"/>
          <w:szCs w:val="24"/>
        </w:rPr>
        <w:t xml:space="preserve">Fornecer o objeto do presente contrato, atendendo rigorosamente suas especificações, dentro da validade, cumprir os prazos definidos para entrega, executar com presteza, eficácia e eficiência todas as atividades; </w:t>
      </w:r>
    </w:p>
    <w:p w14:paraId="3B4448DF">
      <w:pPr>
        <w:spacing w:before="0" w:after="0" w:line="240" w:lineRule="auto"/>
        <w:jc w:val="both"/>
        <w:rPr>
          <w:rFonts w:cs="Arial"/>
          <w:b/>
          <w:bCs/>
          <w:color w:val="000000"/>
          <w:sz w:val="24"/>
          <w:szCs w:val="24"/>
        </w:rPr>
      </w:pPr>
      <w:r>
        <w:rPr>
          <w:rFonts w:cs="Arial"/>
          <w:b/>
          <w:bCs/>
          <w:color w:val="000000"/>
          <w:sz w:val="24"/>
          <w:szCs w:val="24"/>
        </w:rPr>
        <w:t>5.12.</w:t>
      </w:r>
      <w:r>
        <w:rPr>
          <w:rFonts w:cs="Arial"/>
          <w:color w:val="000000"/>
          <w:sz w:val="24"/>
          <w:szCs w:val="24"/>
        </w:rPr>
        <w:t xml:space="preserve"> O Contratado deverá providenciar junto ao CREA/CAU as Anotações de Responsabilidade Técnica (ART/RRT) referentes a todos os Projetos e atividades técnicas objeto deste Contrato;</w:t>
      </w:r>
    </w:p>
    <w:p w14:paraId="66155B51">
      <w:pPr>
        <w:spacing w:before="0" w:after="0" w:line="240" w:lineRule="auto"/>
        <w:jc w:val="both"/>
        <w:rPr>
          <w:rFonts w:cs="Arial"/>
          <w:b/>
          <w:bCs/>
          <w:color w:val="000000"/>
          <w:sz w:val="24"/>
          <w:szCs w:val="24"/>
        </w:rPr>
      </w:pPr>
      <w:r>
        <w:rPr>
          <w:rFonts w:cs="Arial"/>
          <w:b/>
          <w:bCs/>
          <w:color w:val="000000"/>
          <w:sz w:val="24"/>
          <w:szCs w:val="24"/>
        </w:rPr>
        <w:t>5.13.</w:t>
      </w:r>
      <w:r>
        <w:rPr>
          <w:rFonts w:cs="Arial"/>
          <w:color w:val="000000"/>
          <w:sz w:val="24"/>
          <w:szCs w:val="24"/>
        </w:rPr>
        <w:t xml:space="preserve"> O Contratado deverá efetuar o pagamento de todos os impostos, taxas e demais obrigações fiscais incidentes ou que vierem a incidir sobre o objeto do contrato, até o recebimento definitivo dos serviços;</w:t>
      </w:r>
    </w:p>
    <w:p w14:paraId="0E8F2131">
      <w:pPr>
        <w:spacing w:before="0" w:after="0" w:line="240" w:lineRule="auto"/>
        <w:jc w:val="both"/>
        <w:rPr>
          <w:rFonts w:cs="Arial"/>
          <w:b/>
          <w:bCs/>
          <w:color w:val="000000"/>
          <w:sz w:val="24"/>
          <w:szCs w:val="24"/>
          <w:shd w:val="clear" w:color="auto" w:fill="auto"/>
        </w:rPr>
      </w:pPr>
      <w:r>
        <w:rPr>
          <w:rFonts w:cs="Arial"/>
          <w:b/>
          <w:bCs/>
          <w:color w:val="000000"/>
          <w:sz w:val="24"/>
          <w:szCs w:val="24"/>
        </w:rPr>
        <w:t>5.14.</w:t>
      </w:r>
      <w:r>
        <w:rPr>
          <w:rFonts w:cs="Arial"/>
          <w:color w:val="000000"/>
          <w:sz w:val="24"/>
          <w:szCs w:val="24"/>
        </w:rPr>
        <w:t xml:space="preserve"> Toda e qualquer dúvida deverá ser esclarecida previamente com o Contratante antes da execução dos serviços correspondentes;</w:t>
      </w:r>
      <w:r>
        <w:rPr>
          <w:rFonts w:cs="Arial"/>
          <w:b/>
          <w:bCs/>
          <w:color w:val="000000"/>
          <w:sz w:val="24"/>
          <w:szCs w:val="24"/>
        </w:rPr>
        <w:t xml:space="preserve"> </w:t>
      </w:r>
    </w:p>
    <w:p w14:paraId="66D26969">
      <w:pPr>
        <w:spacing w:before="0" w:after="0" w:line="240" w:lineRule="auto"/>
        <w:jc w:val="both"/>
        <w:rPr>
          <w:rFonts w:cs="Arial"/>
          <w:b/>
          <w:bCs/>
          <w:color w:val="000000"/>
          <w:sz w:val="24"/>
          <w:szCs w:val="24"/>
        </w:rPr>
      </w:pPr>
      <w:r>
        <w:rPr>
          <w:rFonts w:cs="Arial"/>
          <w:b/>
          <w:bCs/>
          <w:color w:val="000000"/>
          <w:sz w:val="24"/>
          <w:szCs w:val="24"/>
          <w:shd w:val="clear" w:color="auto" w:fill="auto"/>
        </w:rPr>
        <w:t>5.15</w:t>
      </w:r>
      <w:r>
        <w:rPr>
          <w:rFonts w:cs="Arial"/>
          <w:color w:val="000000"/>
          <w:sz w:val="24"/>
          <w:szCs w:val="24"/>
          <w:shd w:val="clear" w:color="auto" w:fill="auto"/>
        </w:rPr>
        <w:t>. Serão de responsabilidade dos autores dos Projetos a introdução das modificações necessárias à sua aprovação;</w:t>
      </w:r>
    </w:p>
    <w:p w14:paraId="4D7168DE">
      <w:pPr>
        <w:spacing w:before="0" w:after="0" w:line="240" w:lineRule="auto"/>
        <w:jc w:val="both"/>
        <w:rPr>
          <w:rFonts w:cs="Arial"/>
          <w:b/>
          <w:bCs/>
          <w:color w:val="000000"/>
          <w:sz w:val="24"/>
          <w:szCs w:val="24"/>
        </w:rPr>
      </w:pPr>
      <w:r>
        <w:rPr>
          <w:rFonts w:cs="Arial"/>
          <w:b/>
          <w:bCs/>
          <w:color w:val="000000"/>
          <w:sz w:val="24"/>
          <w:szCs w:val="24"/>
        </w:rPr>
        <w:t>5.16.</w:t>
      </w:r>
      <w:r>
        <w:rPr>
          <w:rFonts w:cs="Arial"/>
          <w:color w:val="000000"/>
          <w:sz w:val="24"/>
          <w:szCs w:val="24"/>
        </w:rPr>
        <w:t xml:space="preserve"> Os documentos técnicos que forem rejeitados, parciais ou totalmente, devem ser revistos ou alterados apenas pelo seu autor e submetidos à nova avaliação;</w:t>
      </w:r>
    </w:p>
    <w:p w14:paraId="59154AEB">
      <w:pPr>
        <w:spacing w:before="0" w:after="0" w:line="240" w:lineRule="auto"/>
        <w:jc w:val="both"/>
        <w:rPr>
          <w:rFonts w:cs="Arial"/>
          <w:b/>
          <w:bCs/>
          <w:color w:val="000000"/>
          <w:sz w:val="24"/>
          <w:szCs w:val="24"/>
        </w:rPr>
      </w:pPr>
      <w:r>
        <w:rPr>
          <w:rFonts w:cs="Arial"/>
          <w:b/>
          <w:bCs/>
          <w:color w:val="000000"/>
          <w:sz w:val="24"/>
          <w:szCs w:val="24"/>
        </w:rPr>
        <w:t>5.17.</w:t>
      </w:r>
      <w:r>
        <w:rPr>
          <w:rFonts w:cs="Arial"/>
          <w:color w:val="000000"/>
          <w:sz w:val="24"/>
          <w:szCs w:val="24"/>
        </w:rPr>
        <w:t xml:space="preserve"> As impropriedades devem ser apontadas pelo Contratado, sendo sua atribuição de fiscalização e controle que serão corrigidas pela Executante da obra sem custo adicional para o Contratante;</w:t>
      </w:r>
    </w:p>
    <w:p w14:paraId="370BB5B2">
      <w:pPr>
        <w:spacing w:before="0" w:after="0" w:line="240" w:lineRule="auto"/>
        <w:jc w:val="both"/>
        <w:rPr>
          <w:rFonts w:eastAsia="Arial Unicode MS" w:cs="Arial"/>
          <w:b/>
          <w:bCs/>
          <w:color w:val="000000"/>
          <w:sz w:val="24"/>
          <w:szCs w:val="24"/>
          <w:lang w:eastAsia="en-US"/>
        </w:rPr>
      </w:pPr>
      <w:r>
        <w:rPr>
          <w:rFonts w:cs="Arial"/>
          <w:b/>
          <w:bCs/>
          <w:color w:val="000000"/>
          <w:sz w:val="24"/>
          <w:szCs w:val="24"/>
        </w:rPr>
        <w:t>5.18</w:t>
      </w:r>
      <w:r>
        <w:rPr>
          <w:rFonts w:cs="Arial"/>
          <w:color w:val="000000"/>
          <w:sz w:val="24"/>
          <w:szCs w:val="24"/>
        </w:rPr>
        <w:t>. O Contratado poderá adequar o projeto, aprovando modificações ou sugerindo-as, desde que não onerem o Contratante além do já preestabelecido no contrato com a Executora. Caso haja revisão de valores para maior, deverá SER JUSTIFICADA.</w:t>
      </w:r>
    </w:p>
    <w:p w14:paraId="318FC486">
      <w:pPr>
        <w:spacing w:before="0" w:after="0" w:line="240" w:lineRule="auto"/>
        <w:jc w:val="both"/>
        <w:rPr>
          <w:rFonts w:eastAsia="Arial Unicode MS" w:cs="Arial"/>
          <w:b/>
          <w:bCs/>
          <w:color w:val="000000"/>
          <w:sz w:val="24"/>
          <w:szCs w:val="24"/>
          <w:lang w:eastAsia="en-US"/>
        </w:rPr>
      </w:pPr>
      <w:r>
        <w:rPr>
          <w:rFonts w:eastAsia="Arial Unicode MS" w:cs="Arial"/>
          <w:b/>
          <w:bCs/>
          <w:color w:val="000000"/>
          <w:sz w:val="24"/>
          <w:szCs w:val="24"/>
          <w:lang w:eastAsia="en-US"/>
        </w:rPr>
        <w:t>5.19</w:t>
      </w:r>
      <w:r>
        <w:rPr>
          <w:rFonts w:eastAsia="Arial Unicode MS" w:cs="Arial"/>
          <w:color w:val="000000"/>
          <w:sz w:val="24"/>
          <w:szCs w:val="24"/>
          <w:lang w:eastAsia="en-US"/>
        </w:rPr>
        <w:t>. O Contratante deterá o direito de propriedade intelectual dos Projetos desenvolvidos assim como de toda a documentação produzida na execução do contrato, ficando proibida a sua utilização sem que exista autorização expressa do Contratante.</w:t>
      </w:r>
    </w:p>
    <w:p w14:paraId="235DB4D9">
      <w:pPr>
        <w:spacing w:before="0" w:after="0" w:line="240" w:lineRule="auto"/>
        <w:jc w:val="both"/>
        <w:rPr>
          <w:rFonts w:eastAsia="SimSun" w:cs="Times New Roman"/>
          <w:b/>
          <w:bCs/>
          <w:color w:val="000000"/>
          <w:sz w:val="24"/>
          <w:szCs w:val="24"/>
          <w:lang w:eastAsia="en-US"/>
        </w:rPr>
      </w:pPr>
      <w:r>
        <w:rPr>
          <w:rFonts w:eastAsia="Arial Unicode MS" w:cs="Arial"/>
          <w:b/>
          <w:bCs/>
          <w:color w:val="000000"/>
          <w:sz w:val="24"/>
          <w:szCs w:val="24"/>
          <w:lang w:eastAsia="en-US"/>
        </w:rPr>
        <w:t xml:space="preserve">5.20. </w:t>
      </w:r>
      <w:r>
        <w:rPr>
          <w:rFonts w:eastAsia="SimSun" w:cs="Times New Roman"/>
          <w:color w:val="000000"/>
          <w:sz w:val="24"/>
          <w:szCs w:val="24"/>
          <w:lang w:eastAsia="en-US"/>
        </w:rPr>
        <w:t>Verificar minuciosamente a conformidade dos serviços executados com as especificações constantes neste Termo de Referência e na proposta, para fins de aceitação;</w:t>
      </w:r>
    </w:p>
    <w:p w14:paraId="6289D293">
      <w:pPr>
        <w:spacing w:before="0" w:after="0" w:line="240" w:lineRule="auto"/>
        <w:jc w:val="both"/>
        <w:rPr>
          <w:rFonts w:eastAsia="Arial Unicode MS" w:cs="Arial"/>
          <w:color w:val="000000"/>
          <w:sz w:val="24"/>
          <w:szCs w:val="24"/>
          <w:lang w:eastAsia="en-US"/>
        </w:rPr>
      </w:pPr>
      <w:r>
        <w:rPr>
          <w:rFonts w:eastAsia="SimSun" w:cs="Times New Roman"/>
          <w:b/>
          <w:bCs/>
          <w:color w:val="000000"/>
          <w:sz w:val="24"/>
          <w:szCs w:val="24"/>
          <w:lang w:eastAsia="en-US"/>
        </w:rPr>
        <w:t xml:space="preserve">5.21. </w:t>
      </w:r>
      <w:r>
        <w:rPr>
          <w:rFonts w:eastAsia="SimSun" w:cs="Times New Roman"/>
          <w:color w:val="000000"/>
          <w:sz w:val="24"/>
          <w:szCs w:val="24"/>
          <w:lang w:eastAsia="en-US"/>
        </w:rPr>
        <w:t xml:space="preserve">A Administração não responderá por quaisquer compromissos assumidos pela Contratada com terceiros, ainda que vinculados à execução do objeto contratado, bem como por qualquer dano direto causado a terceiros em decorrência de ato da Contratada, de seus empregados, prepostos ou subordinados </w:t>
      </w:r>
    </w:p>
    <w:p w14:paraId="377623B6">
      <w:pPr>
        <w:spacing w:before="0" w:after="0" w:line="240" w:lineRule="auto"/>
        <w:jc w:val="both"/>
        <w:rPr>
          <w:rFonts w:eastAsia="Arial Unicode MS" w:cs="Arial"/>
          <w:color w:val="000000"/>
          <w:sz w:val="24"/>
          <w:szCs w:val="24"/>
          <w:lang w:eastAsia="en-US"/>
        </w:rPr>
      </w:pPr>
    </w:p>
    <w:p w14:paraId="780EED07">
      <w:pPr>
        <w:keepNext w:val="0"/>
        <w:keepLines w:val="0"/>
        <w:pageBreakBefore w:val="0"/>
        <w:kinsoku/>
        <w:wordWrap/>
        <w:overflowPunct/>
        <w:topLinePunct w:val="0"/>
        <w:autoSpaceDN/>
        <w:bidi w:val="0"/>
        <w:adjustRightInd/>
        <w:snapToGrid/>
        <w:spacing w:after="0" w:line="240" w:lineRule="auto"/>
        <w:jc w:val="both"/>
        <w:textAlignment w:val="auto"/>
        <w:rPr>
          <w:rFonts w:cs="Arial"/>
          <w:b/>
          <w:bCs/>
          <w:sz w:val="24"/>
          <w:szCs w:val="24"/>
        </w:rPr>
      </w:pPr>
      <w:r>
        <w:rPr>
          <w:rFonts w:eastAsia="Arial Unicode MS" w:cs="Arial"/>
          <w:b/>
          <w:color w:val="auto"/>
          <w:kern w:val="0"/>
          <w:sz w:val="24"/>
          <w:szCs w:val="24"/>
          <w:lang w:val="pt-BR" w:eastAsia="ar-SA" w:bidi="ar-SA"/>
        </w:rPr>
        <w:t>6</w:t>
      </w:r>
      <w:r>
        <w:rPr>
          <w:rFonts w:eastAsia="Arial Unicode MS" w:cs="Arial"/>
          <w:b/>
          <w:sz w:val="24"/>
          <w:szCs w:val="24"/>
          <w:lang w:eastAsia="en-US"/>
        </w:rPr>
        <w:t xml:space="preserve">. </w:t>
      </w:r>
      <w:r>
        <w:rPr>
          <w:rFonts w:eastAsia="Arial Unicode MS" w:cs="Arial"/>
          <w:b/>
          <w:color w:val="auto"/>
          <w:kern w:val="0"/>
          <w:sz w:val="24"/>
          <w:szCs w:val="24"/>
          <w:lang w:val="pt-BR" w:eastAsia="ar-SA" w:bidi="ar-SA"/>
        </w:rPr>
        <w:t>OBRIGAÇÕES DA CONTRATANTE:</w:t>
      </w:r>
    </w:p>
    <w:p w14:paraId="313C298D">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sz w:val="24"/>
          <w:szCs w:val="24"/>
        </w:rPr>
      </w:pPr>
      <w:r>
        <w:rPr>
          <w:rFonts w:cs="Arial"/>
          <w:b/>
          <w:bCs/>
          <w:sz w:val="24"/>
          <w:szCs w:val="24"/>
        </w:rPr>
        <w:t>6.1.</w:t>
      </w:r>
      <w:r>
        <w:rPr>
          <w:rFonts w:cs="Arial"/>
          <w:sz w:val="24"/>
          <w:szCs w:val="24"/>
        </w:rPr>
        <w:t xml:space="preserve"> Oferecer todas as informações necessárias ao Contratado, para que possa executar o objeto do contrato dentro das especificações;</w:t>
      </w:r>
    </w:p>
    <w:p w14:paraId="4D4241A1">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sz w:val="24"/>
          <w:szCs w:val="24"/>
        </w:rPr>
      </w:pPr>
      <w:r>
        <w:rPr>
          <w:rFonts w:cs="Arial"/>
          <w:b/>
          <w:bCs/>
          <w:sz w:val="24"/>
          <w:szCs w:val="24"/>
        </w:rPr>
        <w:t>6.2.</w:t>
      </w:r>
      <w:r>
        <w:rPr>
          <w:rFonts w:cs="Arial"/>
          <w:sz w:val="24"/>
          <w:szCs w:val="24"/>
        </w:rPr>
        <w:t xml:space="preserve"> Notificar, formal e tempestivamente, o Contratado sobre irregularidades observadas no cumprimento da contratação;</w:t>
      </w:r>
    </w:p>
    <w:p w14:paraId="1D8A1281">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Arial Unicode MS" w:cs="Arial"/>
          <w:b/>
          <w:bCs/>
          <w:sz w:val="24"/>
          <w:szCs w:val="24"/>
          <w:lang w:eastAsia="en-US"/>
        </w:rPr>
      </w:pPr>
      <w:r>
        <w:rPr>
          <w:rFonts w:cs="Arial"/>
          <w:b/>
          <w:bCs/>
          <w:sz w:val="24"/>
          <w:szCs w:val="24"/>
        </w:rPr>
        <w:t>6.3.</w:t>
      </w:r>
      <w:r>
        <w:rPr>
          <w:rFonts w:cs="Arial"/>
          <w:sz w:val="24"/>
          <w:szCs w:val="24"/>
        </w:rPr>
        <w:t xml:space="preserve"> Notificar, por escrito, ao contratado, a ocorrência de eventuais imperfeições no curso de execução dos serviços, fixando prazo para sua correção;</w:t>
      </w:r>
    </w:p>
    <w:p w14:paraId="75FA167A">
      <w:pPr>
        <w:keepNext w:val="0"/>
        <w:keepLines w:val="0"/>
        <w:pageBreakBefore w:val="0"/>
        <w:widowControl w:val="0"/>
        <w:kinsoku/>
        <w:wordWrap/>
        <w:overflowPunct/>
        <w:topLinePunct w:val="0"/>
        <w:autoSpaceDE w:val="0"/>
        <w:autoSpaceDN/>
        <w:bidi w:val="0"/>
        <w:adjustRightInd/>
        <w:snapToGrid/>
        <w:spacing w:after="0" w:line="240" w:lineRule="auto"/>
        <w:jc w:val="both"/>
        <w:textAlignment w:val="auto"/>
        <w:rPr>
          <w:rFonts w:eastAsia="SimSun" w:cs="Times New Roman"/>
          <w:b/>
          <w:bCs/>
          <w:sz w:val="24"/>
          <w:szCs w:val="24"/>
        </w:rPr>
      </w:pPr>
      <w:r>
        <w:rPr>
          <w:rFonts w:eastAsia="Arial Unicode MS" w:cs="Arial"/>
          <w:b/>
          <w:bCs/>
          <w:sz w:val="24"/>
          <w:szCs w:val="24"/>
          <w:lang w:eastAsia="en-US"/>
        </w:rPr>
        <w:t>6.4.</w:t>
      </w:r>
      <w:r>
        <w:rPr>
          <w:rFonts w:eastAsia="Arial Unicode MS" w:cs="Arial"/>
          <w:sz w:val="24"/>
          <w:szCs w:val="24"/>
          <w:lang w:eastAsia="en-US"/>
        </w:rPr>
        <w:t xml:space="preserve"> Acompanhar o fornecimento, podendo intervir durante a sua execução, para fins de ajuste ou suspensão da prestação, inclusive rejeitando, no todo ou em parte, as execuções feitas fora das especificações deste Contrato.</w:t>
      </w:r>
    </w:p>
    <w:p w14:paraId="67DB0176">
      <w:pPr>
        <w:keepNext w:val="0"/>
        <w:keepLines w:val="0"/>
        <w:pageBreakBefore w:val="0"/>
        <w:numPr>
          <w:ilvl w:val="0"/>
          <w:numId w:val="0"/>
        </w:numPr>
        <w:kinsoku/>
        <w:wordWrap/>
        <w:overflowPunct/>
        <w:topLinePunct w:val="0"/>
        <w:autoSpaceDN/>
        <w:bidi w:val="0"/>
        <w:adjustRightInd/>
        <w:snapToGrid/>
        <w:spacing w:after="0" w:line="240" w:lineRule="auto"/>
        <w:ind w:left="0" w:right="0" w:firstLine="0"/>
        <w:jc w:val="both"/>
        <w:textAlignment w:val="auto"/>
        <w:rPr>
          <w:rFonts w:eastAsia="SimSun" w:cs="Times New Roman"/>
          <w:b/>
          <w:bCs/>
          <w:sz w:val="24"/>
          <w:szCs w:val="24"/>
        </w:rPr>
      </w:pPr>
      <w:r>
        <w:rPr>
          <w:rFonts w:eastAsia="SimSun" w:cs="Times New Roman"/>
          <w:b/>
          <w:bCs/>
          <w:sz w:val="24"/>
          <w:szCs w:val="24"/>
        </w:rPr>
        <w:t xml:space="preserve">6.5. </w:t>
      </w:r>
      <w:r>
        <w:rPr>
          <w:rFonts w:eastAsia="SimSun" w:cs="Times New Roman"/>
          <w:sz w:val="24"/>
          <w:szCs w:val="24"/>
        </w:rPr>
        <w:t xml:space="preserve">Supervisionar, acompanhar e fiscalizar a execução do contrato, bem como a entrega dos produtos referentes ao objeto deste Contrato. </w:t>
      </w:r>
    </w:p>
    <w:p w14:paraId="3B893ADB">
      <w:pPr>
        <w:keepNext w:val="0"/>
        <w:keepLines w:val="0"/>
        <w:pageBreakBefore w:val="0"/>
        <w:numPr>
          <w:ilvl w:val="0"/>
          <w:numId w:val="0"/>
        </w:numPr>
        <w:kinsoku/>
        <w:wordWrap/>
        <w:overflowPunct/>
        <w:topLinePunct w:val="0"/>
        <w:autoSpaceDN/>
        <w:bidi w:val="0"/>
        <w:adjustRightInd/>
        <w:snapToGrid/>
        <w:spacing w:after="0" w:line="240" w:lineRule="auto"/>
        <w:ind w:left="0" w:right="0" w:firstLine="0"/>
        <w:jc w:val="both"/>
        <w:textAlignment w:val="auto"/>
        <w:rPr>
          <w:rFonts w:eastAsia="Arial Unicode MS" w:cs="Arial"/>
          <w:b/>
          <w:sz w:val="24"/>
          <w:szCs w:val="24"/>
          <w:lang w:eastAsia="en-US"/>
        </w:rPr>
      </w:pPr>
      <w:r>
        <w:rPr>
          <w:rFonts w:eastAsia="SimSun" w:cs="Times New Roman"/>
          <w:b/>
          <w:bCs/>
          <w:sz w:val="24"/>
          <w:szCs w:val="24"/>
        </w:rPr>
        <w:t xml:space="preserve">6.6. </w:t>
      </w:r>
      <w:r>
        <w:rPr>
          <w:rFonts w:eastAsia="SimSun" w:cs="Times New Roman"/>
          <w:sz w:val="24"/>
          <w:szCs w:val="24"/>
        </w:rPr>
        <w:t xml:space="preserve">Rejeitar, no todo ou em parte, fornecimento executado em desacordo com este Termo de Referência; </w:t>
      </w:r>
    </w:p>
    <w:p w14:paraId="55BC6608">
      <w:pPr>
        <w:keepNext w:val="0"/>
        <w:keepLines w:val="0"/>
        <w:pageBreakBefore w:val="0"/>
        <w:kinsoku/>
        <w:wordWrap/>
        <w:overflowPunct/>
        <w:topLinePunct w:val="0"/>
        <w:autoSpaceDN/>
        <w:bidi w:val="0"/>
        <w:adjustRightInd/>
        <w:snapToGrid/>
        <w:spacing w:after="0" w:line="240" w:lineRule="auto"/>
        <w:jc w:val="both"/>
        <w:textAlignment w:val="auto"/>
        <w:rPr>
          <w:rFonts w:cs="Arial"/>
          <w:b/>
          <w:bCs/>
          <w:sz w:val="24"/>
          <w:szCs w:val="24"/>
        </w:rPr>
      </w:pPr>
      <w:r>
        <w:rPr>
          <w:rFonts w:eastAsia="Arial Unicode MS" w:cs="Arial"/>
          <w:b/>
          <w:sz w:val="24"/>
          <w:szCs w:val="24"/>
          <w:lang w:eastAsia="en-US"/>
        </w:rPr>
        <w:t>7. DA FISCALIZAÇÃO:</w:t>
      </w:r>
    </w:p>
    <w:p w14:paraId="2F7FEBF6">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Arial Unicode MS" w:cs="Arial"/>
          <w:b/>
          <w:bCs/>
          <w:sz w:val="24"/>
          <w:szCs w:val="24"/>
          <w:lang w:eastAsia="en-US"/>
        </w:rPr>
      </w:pPr>
      <w:r>
        <w:rPr>
          <w:rFonts w:cs="Arial"/>
          <w:b/>
          <w:bCs/>
          <w:sz w:val="24"/>
          <w:szCs w:val="24"/>
        </w:rPr>
        <w:t>7.1.</w:t>
      </w:r>
      <w:r>
        <w:rPr>
          <w:rFonts w:cs="Arial"/>
          <w:sz w:val="24"/>
          <w:szCs w:val="24"/>
        </w:rPr>
        <w:t xml:space="preserve"> A CONTRATANTE, exercerá o acompanhamento da execução do contrato, designando formalmente, para esse fim, um representante, como Fiscal do Contrato, que promoverá o acompanhamento e a fiscalização dos serviços, sob os aspectos qualitativo e quantitativo, anotando em registro próprio os fatos que, a seu critério, exijam medidas corretivas da parte contratada, cabendo-lhe o recebimento e "atesto" da execução dos serviços e o encaminhamento dos documentos para pagamento na forma estabelecida neste contrato.</w:t>
      </w:r>
    </w:p>
    <w:p w14:paraId="722D68BE">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Arial Unicode MS" w:cs="Arial"/>
          <w:b/>
          <w:bCs/>
          <w:sz w:val="24"/>
          <w:szCs w:val="24"/>
          <w:lang w:eastAsia="en-US"/>
        </w:rPr>
      </w:pPr>
      <w:r>
        <w:rPr>
          <w:rFonts w:eastAsia="Arial Unicode MS" w:cs="Arial"/>
          <w:b/>
          <w:bCs/>
          <w:sz w:val="24"/>
          <w:szCs w:val="24"/>
          <w:lang w:eastAsia="en-US"/>
        </w:rPr>
        <w:t>7.2.</w:t>
      </w:r>
      <w:r>
        <w:rPr>
          <w:rFonts w:eastAsia="Arial Unicode MS" w:cs="Arial"/>
          <w:sz w:val="24"/>
          <w:szCs w:val="24"/>
          <w:lang w:eastAsia="en-US"/>
        </w:rPr>
        <w:t xml:space="preserve"> As solicitações, reclamações, exigências, observações e ocorrências relacionadas com a execução do objeto deste Contrato, serão registradas, pela CONTRATANTE, no livro de ocorrências, constituindo tais registros, documentos legais.</w:t>
      </w:r>
    </w:p>
    <w:p w14:paraId="7441331A">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SimSun" w:cs="Times New Roman"/>
          <w:b/>
          <w:bCs/>
          <w:sz w:val="24"/>
          <w:szCs w:val="24"/>
          <w:lang w:eastAsia="en-US"/>
        </w:rPr>
      </w:pPr>
      <w:r>
        <w:rPr>
          <w:rFonts w:eastAsia="Arial Unicode MS" w:cs="Arial"/>
          <w:b/>
          <w:bCs/>
          <w:sz w:val="24"/>
          <w:szCs w:val="24"/>
          <w:lang w:eastAsia="en-US"/>
        </w:rPr>
        <w:t>7.3.</w:t>
      </w:r>
      <w:r>
        <w:rPr>
          <w:rFonts w:eastAsia="Arial Unicode MS" w:cs="Arial"/>
          <w:sz w:val="24"/>
          <w:szCs w:val="24"/>
          <w:lang w:eastAsia="en-US"/>
        </w:rPr>
        <w:t xml:space="preserve"> </w:t>
      </w:r>
      <w:r>
        <w:rPr>
          <w:rFonts w:eastAsia="SimSun" w:cs="Times New Roman"/>
          <w:sz w:val="24"/>
          <w:szCs w:val="24"/>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w:t>
      </w:r>
    </w:p>
    <w:p w14:paraId="201F993B">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SimSun" w:cs="Times New Roman"/>
          <w:b/>
          <w:bCs/>
          <w:sz w:val="24"/>
          <w:szCs w:val="24"/>
          <w:lang w:eastAsia="en-US"/>
        </w:rPr>
      </w:pPr>
      <w:r>
        <w:rPr>
          <w:rFonts w:eastAsia="SimSun" w:cs="Times New Roman"/>
          <w:b/>
          <w:bCs/>
          <w:sz w:val="24"/>
          <w:szCs w:val="24"/>
          <w:lang w:eastAsia="en-US"/>
        </w:rPr>
        <w:t xml:space="preserve">7.4. </w:t>
      </w:r>
      <w:r>
        <w:rPr>
          <w:rFonts w:eastAsia="SimSun" w:cs="Times New Roman"/>
          <w:sz w:val="24"/>
          <w:szCs w:val="24"/>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8EDBDA1">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SimSun" w:cs="Times New Roman"/>
          <w:b/>
          <w:bCs/>
          <w:sz w:val="24"/>
          <w:szCs w:val="24"/>
          <w:lang w:eastAsia="en-US"/>
        </w:rPr>
      </w:pPr>
      <w:r>
        <w:rPr>
          <w:rFonts w:eastAsia="SimSun" w:cs="Times New Roman"/>
          <w:b/>
          <w:bCs/>
          <w:sz w:val="24"/>
          <w:szCs w:val="24"/>
          <w:lang w:eastAsia="en-US"/>
        </w:rPr>
        <w:t>7.5.</w:t>
      </w:r>
      <w:r>
        <w:rPr>
          <w:rFonts w:eastAsia="SimSun" w:cs="Times New Roman"/>
          <w:sz w:val="24"/>
          <w:szCs w:val="24"/>
          <w:lang w:eastAsia="en-US"/>
        </w:rPr>
        <w:t xml:space="preserve"> A fiscalização técnica dos contratos avaliará constantemente a execução do objeto;</w:t>
      </w:r>
    </w:p>
    <w:p w14:paraId="3EEACB57">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Arial Unicode MS" w:cs="Arial"/>
          <w:b/>
          <w:sz w:val="24"/>
          <w:szCs w:val="24"/>
          <w:lang w:eastAsia="en-US"/>
        </w:rPr>
      </w:pPr>
      <w:r>
        <w:rPr>
          <w:rFonts w:eastAsia="SimSun" w:cs="Times New Roman"/>
          <w:b/>
          <w:bCs/>
          <w:sz w:val="24"/>
          <w:szCs w:val="24"/>
          <w:lang w:eastAsia="en-US"/>
        </w:rPr>
        <w:t>7.6.</w:t>
      </w:r>
      <w:r>
        <w:rPr>
          <w:rFonts w:eastAsia="SimSun" w:cs="Times New Roman"/>
          <w:sz w:val="24"/>
          <w:szCs w:val="24"/>
          <w:lang w:eastAsia="en-US"/>
        </w:rPr>
        <w:t xml:space="preserve"> A verificação da adequação da prestação do serviço deverá ser realizada com base nos critérios previstos neste Termo de Referência e Proposta de Preços da Contratada.</w:t>
      </w:r>
    </w:p>
    <w:p w14:paraId="62D965C8">
      <w:pPr>
        <w:spacing w:line="240" w:lineRule="auto"/>
        <w:jc w:val="both"/>
        <w:rPr>
          <w:rFonts w:eastAsia="Arial Unicode MS" w:cs="Arial"/>
          <w:b/>
          <w:sz w:val="24"/>
          <w:szCs w:val="24"/>
          <w:lang w:eastAsia="en-US"/>
        </w:rPr>
      </w:pPr>
    </w:p>
    <w:p w14:paraId="2A88FE99">
      <w:pPr>
        <w:keepNext w:val="0"/>
        <w:keepLines w:val="0"/>
        <w:pageBreakBefore w:val="0"/>
        <w:kinsoku/>
        <w:wordWrap/>
        <w:overflowPunct/>
        <w:topLinePunct w:val="0"/>
        <w:autoSpaceDN/>
        <w:bidi w:val="0"/>
        <w:adjustRightInd/>
        <w:snapToGrid/>
        <w:spacing w:after="0" w:line="240" w:lineRule="auto"/>
        <w:jc w:val="both"/>
        <w:textAlignment w:val="auto"/>
        <w:rPr>
          <w:rFonts w:cs="Arial"/>
          <w:b/>
          <w:sz w:val="24"/>
          <w:szCs w:val="24"/>
        </w:rPr>
      </w:pPr>
      <w:r>
        <w:rPr>
          <w:rFonts w:eastAsia="Arial Unicode MS" w:cs="Arial"/>
          <w:b/>
          <w:sz w:val="24"/>
          <w:szCs w:val="24"/>
          <w:lang w:eastAsia="en-US"/>
        </w:rPr>
        <w:t>8. DA VIGÊNCIA:</w:t>
      </w:r>
    </w:p>
    <w:p w14:paraId="25154A0F">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sz w:val="24"/>
          <w:szCs w:val="24"/>
        </w:rPr>
      </w:pPr>
      <w:r>
        <w:rPr>
          <w:rFonts w:cs="Arial"/>
          <w:b/>
          <w:sz w:val="24"/>
          <w:szCs w:val="24"/>
        </w:rPr>
        <w:t>8.1.</w:t>
      </w:r>
      <w:r>
        <w:rPr>
          <w:rFonts w:cs="Arial"/>
          <w:sz w:val="24"/>
          <w:szCs w:val="24"/>
        </w:rPr>
        <w:t xml:space="preserve"> O Contrato terá vigência de </w:t>
      </w:r>
      <w:r>
        <w:rPr>
          <w:rFonts w:cs="Arial"/>
          <w:b/>
          <w:bCs/>
          <w:sz w:val="24"/>
          <w:szCs w:val="24"/>
          <w:shd w:val="clear" w:color="auto" w:fill="auto"/>
        </w:rPr>
        <w:t>60</w:t>
      </w:r>
      <w:r>
        <w:rPr>
          <w:rFonts w:cs="Arial"/>
          <w:b/>
          <w:sz w:val="24"/>
          <w:szCs w:val="24"/>
          <w:shd w:val="clear" w:color="auto" w:fill="auto"/>
        </w:rPr>
        <w:t xml:space="preserve"> (sessenta)</w:t>
      </w:r>
      <w:r>
        <w:rPr>
          <w:rFonts w:cs="Arial"/>
          <w:sz w:val="24"/>
          <w:szCs w:val="24"/>
          <w:shd w:val="clear" w:color="auto" w:fill="auto"/>
        </w:rPr>
        <w:t xml:space="preserve"> meses, </w:t>
      </w:r>
      <w:r>
        <w:rPr>
          <w:rFonts w:cs="Arial"/>
          <w:sz w:val="24"/>
          <w:szCs w:val="24"/>
        </w:rPr>
        <w:t>contados da data de sua assinatura;</w:t>
      </w:r>
    </w:p>
    <w:p w14:paraId="4F8907A9">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sz w:val="24"/>
          <w:szCs w:val="24"/>
        </w:rPr>
      </w:pPr>
      <w:r>
        <w:rPr>
          <w:rFonts w:cs="Arial"/>
          <w:b/>
          <w:bCs/>
          <w:sz w:val="24"/>
          <w:szCs w:val="24"/>
        </w:rPr>
        <w:t xml:space="preserve">8.2. </w:t>
      </w:r>
      <w:r>
        <w:rPr>
          <w:rFonts w:cs="Arial"/>
          <w:sz w:val="24"/>
          <w:szCs w:val="24"/>
        </w:rPr>
        <w:t xml:space="preserve">O prazo para assinatura do Contrato será de </w:t>
      </w:r>
      <w:r>
        <w:rPr>
          <w:rFonts w:cs="Arial"/>
          <w:b/>
          <w:sz w:val="24"/>
          <w:szCs w:val="24"/>
        </w:rPr>
        <w:t>05 (cinco)</w:t>
      </w:r>
      <w:r>
        <w:rPr>
          <w:rFonts w:cs="Arial"/>
          <w:sz w:val="24"/>
          <w:szCs w:val="24"/>
        </w:rPr>
        <w:t xml:space="preserve"> dias, contados da convocação formal do Contratado;</w:t>
      </w:r>
    </w:p>
    <w:p w14:paraId="6756AAE7">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sz w:val="24"/>
          <w:szCs w:val="24"/>
        </w:rPr>
      </w:pPr>
      <w:r>
        <w:rPr>
          <w:rFonts w:cs="Arial"/>
          <w:b/>
          <w:bCs/>
          <w:sz w:val="24"/>
          <w:szCs w:val="24"/>
        </w:rPr>
        <w:t xml:space="preserve">8.3. </w:t>
      </w:r>
      <w:r>
        <w:rPr>
          <w:rFonts w:cs="Arial"/>
          <w:sz w:val="24"/>
          <w:szCs w:val="24"/>
        </w:rPr>
        <w:t>A critério da administração, o prazo para assinatura do Contrato poderá ser prorrogado, desde que ocorra motivo justificado.</w:t>
      </w:r>
    </w:p>
    <w:p w14:paraId="41DDA142">
      <w:pPr>
        <w:widowControl w:val="0"/>
        <w:autoSpaceDE w:val="0"/>
        <w:spacing w:before="0" w:after="120" w:line="240" w:lineRule="auto"/>
        <w:jc w:val="both"/>
        <w:rPr>
          <w:rFonts w:cs="Arial"/>
          <w:sz w:val="24"/>
          <w:szCs w:val="24"/>
          <w:lang w:eastAsia="en-US"/>
        </w:rPr>
      </w:pPr>
    </w:p>
    <w:p w14:paraId="77984EE7">
      <w:pPr>
        <w:spacing w:line="240" w:lineRule="auto"/>
        <w:jc w:val="both"/>
        <w:rPr>
          <w:rFonts w:eastAsia="Times New Roman"/>
          <w:b/>
          <w:sz w:val="24"/>
          <w:szCs w:val="24"/>
          <w:lang w:eastAsia="en-US"/>
        </w:rPr>
      </w:pPr>
      <w:r>
        <w:rPr>
          <w:rFonts w:eastAsia="Arial Unicode MS" w:cs="Arial"/>
          <w:b/>
          <w:sz w:val="24"/>
          <w:szCs w:val="24"/>
          <w:lang w:eastAsia="en-US"/>
        </w:rPr>
        <w:t>9. DOTAÇÃO ORÇAMENTARIA:</w:t>
      </w:r>
    </w:p>
    <w:p w14:paraId="41EBA9BF">
      <w:pPr>
        <w:spacing w:line="240" w:lineRule="auto"/>
        <w:jc w:val="both"/>
        <w:rPr>
          <w:b w:val="0"/>
          <w:bCs w:val="0"/>
          <w:sz w:val="24"/>
          <w:szCs w:val="24"/>
          <w:shd w:val="clear" w:color="auto" w:fill="auto"/>
        </w:rPr>
      </w:pPr>
      <w:r>
        <w:rPr>
          <w:rFonts w:eastAsia="Times New Roman"/>
          <w:b/>
          <w:sz w:val="24"/>
          <w:szCs w:val="24"/>
          <w:lang w:eastAsia="en-US"/>
        </w:rPr>
        <w:t>9.1</w:t>
      </w:r>
      <w:r>
        <w:rPr>
          <w:rFonts w:eastAsia="Times New Roman"/>
          <w:sz w:val="24"/>
          <w:szCs w:val="24"/>
          <w:lang w:eastAsia="en-US"/>
        </w:rPr>
        <w:t xml:space="preserve">. As dotações orçamentárias, </w:t>
      </w:r>
      <w:r>
        <w:rPr>
          <w:rFonts w:eastAsia="Times New Roman" w:cs="Times New Roman"/>
          <w:color w:val="auto"/>
          <w:kern w:val="0"/>
          <w:sz w:val="24"/>
          <w:szCs w:val="24"/>
          <w:lang w:val="pt-BR" w:eastAsia="ar-SA" w:bidi="ar-SA"/>
        </w:rPr>
        <w:t>referente as</w:t>
      </w:r>
      <w:r>
        <w:rPr>
          <w:rFonts w:eastAsia="Times New Roman"/>
          <w:sz w:val="24"/>
          <w:szCs w:val="24"/>
          <w:lang w:eastAsia="en-US"/>
        </w:rPr>
        <w:t xml:space="preserve"> presentes despesas, será:</w:t>
      </w:r>
    </w:p>
    <w:tbl>
      <w:tblPr>
        <w:tblStyle w:val="14"/>
        <w:tblW w:w="0" w:type="auto"/>
        <w:tblInd w:w="55" w:type="dxa"/>
        <w:tblLayout w:type="fixed"/>
        <w:tblCellMar>
          <w:top w:w="55" w:type="dxa"/>
          <w:left w:w="55" w:type="dxa"/>
          <w:bottom w:w="55" w:type="dxa"/>
          <w:right w:w="55" w:type="dxa"/>
        </w:tblCellMar>
      </w:tblPr>
      <w:tblGrid>
        <w:gridCol w:w="2010"/>
        <w:gridCol w:w="1965"/>
        <w:gridCol w:w="5096"/>
      </w:tblGrid>
      <w:tr w14:paraId="2C6C20FD">
        <w:tblPrEx>
          <w:tblCellMar>
            <w:top w:w="55" w:type="dxa"/>
            <w:left w:w="55" w:type="dxa"/>
            <w:bottom w:w="55" w:type="dxa"/>
            <w:right w:w="55" w:type="dxa"/>
          </w:tblCellMar>
        </w:tblPrEx>
        <w:tc>
          <w:tcPr>
            <w:tcW w:w="2010" w:type="dxa"/>
            <w:tcBorders>
              <w:top w:val="single" w:color="000000" w:sz="0" w:space="0"/>
              <w:left w:val="single" w:color="000000" w:sz="0" w:space="0"/>
              <w:bottom w:val="single" w:color="000000" w:sz="0" w:space="0"/>
            </w:tcBorders>
            <w:noWrap w:val="0"/>
            <w:vAlign w:val="top"/>
          </w:tcPr>
          <w:p w14:paraId="75A3C306">
            <w:pPr>
              <w:pStyle w:val="218"/>
              <w:spacing w:line="240" w:lineRule="auto"/>
              <w:rPr>
                <w:sz w:val="20"/>
                <w:szCs w:val="20"/>
              </w:rPr>
            </w:pPr>
            <w:r>
              <w:rPr>
                <w:b w:val="0"/>
                <w:bCs w:val="0"/>
                <w:sz w:val="20"/>
                <w:szCs w:val="20"/>
                <w:shd w:val="clear" w:color="auto" w:fill="auto"/>
              </w:rPr>
              <w:t xml:space="preserve">Órgão </w:t>
            </w:r>
          </w:p>
        </w:tc>
        <w:tc>
          <w:tcPr>
            <w:tcW w:w="1965" w:type="dxa"/>
            <w:tcBorders>
              <w:top w:val="single" w:color="000000" w:sz="0" w:space="0"/>
              <w:left w:val="single" w:color="000000" w:sz="0" w:space="0"/>
              <w:bottom w:val="single" w:color="000000" w:sz="0" w:space="0"/>
            </w:tcBorders>
            <w:noWrap w:val="0"/>
            <w:vAlign w:val="top"/>
          </w:tcPr>
          <w:p w14:paraId="6E62255B">
            <w:pPr>
              <w:pStyle w:val="218"/>
              <w:spacing w:line="240" w:lineRule="auto"/>
              <w:rPr>
                <w:b w:val="0"/>
                <w:bCs w:val="0"/>
                <w:sz w:val="20"/>
                <w:szCs w:val="20"/>
                <w:shd w:val="clear" w:color="auto" w:fill="auto"/>
              </w:rPr>
            </w:pPr>
            <w:r>
              <w:rPr>
                <w:sz w:val="20"/>
                <w:szCs w:val="20"/>
              </w:rPr>
              <w:t>01</w:t>
            </w:r>
          </w:p>
        </w:tc>
        <w:tc>
          <w:tcPr>
            <w:tcW w:w="5096" w:type="dxa"/>
            <w:tcBorders>
              <w:top w:val="single" w:color="000000" w:sz="0" w:space="0"/>
              <w:left w:val="single" w:color="000000" w:sz="0" w:space="0"/>
              <w:bottom w:val="single" w:color="000000" w:sz="0" w:space="0"/>
              <w:right w:val="single" w:color="000000" w:sz="0" w:space="0"/>
            </w:tcBorders>
            <w:noWrap w:val="0"/>
            <w:vAlign w:val="top"/>
          </w:tcPr>
          <w:p w14:paraId="26454F1D">
            <w:pPr>
              <w:pStyle w:val="218"/>
              <w:spacing w:line="240" w:lineRule="auto"/>
              <w:rPr>
                <w:sz w:val="20"/>
                <w:szCs w:val="20"/>
              </w:rPr>
            </w:pPr>
            <w:r>
              <w:rPr>
                <w:b w:val="0"/>
                <w:bCs w:val="0"/>
                <w:sz w:val="20"/>
                <w:szCs w:val="20"/>
                <w:shd w:val="clear" w:color="auto" w:fill="auto"/>
              </w:rPr>
              <w:t>CÂMARA MUNICIPAL</w:t>
            </w:r>
          </w:p>
        </w:tc>
      </w:tr>
      <w:tr w14:paraId="02952A2B">
        <w:tblPrEx>
          <w:tblCellMar>
            <w:top w:w="55" w:type="dxa"/>
            <w:left w:w="55" w:type="dxa"/>
            <w:bottom w:w="55" w:type="dxa"/>
            <w:right w:w="55" w:type="dxa"/>
          </w:tblCellMar>
        </w:tblPrEx>
        <w:tc>
          <w:tcPr>
            <w:tcW w:w="2010" w:type="dxa"/>
            <w:tcBorders>
              <w:left w:val="single" w:color="000000" w:sz="0" w:space="0"/>
              <w:bottom w:val="single" w:color="000000" w:sz="0" w:space="0"/>
            </w:tcBorders>
            <w:noWrap w:val="0"/>
            <w:vAlign w:val="top"/>
          </w:tcPr>
          <w:p w14:paraId="304CF4E1">
            <w:pPr>
              <w:pStyle w:val="218"/>
              <w:spacing w:line="240" w:lineRule="auto"/>
              <w:rPr>
                <w:sz w:val="20"/>
                <w:szCs w:val="20"/>
              </w:rPr>
            </w:pPr>
            <w:r>
              <w:rPr>
                <w:sz w:val="20"/>
                <w:szCs w:val="20"/>
                <w:shd w:val="clear" w:color="auto" w:fill="auto"/>
              </w:rPr>
              <w:t>Unid Orçamentária</w:t>
            </w:r>
          </w:p>
        </w:tc>
        <w:tc>
          <w:tcPr>
            <w:tcW w:w="1965" w:type="dxa"/>
            <w:tcBorders>
              <w:left w:val="single" w:color="000000" w:sz="0" w:space="0"/>
              <w:bottom w:val="single" w:color="000000" w:sz="0" w:space="0"/>
            </w:tcBorders>
            <w:noWrap w:val="0"/>
            <w:vAlign w:val="top"/>
          </w:tcPr>
          <w:p w14:paraId="791BBAE9">
            <w:pPr>
              <w:pStyle w:val="218"/>
              <w:spacing w:line="240" w:lineRule="auto"/>
              <w:rPr>
                <w:sz w:val="20"/>
                <w:szCs w:val="20"/>
                <w:shd w:val="clear" w:color="auto" w:fill="auto"/>
              </w:rPr>
            </w:pPr>
            <w:r>
              <w:rPr>
                <w:sz w:val="20"/>
                <w:szCs w:val="20"/>
              </w:rPr>
              <w:t>01.00.1</w:t>
            </w:r>
          </w:p>
        </w:tc>
        <w:tc>
          <w:tcPr>
            <w:tcW w:w="5096" w:type="dxa"/>
            <w:tcBorders>
              <w:left w:val="single" w:color="000000" w:sz="0" w:space="0"/>
              <w:bottom w:val="single" w:color="000000" w:sz="0" w:space="0"/>
              <w:right w:val="single" w:color="000000" w:sz="0" w:space="0"/>
            </w:tcBorders>
            <w:noWrap w:val="0"/>
            <w:vAlign w:val="top"/>
          </w:tcPr>
          <w:p w14:paraId="7500411D">
            <w:pPr>
              <w:pStyle w:val="218"/>
              <w:spacing w:line="240" w:lineRule="auto"/>
              <w:rPr>
                <w:sz w:val="20"/>
                <w:szCs w:val="20"/>
              </w:rPr>
            </w:pPr>
            <w:r>
              <w:rPr>
                <w:sz w:val="20"/>
                <w:szCs w:val="20"/>
                <w:shd w:val="clear" w:color="auto" w:fill="auto"/>
              </w:rPr>
              <w:t>DEPARTAMENTO ADMINISTRATIVO</w:t>
            </w:r>
          </w:p>
        </w:tc>
      </w:tr>
      <w:tr w14:paraId="29C11798">
        <w:tblPrEx>
          <w:tblCellMar>
            <w:top w:w="55" w:type="dxa"/>
            <w:left w:w="55" w:type="dxa"/>
            <w:bottom w:w="55" w:type="dxa"/>
            <w:right w:w="55" w:type="dxa"/>
          </w:tblCellMar>
        </w:tblPrEx>
        <w:tc>
          <w:tcPr>
            <w:tcW w:w="2010" w:type="dxa"/>
            <w:tcBorders>
              <w:left w:val="single" w:color="000000" w:sz="0" w:space="0"/>
              <w:bottom w:val="single" w:color="000000" w:sz="0" w:space="0"/>
            </w:tcBorders>
            <w:noWrap w:val="0"/>
            <w:vAlign w:val="top"/>
          </w:tcPr>
          <w:p w14:paraId="4965E9C6">
            <w:pPr>
              <w:pStyle w:val="218"/>
              <w:spacing w:line="240" w:lineRule="auto"/>
              <w:rPr>
                <w:sz w:val="20"/>
                <w:szCs w:val="20"/>
              </w:rPr>
            </w:pPr>
            <w:r>
              <w:rPr>
                <w:sz w:val="20"/>
                <w:szCs w:val="20"/>
                <w:shd w:val="clear" w:color="auto" w:fill="auto"/>
              </w:rPr>
              <w:t>Unidade Executora</w:t>
            </w:r>
          </w:p>
        </w:tc>
        <w:tc>
          <w:tcPr>
            <w:tcW w:w="1965" w:type="dxa"/>
            <w:tcBorders>
              <w:left w:val="single" w:color="000000" w:sz="0" w:space="0"/>
              <w:bottom w:val="single" w:color="000000" w:sz="0" w:space="0"/>
            </w:tcBorders>
            <w:noWrap w:val="0"/>
            <w:vAlign w:val="top"/>
          </w:tcPr>
          <w:p w14:paraId="41B22097">
            <w:pPr>
              <w:pStyle w:val="218"/>
              <w:spacing w:line="240" w:lineRule="auto"/>
              <w:rPr>
                <w:sz w:val="20"/>
                <w:szCs w:val="20"/>
                <w:shd w:val="clear" w:color="auto" w:fill="auto"/>
              </w:rPr>
            </w:pPr>
            <w:r>
              <w:rPr>
                <w:sz w:val="20"/>
                <w:szCs w:val="20"/>
              </w:rPr>
              <w:t>01.001</w:t>
            </w:r>
          </w:p>
        </w:tc>
        <w:tc>
          <w:tcPr>
            <w:tcW w:w="5096" w:type="dxa"/>
            <w:tcBorders>
              <w:left w:val="single" w:color="000000" w:sz="0" w:space="0"/>
              <w:bottom w:val="single" w:color="000000" w:sz="0" w:space="0"/>
              <w:right w:val="single" w:color="000000" w:sz="0" w:space="0"/>
            </w:tcBorders>
            <w:noWrap w:val="0"/>
            <w:vAlign w:val="top"/>
          </w:tcPr>
          <w:p w14:paraId="0F5CBD72">
            <w:pPr>
              <w:pStyle w:val="218"/>
              <w:spacing w:line="240" w:lineRule="auto"/>
              <w:rPr>
                <w:sz w:val="20"/>
                <w:szCs w:val="20"/>
              </w:rPr>
            </w:pPr>
            <w:r>
              <w:rPr>
                <w:sz w:val="20"/>
                <w:szCs w:val="20"/>
                <w:shd w:val="clear" w:color="auto" w:fill="auto"/>
              </w:rPr>
              <w:t>DEPARTAMENTO ADMINISTRATIVO</w:t>
            </w:r>
          </w:p>
        </w:tc>
      </w:tr>
      <w:tr w14:paraId="7C15539F">
        <w:tblPrEx>
          <w:tblCellMar>
            <w:top w:w="55" w:type="dxa"/>
            <w:left w:w="55" w:type="dxa"/>
            <w:bottom w:w="55" w:type="dxa"/>
            <w:right w:w="55" w:type="dxa"/>
          </w:tblCellMar>
        </w:tblPrEx>
        <w:tc>
          <w:tcPr>
            <w:tcW w:w="2010" w:type="dxa"/>
            <w:tcBorders>
              <w:left w:val="single" w:color="000000" w:sz="0" w:space="0"/>
              <w:bottom w:val="single" w:color="000000" w:sz="0" w:space="0"/>
            </w:tcBorders>
            <w:noWrap w:val="0"/>
            <w:vAlign w:val="top"/>
          </w:tcPr>
          <w:p w14:paraId="2D1F0E7C">
            <w:pPr>
              <w:pStyle w:val="218"/>
              <w:spacing w:line="240" w:lineRule="auto"/>
              <w:rPr>
                <w:sz w:val="20"/>
                <w:szCs w:val="20"/>
              </w:rPr>
            </w:pPr>
            <w:r>
              <w:rPr>
                <w:sz w:val="20"/>
                <w:szCs w:val="20"/>
                <w:shd w:val="clear" w:color="auto" w:fill="auto"/>
              </w:rPr>
              <w:t>Ficha</w:t>
            </w:r>
          </w:p>
        </w:tc>
        <w:tc>
          <w:tcPr>
            <w:tcW w:w="1965" w:type="dxa"/>
            <w:tcBorders>
              <w:left w:val="single" w:color="000000" w:sz="0" w:space="0"/>
              <w:bottom w:val="single" w:color="000000" w:sz="0" w:space="0"/>
            </w:tcBorders>
            <w:noWrap w:val="0"/>
            <w:vAlign w:val="top"/>
          </w:tcPr>
          <w:p w14:paraId="071FC39F">
            <w:pPr>
              <w:pStyle w:val="218"/>
              <w:spacing w:line="240" w:lineRule="auto"/>
              <w:rPr>
                <w:sz w:val="20"/>
                <w:szCs w:val="20"/>
              </w:rPr>
            </w:pPr>
            <w:r>
              <w:rPr>
                <w:sz w:val="20"/>
                <w:szCs w:val="20"/>
              </w:rPr>
              <w:t>0001</w:t>
            </w:r>
          </w:p>
        </w:tc>
        <w:tc>
          <w:tcPr>
            <w:tcW w:w="5096" w:type="dxa"/>
            <w:tcBorders>
              <w:left w:val="single" w:color="000000" w:sz="0" w:space="0"/>
              <w:bottom w:val="single" w:color="000000" w:sz="0" w:space="0"/>
              <w:right w:val="single" w:color="000000" w:sz="0" w:space="0"/>
            </w:tcBorders>
            <w:noWrap w:val="0"/>
            <w:vAlign w:val="top"/>
          </w:tcPr>
          <w:p w14:paraId="266229EF">
            <w:pPr>
              <w:pStyle w:val="218"/>
              <w:spacing w:line="240" w:lineRule="auto"/>
              <w:rPr>
                <w:sz w:val="20"/>
                <w:szCs w:val="20"/>
              </w:rPr>
            </w:pPr>
          </w:p>
        </w:tc>
      </w:tr>
      <w:tr w14:paraId="3DCB9D58">
        <w:tblPrEx>
          <w:tblCellMar>
            <w:top w:w="55" w:type="dxa"/>
            <w:left w:w="55" w:type="dxa"/>
            <w:bottom w:w="55" w:type="dxa"/>
            <w:right w:w="55" w:type="dxa"/>
          </w:tblCellMar>
        </w:tblPrEx>
        <w:tc>
          <w:tcPr>
            <w:tcW w:w="2010" w:type="dxa"/>
            <w:tcBorders>
              <w:left w:val="single" w:color="000000" w:sz="0" w:space="0"/>
              <w:bottom w:val="single" w:color="000000" w:sz="0" w:space="0"/>
            </w:tcBorders>
            <w:noWrap w:val="0"/>
            <w:vAlign w:val="top"/>
          </w:tcPr>
          <w:p w14:paraId="6CDD43E6">
            <w:pPr>
              <w:pStyle w:val="218"/>
              <w:spacing w:line="240" w:lineRule="auto"/>
              <w:rPr>
                <w:sz w:val="20"/>
                <w:szCs w:val="20"/>
                <w:lang w:val="pt-BR" w:eastAsia="ar-SA"/>
              </w:rPr>
            </w:pPr>
            <w:r>
              <w:rPr>
                <w:rFonts w:eastAsia="Liberation Serif" w:cs="Liberation Serif"/>
                <w:color w:val="auto"/>
                <w:kern w:val="0"/>
                <w:sz w:val="20"/>
                <w:szCs w:val="20"/>
                <w:shd w:val="clear" w:color="auto" w:fill="auto"/>
                <w:lang w:val="pt-BR" w:eastAsia="ar-SA"/>
              </w:rPr>
              <w:t>Elemento</w:t>
            </w:r>
          </w:p>
        </w:tc>
        <w:tc>
          <w:tcPr>
            <w:tcW w:w="1965" w:type="dxa"/>
            <w:tcBorders>
              <w:left w:val="single" w:color="000000" w:sz="0" w:space="0"/>
              <w:bottom w:val="single" w:color="000000" w:sz="0" w:space="0"/>
            </w:tcBorders>
            <w:noWrap w:val="0"/>
            <w:vAlign w:val="top"/>
          </w:tcPr>
          <w:p w14:paraId="42AE3A0F">
            <w:pPr>
              <w:pStyle w:val="218"/>
              <w:spacing w:line="240" w:lineRule="auto"/>
              <w:rPr>
                <w:rFonts w:eastAsia="Liberation Serif" w:cs="Liberation Serif"/>
                <w:color w:val="auto"/>
                <w:kern w:val="0"/>
                <w:sz w:val="20"/>
                <w:szCs w:val="20"/>
                <w:shd w:val="clear" w:color="auto" w:fill="auto"/>
                <w:lang w:val="pt-BR" w:eastAsia="ar-SA" w:bidi="ar-SA"/>
              </w:rPr>
            </w:pPr>
            <w:r>
              <w:rPr>
                <w:sz w:val="20"/>
                <w:szCs w:val="20"/>
                <w:lang w:val="pt-BR" w:eastAsia="ar-SA"/>
              </w:rPr>
              <w:t>01.031.0001-1.001</w:t>
            </w:r>
          </w:p>
        </w:tc>
        <w:tc>
          <w:tcPr>
            <w:tcW w:w="5096" w:type="dxa"/>
            <w:tcBorders>
              <w:left w:val="single" w:color="000000" w:sz="0" w:space="0"/>
              <w:bottom w:val="single" w:color="000000" w:sz="0" w:space="0"/>
              <w:right w:val="single" w:color="000000" w:sz="0" w:space="0"/>
            </w:tcBorders>
            <w:noWrap w:val="0"/>
            <w:vAlign w:val="top"/>
          </w:tcPr>
          <w:p w14:paraId="0E9C8F7A">
            <w:pPr>
              <w:pStyle w:val="218"/>
              <w:spacing w:line="240" w:lineRule="auto"/>
              <w:rPr>
                <w:sz w:val="20"/>
                <w:szCs w:val="20"/>
              </w:rPr>
            </w:pPr>
            <w:r>
              <w:rPr>
                <w:rFonts w:eastAsia="Liberation Serif" w:cs="Liberation Serif"/>
                <w:color w:val="auto"/>
                <w:kern w:val="0"/>
                <w:sz w:val="20"/>
                <w:szCs w:val="20"/>
                <w:shd w:val="clear" w:color="auto" w:fill="auto"/>
                <w:lang w:val="pt-BR" w:eastAsia="ar-SA" w:bidi="ar-SA"/>
              </w:rPr>
              <w:t>SERVIÇO DE TERCEIROS – PESSOA JURÍDICA</w:t>
            </w:r>
          </w:p>
        </w:tc>
      </w:tr>
    </w:tbl>
    <w:p w14:paraId="30A50F81">
      <w:pPr>
        <w:pStyle w:val="181"/>
        <w:spacing w:line="240" w:lineRule="auto"/>
        <w:jc w:val="both"/>
        <w:rPr>
          <w:rFonts w:eastAsia="Arial Unicode MS" w:cs="Arial"/>
          <w:b/>
          <w:sz w:val="24"/>
          <w:szCs w:val="24"/>
          <w:lang w:eastAsia="en-US"/>
        </w:rPr>
      </w:pPr>
    </w:p>
    <w:p w14:paraId="45B8C007">
      <w:pPr>
        <w:keepNext w:val="0"/>
        <w:keepLines w:val="0"/>
        <w:pageBreakBefore w:val="0"/>
        <w:kinsoku/>
        <w:wordWrap/>
        <w:overflowPunct/>
        <w:topLinePunct w:val="0"/>
        <w:autoSpaceDN/>
        <w:bidi w:val="0"/>
        <w:adjustRightInd/>
        <w:spacing w:after="0" w:line="240" w:lineRule="auto"/>
        <w:jc w:val="both"/>
        <w:textAlignment w:val="auto"/>
        <w:rPr>
          <w:rFonts w:cs="Arial"/>
          <w:b/>
          <w:bCs/>
          <w:sz w:val="24"/>
          <w:szCs w:val="24"/>
        </w:rPr>
      </w:pPr>
      <w:r>
        <w:rPr>
          <w:rFonts w:eastAsia="Arial Unicode MS" w:cs="Arial"/>
          <w:b/>
          <w:sz w:val="24"/>
          <w:szCs w:val="24"/>
          <w:shd w:val="clear" w:color="auto" w:fill="auto"/>
          <w:lang w:eastAsia="en-US"/>
        </w:rPr>
        <w:t>10. DO PAGAMENTO:</w:t>
      </w:r>
    </w:p>
    <w:p w14:paraId="59676D7D">
      <w:pPr>
        <w:keepNext w:val="0"/>
        <w:keepLines w:val="0"/>
        <w:pageBreakBefore w:val="0"/>
        <w:kinsoku/>
        <w:wordWrap/>
        <w:overflowPunct/>
        <w:topLinePunct w:val="0"/>
        <w:autoSpaceDN/>
        <w:bidi w:val="0"/>
        <w:adjustRightInd/>
        <w:spacing w:before="0" w:after="0" w:line="240" w:lineRule="auto"/>
        <w:jc w:val="both"/>
        <w:textAlignment w:val="auto"/>
        <w:rPr>
          <w:rFonts w:cs="Arial"/>
          <w:b/>
          <w:bCs/>
          <w:sz w:val="24"/>
          <w:szCs w:val="24"/>
        </w:rPr>
      </w:pPr>
      <w:r>
        <w:rPr>
          <w:rFonts w:cs="Arial"/>
          <w:b/>
          <w:bCs/>
          <w:sz w:val="24"/>
          <w:szCs w:val="24"/>
        </w:rPr>
        <w:t xml:space="preserve">10.1. </w:t>
      </w:r>
      <w:r>
        <w:rPr>
          <w:rFonts w:cs="Arial"/>
          <w:sz w:val="24"/>
          <w:szCs w:val="24"/>
        </w:rPr>
        <w:t>O pagamento será efetuado, por projeto, em até 30</w:t>
      </w:r>
      <w:r>
        <w:rPr>
          <w:rFonts w:cs="Arial"/>
          <w:b w:val="0"/>
          <w:bCs w:val="0"/>
          <w:sz w:val="24"/>
          <w:szCs w:val="24"/>
        </w:rPr>
        <w:t xml:space="preserve"> (trinta) dias </w:t>
      </w:r>
      <w:r>
        <w:rPr>
          <w:rFonts w:cs="Arial"/>
          <w:sz w:val="24"/>
          <w:szCs w:val="24"/>
        </w:rPr>
        <w:t>após a entrega do mesmo conjuntamente com a nota fiscal devidamente atestada pelo fiscal do contrato ou servidor designado pela presidência, mediante controle emitido pelo fornecedor. O acompanhamento da obra será pago proporcionalmente, conforme o cronograma físico-financeiro da execução da mesma. A última parcela do pagamento de acompanhamento será feita após o recebimento definitivo da obra executada.</w:t>
      </w:r>
    </w:p>
    <w:p w14:paraId="78F13963">
      <w:pPr>
        <w:keepNext w:val="0"/>
        <w:keepLines w:val="0"/>
        <w:pageBreakBefore w:val="0"/>
        <w:widowControl w:val="0"/>
        <w:kinsoku/>
        <w:wordWrap/>
        <w:overflowPunct/>
        <w:topLinePunct w:val="0"/>
        <w:autoSpaceDE w:val="0"/>
        <w:autoSpaceDN/>
        <w:bidi w:val="0"/>
        <w:adjustRightInd/>
        <w:spacing w:before="0" w:after="0" w:line="240" w:lineRule="auto"/>
        <w:jc w:val="both"/>
        <w:textAlignment w:val="auto"/>
        <w:rPr>
          <w:rFonts w:cs="Arial"/>
          <w:b/>
          <w:bCs/>
          <w:color w:val="000000"/>
          <w:sz w:val="24"/>
          <w:szCs w:val="24"/>
        </w:rPr>
      </w:pPr>
      <w:r>
        <w:rPr>
          <w:rFonts w:cs="Arial"/>
          <w:b/>
          <w:bCs/>
          <w:sz w:val="24"/>
          <w:szCs w:val="24"/>
        </w:rPr>
        <w:t>10.2.</w:t>
      </w:r>
      <w:r>
        <w:rPr>
          <w:rFonts w:cs="Arial"/>
          <w:bCs/>
          <w:sz w:val="24"/>
          <w:szCs w:val="24"/>
        </w:rPr>
        <w:t xml:space="preserve"> O</w:t>
      </w:r>
      <w:r>
        <w:rPr>
          <w:rFonts w:cs="Arial"/>
          <w:sz w:val="24"/>
          <w:szCs w:val="24"/>
        </w:rPr>
        <w:t xml:space="preserve"> Contratado deverá indicar no corpo da Nota Fiscal/fatura, a descrição dos serviços entregues e realizadas, o número e nome do banco, agência e número da conta onde deverá ser feito o pagamento;</w:t>
      </w:r>
    </w:p>
    <w:p w14:paraId="2C65CF1F">
      <w:pPr>
        <w:keepNext w:val="0"/>
        <w:keepLines w:val="0"/>
        <w:pageBreakBefore w:val="0"/>
        <w:widowControl w:val="0"/>
        <w:kinsoku/>
        <w:wordWrap/>
        <w:overflowPunct/>
        <w:topLinePunct w:val="0"/>
        <w:autoSpaceDE w:val="0"/>
        <w:autoSpaceDN/>
        <w:bidi w:val="0"/>
        <w:adjustRightInd/>
        <w:spacing w:before="0" w:after="0" w:line="240" w:lineRule="auto"/>
        <w:jc w:val="both"/>
        <w:textAlignment w:val="auto"/>
        <w:rPr>
          <w:rFonts w:cs="Arial"/>
          <w:b/>
          <w:sz w:val="24"/>
          <w:szCs w:val="24"/>
        </w:rPr>
      </w:pPr>
      <w:r>
        <w:rPr>
          <w:rFonts w:cs="Arial"/>
          <w:b/>
          <w:bCs/>
          <w:color w:val="000000"/>
          <w:sz w:val="24"/>
          <w:szCs w:val="24"/>
        </w:rPr>
        <w:t>10.3.</w:t>
      </w:r>
      <w:r>
        <w:rPr>
          <w:rFonts w:cs="Arial"/>
          <w:bCs/>
          <w:color w:val="000000"/>
          <w:sz w:val="24"/>
          <w:szCs w:val="24"/>
        </w:rPr>
        <w:t xml:space="preserve"> </w:t>
      </w:r>
      <w:r>
        <w:rPr>
          <w:rFonts w:cs="Arial"/>
          <w:color w:val="000000"/>
          <w:sz w:val="24"/>
          <w:szCs w:val="24"/>
        </w:rPr>
        <w:t>Caso constatado alguma irregularidade nas notas fiscais/faturas, estas serão devolvidas ao Contratado, para as necessárias correções, com as informações que motivaram sua rejeição, sendo o pagamento realizado após a reapresentação das notas fiscais/faturas;</w:t>
      </w:r>
    </w:p>
    <w:p w14:paraId="7B50CABE">
      <w:pPr>
        <w:keepNext w:val="0"/>
        <w:keepLines w:val="0"/>
        <w:pageBreakBefore w:val="0"/>
        <w:widowControl w:val="0"/>
        <w:kinsoku/>
        <w:wordWrap/>
        <w:overflowPunct/>
        <w:topLinePunct w:val="0"/>
        <w:autoSpaceDN/>
        <w:bidi w:val="0"/>
        <w:adjustRightInd/>
        <w:spacing w:before="0" w:after="0" w:line="240" w:lineRule="auto"/>
        <w:jc w:val="both"/>
        <w:textAlignment w:val="auto"/>
        <w:rPr>
          <w:rFonts w:cs="Arial"/>
          <w:b/>
          <w:sz w:val="24"/>
          <w:szCs w:val="24"/>
        </w:rPr>
      </w:pPr>
      <w:r>
        <w:rPr>
          <w:rFonts w:cs="Arial"/>
          <w:b/>
          <w:sz w:val="24"/>
          <w:szCs w:val="24"/>
        </w:rPr>
        <w:t>10.4.</w:t>
      </w:r>
      <w:r>
        <w:rPr>
          <w:rFonts w:cs="Arial"/>
          <w:sz w:val="24"/>
          <w:szCs w:val="24"/>
        </w:rPr>
        <w:t xml:space="preserve"> Na hipótese de atraso no pagamento da Nota Fiscal devidamente atestada, o valor devido deverá ser acrescido de atualização financeira e sua apuração se fará desde a data do vencimento até a data do efetivo pagamento, aplicando-se o disposto no art. 1º – F da Lei n.º 9.494, de 10 de setembro de 1997.</w:t>
      </w:r>
    </w:p>
    <w:p w14:paraId="1AD75C4E">
      <w:pPr>
        <w:keepNext w:val="0"/>
        <w:keepLines w:val="0"/>
        <w:pageBreakBefore w:val="0"/>
        <w:widowControl w:val="0"/>
        <w:kinsoku/>
        <w:wordWrap/>
        <w:overflowPunct/>
        <w:topLinePunct w:val="0"/>
        <w:autoSpaceDN/>
        <w:bidi w:val="0"/>
        <w:adjustRightInd/>
        <w:spacing w:before="0" w:after="0" w:line="240" w:lineRule="auto"/>
        <w:jc w:val="both"/>
        <w:textAlignment w:val="auto"/>
        <w:rPr>
          <w:rFonts w:cs="Arial"/>
          <w:b/>
          <w:sz w:val="24"/>
          <w:szCs w:val="24"/>
        </w:rPr>
      </w:pPr>
      <w:r>
        <w:rPr>
          <w:rFonts w:cs="Arial"/>
          <w:b/>
          <w:sz w:val="24"/>
          <w:szCs w:val="24"/>
        </w:rPr>
        <w:t xml:space="preserve">10.5. </w:t>
      </w:r>
      <w:r>
        <w:rPr>
          <w:rFonts w:cs="Arial"/>
          <w:sz w:val="24"/>
          <w:szCs w:val="24"/>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w:t>
      </w:r>
    </w:p>
    <w:p w14:paraId="72537655">
      <w:pPr>
        <w:keepNext w:val="0"/>
        <w:keepLines w:val="0"/>
        <w:pageBreakBefore w:val="0"/>
        <w:widowControl w:val="0"/>
        <w:kinsoku/>
        <w:wordWrap/>
        <w:overflowPunct/>
        <w:topLinePunct w:val="0"/>
        <w:autoSpaceDN/>
        <w:bidi w:val="0"/>
        <w:adjustRightInd/>
        <w:spacing w:before="0" w:after="0" w:line="240" w:lineRule="auto"/>
        <w:jc w:val="both"/>
        <w:textAlignment w:val="auto"/>
        <w:rPr>
          <w:rFonts w:cs="Arial"/>
          <w:b/>
          <w:bCs/>
          <w:sz w:val="24"/>
          <w:szCs w:val="24"/>
        </w:rPr>
      </w:pPr>
      <w:r>
        <w:rPr>
          <w:rFonts w:cs="Arial"/>
          <w:b/>
          <w:sz w:val="24"/>
          <w:szCs w:val="24"/>
        </w:rPr>
        <w:t xml:space="preserve">10.6. </w:t>
      </w:r>
      <w:r>
        <w:rPr>
          <w:rFonts w:cs="Arial"/>
          <w:sz w:val="24"/>
          <w:szCs w:val="24"/>
        </w:rPr>
        <w:t>Qualquer atraso ocorrido na apresentação da fatura ou nota fiscal, ou dos documentos exigidos como condição para pagamento por parte da Contratada importará em prorrogação automática do prazo de vencimento da obrigação do Contratante.</w:t>
      </w:r>
    </w:p>
    <w:p w14:paraId="08765DE8">
      <w:pPr>
        <w:keepNext w:val="0"/>
        <w:keepLines w:val="0"/>
        <w:pageBreakBefore w:val="0"/>
        <w:widowControl w:val="0"/>
        <w:kinsoku/>
        <w:wordWrap/>
        <w:overflowPunct/>
        <w:topLinePunct w:val="0"/>
        <w:autoSpaceDE w:val="0"/>
        <w:autoSpaceDN/>
        <w:bidi w:val="0"/>
        <w:adjustRightInd/>
        <w:spacing w:before="0" w:after="0" w:line="240" w:lineRule="auto"/>
        <w:jc w:val="both"/>
        <w:textAlignment w:val="auto"/>
        <w:rPr>
          <w:rFonts w:cs="Arial"/>
          <w:b/>
          <w:bCs/>
          <w:sz w:val="24"/>
          <w:szCs w:val="24"/>
        </w:rPr>
      </w:pPr>
      <w:r>
        <w:rPr>
          <w:rFonts w:cs="Arial"/>
          <w:b/>
          <w:bCs/>
          <w:sz w:val="24"/>
          <w:szCs w:val="24"/>
        </w:rPr>
        <w:t xml:space="preserve">10.7. </w:t>
      </w:r>
      <w:r>
        <w:rPr>
          <w:rFonts w:cs="Arial"/>
          <w:sz w:val="24"/>
          <w:szCs w:val="24"/>
        </w:rPr>
        <w:t>Nenhum pagamento isentará a Contratada das suas responsabilidades e obrigações, nem implicará aceitação definitiva serviços realizados;</w:t>
      </w:r>
    </w:p>
    <w:p w14:paraId="37ED7F68">
      <w:pPr>
        <w:keepNext w:val="0"/>
        <w:keepLines w:val="0"/>
        <w:pageBreakBefore w:val="0"/>
        <w:widowControl w:val="0"/>
        <w:kinsoku/>
        <w:wordWrap/>
        <w:overflowPunct/>
        <w:topLinePunct w:val="0"/>
        <w:autoSpaceDE w:val="0"/>
        <w:autoSpaceDN/>
        <w:bidi w:val="0"/>
        <w:adjustRightInd/>
        <w:spacing w:before="0" w:after="0" w:line="240" w:lineRule="auto"/>
        <w:jc w:val="both"/>
        <w:textAlignment w:val="auto"/>
        <w:rPr>
          <w:rFonts w:cs="Arial"/>
          <w:b/>
          <w:sz w:val="24"/>
          <w:szCs w:val="24"/>
        </w:rPr>
      </w:pPr>
      <w:r>
        <w:rPr>
          <w:rFonts w:cs="Arial"/>
          <w:b/>
          <w:bCs/>
          <w:sz w:val="24"/>
          <w:szCs w:val="24"/>
        </w:rPr>
        <w:t xml:space="preserve">10.8. </w:t>
      </w:r>
      <w:r>
        <w:rPr>
          <w:rFonts w:cs="Arial"/>
          <w:sz w:val="24"/>
          <w:szCs w:val="24"/>
        </w:rPr>
        <w:t>A Câmara não efetuará pagamento de título descontado, ou por meio de cobrança em banco, bem como, os que forem negociados com terceiros por intermédio da operação de “</w:t>
      </w:r>
      <w:r>
        <w:rPr>
          <w:rFonts w:cs="Arial"/>
          <w:i/>
          <w:iCs/>
          <w:sz w:val="24"/>
          <w:szCs w:val="24"/>
        </w:rPr>
        <w:t>factoring</w:t>
      </w:r>
      <w:r>
        <w:rPr>
          <w:rFonts w:cs="Arial"/>
          <w:sz w:val="24"/>
          <w:szCs w:val="24"/>
        </w:rPr>
        <w:t>”;</w:t>
      </w:r>
    </w:p>
    <w:p w14:paraId="3AB1F419">
      <w:pPr>
        <w:keepNext w:val="0"/>
        <w:keepLines w:val="0"/>
        <w:pageBreakBefore w:val="0"/>
        <w:widowControl w:val="0"/>
        <w:kinsoku/>
        <w:wordWrap/>
        <w:overflowPunct/>
        <w:topLinePunct w:val="0"/>
        <w:autoSpaceDE w:val="0"/>
        <w:autoSpaceDN/>
        <w:bidi w:val="0"/>
        <w:adjustRightInd/>
        <w:snapToGrid w:val="0"/>
        <w:spacing w:before="0" w:after="0" w:line="240" w:lineRule="auto"/>
        <w:jc w:val="both"/>
        <w:textAlignment w:val="auto"/>
        <w:rPr>
          <w:rFonts w:eastAsia="Arial Unicode MS" w:cs="Arial"/>
          <w:b/>
          <w:bCs/>
          <w:sz w:val="24"/>
          <w:szCs w:val="24"/>
          <w:lang w:eastAsia="en-US"/>
        </w:rPr>
      </w:pPr>
      <w:r>
        <w:rPr>
          <w:rFonts w:cs="Arial"/>
          <w:b/>
          <w:sz w:val="24"/>
          <w:szCs w:val="24"/>
        </w:rPr>
        <w:t>10.9.</w:t>
      </w:r>
      <w:r>
        <w:rPr>
          <w:rFonts w:cs="Arial"/>
          <w:sz w:val="24"/>
          <w:szCs w:val="24"/>
        </w:rPr>
        <w:t xml:space="preserve"> Quando do pagamento, será efetuada a retenção tributária prevista na legislação aplicável;</w:t>
      </w:r>
    </w:p>
    <w:p w14:paraId="5D1121AE">
      <w:pPr>
        <w:keepNext w:val="0"/>
        <w:keepLines w:val="0"/>
        <w:pageBreakBefore w:val="0"/>
        <w:widowControl w:val="0"/>
        <w:kinsoku/>
        <w:wordWrap/>
        <w:overflowPunct/>
        <w:topLinePunct w:val="0"/>
        <w:autoSpaceDE w:val="0"/>
        <w:autoSpaceDN/>
        <w:bidi w:val="0"/>
        <w:adjustRightInd/>
        <w:spacing w:before="0" w:after="0" w:line="240" w:lineRule="auto"/>
        <w:jc w:val="both"/>
        <w:textAlignment w:val="auto"/>
        <w:rPr>
          <w:rFonts w:cs="Arial"/>
          <w:b/>
          <w:bCs/>
          <w:color w:val="000000"/>
          <w:sz w:val="24"/>
          <w:szCs w:val="24"/>
        </w:rPr>
      </w:pPr>
      <w:r>
        <w:rPr>
          <w:rFonts w:eastAsia="Arial Unicode MS" w:cs="Arial"/>
          <w:b/>
          <w:bCs/>
          <w:sz w:val="24"/>
          <w:szCs w:val="24"/>
          <w:lang w:eastAsia="en-US"/>
        </w:rPr>
        <w:t xml:space="preserve">10.10. </w:t>
      </w:r>
      <w:r>
        <w:rPr>
          <w:rFonts w:eastAsia="Arial Unicode MS" w:cs="Arial"/>
          <w:sz w:val="24"/>
          <w:szCs w:val="24"/>
          <w:lang w:eastAsia="en-US"/>
        </w:rPr>
        <w:t xml:space="preserve">As despesas bancárias decorrentes de transferência de valores para outras praças serão </w:t>
      </w:r>
      <w:r>
        <w:rPr>
          <w:rFonts w:eastAsia="Arial Unicode MS" w:cs="Arial"/>
          <w:color w:val="000000"/>
          <w:sz w:val="24"/>
          <w:szCs w:val="24"/>
          <w:lang w:eastAsia="en-US"/>
        </w:rPr>
        <w:t>de responsabilidade do Contratado.</w:t>
      </w:r>
    </w:p>
    <w:p w14:paraId="2AE814CA">
      <w:pPr>
        <w:widowControl w:val="0"/>
        <w:autoSpaceDE w:val="0"/>
        <w:spacing w:before="0" w:after="0" w:line="240" w:lineRule="auto"/>
        <w:jc w:val="both"/>
        <w:rPr>
          <w:rFonts w:cs="Arial"/>
          <w:b/>
          <w:bCs/>
          <w:color w:val="000000"/>
          <w:sz w:val="24"/>
          <w:szCs w:val="24"/>
        </w:rPr>
      </w:pPr>
    </w:p>
    <w:p w14:paraId="557E547B">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11. D</w:t>
      </w:r>
      <w:r>
        <w:rPr>
          <w:rFonts w:eastAsia="Times New Roman" w:cs="Arial"/>
          <w:b/>
          <w:bCs/>
          <w:color w:val="000000"/>
          <w:kern w:val="0"/>
          <w:sz w:val="24"/>
          <w:szCs w:val="24"/>
          <w:lang w:val="pt-BR" w:eastAsia="ar-SA" w:bidi="ar-SA"/>
        </w:rPr>
        <w:t>OS REAJUSTES DOS PREÇOS:</w:t>
      </w:r>
    </w:p>
    <w:p w14:paraId="6B4D447E">
      <w:pPr>
        <w:keepNext w:val="0"/>
        <w:keepLines w:val="0"/>
        <w:pageBreakBefore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11.1. </w:t>
      </w:r>
      <w:r>
        <w:rPr>
          <w:rFonts w:cs="Arial"/>
          <w:color w:val="000000"/>
          <w:sz w:val="24"/>
          <w:szCs w:val="24"/>
        </w:rPr>
        <w:t>É vedado reajustes de preços no período de vigência deste Instrumento.</w:t>
      </w:r>
    </w:p>
    <w:p w14:paraId="5DA89F4D">
      <w:pPr>
        <w:keepNext w:val="0"/>
        <w:keepLines w:val="0"/>
        <w:pageBreakBefore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11.1.1. </w:t>
      </w:r>
      <w:r>
        <w:rPr>
          <w:rFonts w:cs="Arial"/>
          <w:color w:val="000000"/>
          <w:sz w:val="24"/>
          <w:szCs w:val="24"/>
        </w:rPr>
        <w:t>Os preços praticados manter-se-ão inalterados pelo período de vigência do Contrato, admitida a revisão no caso de desequilíbrio da equação econômico-financeira inicial deste instrumento a partir de determinação estatal, mediante demonstração por meio de planilha de formação de preços, cabendo-lhe no máximo o repasse do percentual determinado.</w:t>
      </w:r>
    </w:p>
    <w:p w14:paraId="5EC05DB1">
      <w:pPr>
        <w:keepNext w:val="0"/>
        <w:keepLines w:val="0"/>
        <w:pageBreakBefore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11.2. </w:t>
      </w:r>
      <w:r>
        <w:rPr>
          <w:rFonts w:cs="Arial"/>
          <w:color w:val="000000"/>
          <w:sz w:val="24"/>
          <w:szCs w:val="24"/>
        </w:rPr>
        <w:t>Caso o preço praticado seja superior à média dos preços de mercado, o Contratante solicitará ao Contratado, mediante correspondência, redução do preço praticado, de forma a adequá-lo ao preço usual no mercado.</w:t>
      </w:r>
    </w:p>
    <w:p w14:paraId="2064A2F8">
      <w:pPr>
        <w:keepNext w:val="0"/>
        <w:keepLines w:val="0"/>
        <w:pageBreakBefore w:val="0"/>
        <w:kinsoku/>
        <w:wordWrap/>
        <w:overflowPunct/>
        <w:topLinePunct w:val="0"/>
        <w:autoSpaceDE w:val="0"/>
        <w:autoSpaceDN/>
        <w:bidi w:val="0"/>
        <w:adjustRightInd/>
        <w:snapToGrid/>
        <w:spacing w:before="0" w:after="0" w:line="240" w:lineRule="auto"/>
        <w:jc w:val="both"/>
        <w:textAlignment w:val="auto"/>
        <w:rPr>
          <w:rFonts w:cs="Arial"/>
          <w:color w:val="000000"/>
          <w:sz w:val="24"/>
          <w:szCs w:val="24"/>
        </w:rPr>
      </w:pPr>
      <w:r>
        <w:rPr>
          <w:rFonts w:cs="Arial"/>
          <w:b/>
          <w:bCs/>
          <w:color w:val="000000"/>
          <w:sz w:val="24"/>
          <w:szCs w:val="24"/>
        </w:rPr>
        <w:t xml:space="preserve">11.3. </w:t>
      </w:r>
      <w:r>
        <w:rPr>
          <w:rFonts w:cs="Arial"/>
          <w:color w:val="000000"/>
          <w:sz w:val="24"/>
          <w:szCs w:val="24"/>
        </w:rPr>
        <w:t>Será considerado compatíveis com os de mercado os preços registrados que forem iguais ou inferiores à média daqueles apurados pelo setor demandante, na pesquisa de estimativa de preços.</w:t>
      </w:r>
    </w:p>
    <w:p w14:paraId="5BB38809">
      <w:pPr>
        <w:autoSpaceDE w:val="0"/>
        <w:spacing w:line="240" w:lineRule="auto"/>
        <w:jc w:val="both"/>
        <w:rPr>
          <w:rFonts w:cs="Arial"/>
          <w:color w:val="000000"/>
          <w:sz w:val="24"/>
          <w:szCs w:val="24"/>
        </w:rPr>
      </w:pPr>
    </w:p>
    <w:p w14:paraId="23C74473">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color w:val="000000"/>
          <w:sz w:val="24"/>
          <w:szCs w:val="24"/>
        </w:rPr>
      </w:pPr>
      <w:r>
        <w:rPr>
          <w:rFonts w:eastAsia="Times New Roman" w:cs="Arial"/>
          <w:b/>
          <w:bCs/>
          <w:color w:val="000000"/>
          <w:kern w:val="0"/>
          <w:sz w:val="24"/>
          <w:szCs w:val="24"/>
          <w:lang w:val="pt-BR" w:eastAsia="ar-SA" w:bidi="ar-SA"/>
        </w:rPr>
        <w:t>12. DA RESCISÃO CONTRATUAL:</w:t>
      </w:r>
    </w:p>
    <w:p w14:paraId="15CB62BB">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color w:val="000000"/>
          <w:sz w:val="24"/>
          <w:szCs w:val="24"/>
        </w:rPr>
        <w:t>12.1.</w:t>
      </w:r>
      <w:r>
        <w:rPr>
          <w:rFonts w:cs="Arial"/>
          <w:color w:val="000000"/>
          <w:sz w:val="24"/>
          <w:szCs w:val="24"/>
        </w:rPr>
        <w:t xml:space="preserve"> O presente instrumento poderá ser rescindido de pleno direito, nas seguintes situações:</w:t>
      </w:r>
    </w:p>
    <w:p w14:paraId="7E3CD4C7">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a) </w:t>
      </w:r>
      <w:r>
        <w:rPr>
          <w:rFonts w:cs="Arial"/>
          <w:color w:val="000000"/>
          <w:sz w:val="24"/>
          <w:szCs w:val="24"/>
        </w:rPr>
        <w:t>Quando o contratado não cumprir as obrigações constantes descrito no Objeto deste Contrato;</w:t>
      </w:r>
    </w:p>
    <w:p w14:paraId="55BA69C1">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b) </w:t>
      </w:r>
      <w:r>
        <w:rPr>
          <w:rFonts w:cs="Arial"/>
          <w:color w:val="000000"/>
          <w:sz w:val="24"/>
          <w:szCs w:val="24"/>
        </w:rPr>
        <w:t>Quando o contratado der causa a rescisão administrativa;</w:t>
      </w:r>
    </w:p>
    <w:p w14:paraId="1A4A9731">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c) </w:t>
      </w:r>
      <w:r>
        <w:rPr>
          <w:rFonts w:cs="Arial"/>
          <w:color w:val="000000"/>
          <w:sz w:val="24"/>
          <w:szCs w:val="24"/>
        </w:rPr>
        <w:t>Em qualquer hipótese de inexecução total ou parcial deste Contrato;</w:t>
      </w:r>
    </w:p>
    <w:p w14:paraId="32B17948">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d) </w:t>
      </w:r>
      <w:r>
        <w:rPr>
          <w:rFonts w:cs="Arial"/>
          <w:color w:val="000000"/>
          <w:sz w:val="24"/>
          <w:szCs w:val="24"/>
        </w:rPr>
        <w:t>Os preços praticados se apresentarem superiores aos praticados no mercado;</w:t>
      </w:r>
    </w:p>
    <w:p w14:paraId="1F69DE65">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e) </w:t>
      </w:r>
      <w:r>
        <w:rPr>
          <w:rFonts w:cs="Arial"/>
          <w:color w:val="000000"/>
          <w:sz w:val="24"/>
          <w:szCs w:val="24"/>
        </w:rPr>
        <w:t>Por razões de interesse público, devidamente demonstradas e justificadas;</w:t>
      </w:r>
    </w:p>
    <w:p w14:paraId="18124472">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12.2. </w:t>
      </w:r>
      <w:r>
        <w:rPr>
          <w:rFonts w:cs="Arial"/>
          <w:color w:val="000000"/>
          <w:sz w:val="24"/>
          <w:szCs w:val="24"/>
        </w:rPr>
        <w:t>Ocorrendo a rescisão contratual, o contratado será informado por correspondência, a qual será juntada ao processo administrativo;</w:t>
      </w:r>
    </w:p>
    <w:p w14:paraId="7FF18C6D">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12.3. </w:t>
      </w:r>
      <w:r>
        <w:rPr>
          <w:rFonts w:cs="Arial"/>
          <w:color w:val="000000"/>
          <w:sz w:val="24"/>
          <w:szCs w:val="24"/>
        </w:rPr>
        <w:t>No caso de ser ignorado, incerto ou inacessível o endereço do contratado, a comunicação será feita por publicação no Diário Oficial, considerando-se rescindido o contrato a partir da última publicação;</w:t>
      </w:r>
    </w:p>
    <w:p w14:paraId="7387022B">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12.4. </w:t>
      </w:r>
      <w:r>
        <w:rPr>
          <w:rFonts w:cs="Arial"/>
          <w:color w:val="000000"/>
          <w:sz w:val="24"/>
          <w:szCs w:val="24"/>
        </w:rPr>
        <w:t>A solicitação do contratado para rescisão contratual poderá não ser aceita pelo CONTRATANTE, facultando-se a esta neste caso, a aplicação das penalidades previstas neste instrumento;</w:t>
      </w:r>
    </w:p>
    <w:p w14:paraId="24374035">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12.5. </w:t>
      </w:r>
      <w:r>
        <w:rPr>
          <w:rFonts w:cs="Arial"/>
          <w:color w:val="000000"/>
          <w:sz w:val="24"/>
          <w:szCs w:val="24"/>
        </w:rPr>
        <w:t>Havendo a rescisão contratual, cessarão todas as atividades do contratado, relativas a prestação de serviços;</w:t>
      </w:r>
    </w:p>
    <w:p w14:paraId="0AC41B31">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cs="Arial"/>
          <w:b/>
          <w:bCs/>
          <w:color w:val="000000"/>
          <w:sz w:val="24"/>
          <w:szCs w:val="24"/>
        </w:rPr>
        <w:t xml:space="preserve">12.6. </w:t>
      </w:r>
      <w:r>
        <w:rPr>
          <w:rFonts w:cs="Arial"/>
          <w:color w:val="000000"/>
          <w:sz w:val="24"/>
          <w:szCs w:val="24"/>
        </w:rPr>
        <w:t>Caso a CÂMARA MUNICIPAL não se utilize da prerrogativa de rescindir o contrato ao seu exclusivo critério, poderá suspender a sua execução e/ou sustar o pagamento das faturas, até que o contratado cumpra integralmente a condição contratual infringida.</w:t>
      </w:r>
    </w:p>
    <w:p w14:paraId="494FE21A">
      <w:pPr>
        <w:widowControl w:val="0"/>
        <w:autoSpaceDE w:val="0"/>
        <w:spacing w:before="0" w:after="120" w:line="240" w:lineRule="auto"/>
        <w:jc w:val="both"/>
        <w:rPr>
          <w:rFonts w:eastAsia="Times New Roman" w:cs="Arial"/>
          <w:b/>
          <w:bCs/>
          <w:color w:val="000000"/>
          <w:kern w:val="0"/>
          <w:sz w:val="24"/>
          <w:szCs w:val="24"/>
          <w:lang w:val="pt-BR" w:eastAsia="ar-SA" w:bidi="ar-SA"/>
        </w:rPr>
      </w:pPr>
    </w:p>
    <w:p w14:paraId="45325852">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color w:val="000000"/>
          <w:sz w:val="24"/>
          <w:szCs w:val="24"/>
        </w:rPr>
      </w:pPr>
      <w:r>
        <w:rPr>
          <w:rFonts w:eastAsia="Times New Roman" w:cs="Arial"/>
          <w:b/>
          <w:bCs/>
          <w:color w:val="000000"/>
          <w:kern w:val="0"/>
          <w:sz w:val="24"/>
          <w:szCs w:val="24"/>
          <w:lang w:val="pt-BR" w:eastAsia="ar-SA" w:bidi="ar-SA"/>
        </w:rPr>
        <w:t>13. DAS PENALIDADES:</w:t>
      </w:r>
    </w:p>
    <w:p w14:paraId="4B3F9136">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color w:val="000000"/>
          <w:sz w:val="24"/>
          <w:szCs w:val="24"/>
        </w:rPr>
        <w:t>13.1.</w:t>
      </w:r>
      <w:r>
        <w:rPr>
          <w:rFonts w:cs="Arial"/>
          <w:color w:val="000000"/>
          <w:sz w:val="24"/>
          <w:szCs w:val="24"/>
        </w:rPr>
        <w:t xml:space="preserve"> O CONTRATADO ao descumprir quaisquer das condições deste instrumento ficará sujeita às penalidades previstas na Lei nº 14.133/2021, quais sejam:</w:t>
      </w:r>
    </w:p>
    <w:p w14:paraId="6D56B1B4">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I.</w:t>
      </w:r>
      <w:r>
        <w:rPr>
          <w:rFonts w:cs="Arial"/>
          <w:bCs/>
          <w:color w:val="000000"/>
          <w:sz w:val="24"/>
          <w:szCs w:val="24"/>
        </w:rPr>
        <w:t xml:space="preserve"> Por atraso injustificado na entrega dos relatórios;</w:t>
      </w:r>
    </w:p>
    <w:p w14:paraId="6DFAC34F">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a)</w:t>
      </w:r>
      <w:r>
        <w:rPr>
          <w:rFonts w:cs="Arial"/>
          <w:bCs/>
          <w:color w:val="000000"/>
          <w:sz w:val="24"/>
          <w:szCs w:val="24"/>
        </w:rPr>
        <w:t xml:space="preserve"> Atraso de até 10 (dez) dias, multa diária de 0,25% (vinte e cinco centésimos por cento), do valor adjudicado;</w:t>
      </w:r>
    </w:p>
    <w:p w14:paraId="258F8277">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b)</w:t>
      </w:r>
      <w:r>
        <w:rPr>
          <w:rFonts w:cs="Arial"/>
          <w:bCs/>
          <w:color w:val="000000"/>
          <w:sz w:val="24"/>
          <w:szCs w:val="24"/>
        </w:rPr>
        <w:t xml:space="preserve"> Atraso superior a 10 (dez) dias, multa diária de 0,50% (cinquenta centésimos por cento), do valor adjudicado, sobre o total dos dias em atraso, sem prejuízo das demais cominações legais; e</w:t>
      </w:r>
    </w:p>
    <w:p w14:paraId="782DF910">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c)</w:t>
      </w:r>
      <w:r>
        <w:rPr>
          <w:rFonts w:cs="Arial"/>
          <w:bCs/>
          <w:color w:val="000000"/>
          <w:sz w:val="24"/>
          <w:szCs w:val="24"/>
        </w:rPr>
        <w:t xml:space="preserve"> No caso de atraso no recolhimento da multa aplicada, incidirá nova multa sobre o valor devido, equivalente a 0,20% (vinte centésimos por cento) até 10 (dez) dias de atraso e 0,40% (quarenta centésimos por cento) do valor adjudicado, acima desse prazo, calculado sobre o total dos dias em atraso;</w:t>
      </w:r>
    </w:p>
    <w:p w14:paraId="5E4014E8">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II.</w:t>
      </w:r>
      <w:r>
        <w:rPr>
          <w:rFonts w:cs="Arial"/>
          <w:bCs/>
          <w:color w:val="000000"/>
          <w:sz w:val="24"/>
          <w:szCs w:val="24"/>
        </w:rPr>
        <w:t xml:space="preserve"> Pela inexecução parcial ou total das condições estabelecidas neste instrumento, a Câmara Municipal poderá, garantida a prévia defesa, aplicar também, as seguintes sanções:</w:t>
      </w:r>
    </w:p>
    <w:p w14:paraId="751B3135">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a) </w:t>
      </w:r>
      <w:r>
        <w:rPr>
          <w:rFonts w:cs="Arial"/>
          <w:color w:val="000000"/>
          <w:sz w:val="24"/>
          <w:szCs w:val="24"/>
        </w:rPr>
        <w:t>advertência;</w:t>
      </w:r>
    </w:p>
    <w:p w14:paraId="46B21AD2">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b) </w:t>
      </w:r>
      <w:r>
        <w:rPr>
          <w:rFonts w:cs="Arial"/>
          <w:color w:val="000000"/>
          <w:sz w:val="24"/>
          <w:szCs w:val="24"/>
        </w:rPr>
        <w:t>multa de até 20% (vinte por cento) sobre o valor homologado, atualizado, recolhida no prazo de 15 (quinze) dias corridos, contados da comunicação oficial, sem embargo de indenização dos prejuízos porventura causados ao Município de Primavera do Leste;</w:t>
      </w:r>
    </w:p>
    <w:p w14:paraId="05B6B77D">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c) </w:t>
      </w:r>
      <w:r>
        <w:rPr>
          <w:rFonts w:cs="Arial"/>
          <w:color w:val="000000"/>
          <w:sz w:val="24"/>
          <w:szCs w:val="24"/>
        </w:rPr>
        <w:t>suspensão temporária de participação em licitação e impedimento de licitar e contratar com o Município de Primavera do Leste, bem como o cancelamento de seu certificado de registro cadastral no cadastro de fornecedores do Município de Primavera do Leste;</w:t>
      </w:r>
    </w:p>
    <w:p w14:paraId="6510C978">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13.2. </w:t>
      </w:r>
      <w:r>
        <w:rPr>
          <w:rFonts w:cs="Arial"/>
          <w:color w:val="000000"/>
          <w:sz w:val="24"/>
          <w:szCs w:val="24"/>
        </w:rPr>
        <w:t>As multas serão descontadas dos créditos existentes do contrato ou cobradas administrativa ou judicialmente;</w:t>
      </w:r>
    </w:p>
    <w:p w14:paraId="704CAABF">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color w:val="000000"/>
          <w:sz w:val="24"/>
          <w:szCs w:val="24"/>
        </w:rPr>
      </w:pPr>
      <w:r>
        <w:rPr>
          <w:rFonts w:cs="Arial"/>
          <w:b/>
          <w:bCs/>
          <w:color w:val="000000"/>
          <w:sz w:val="24"/>
          <w:szCs w:val="24"/>
        </w:rPr>
        <w:t xml:space="preserve">13.3. </w:t>
      </w:r>
      <w:r>
        <w:rPr>
          <w:rFonts w:cs="Arial"/>
          <w:color w:val="000000"/>
          <w:sz w:val="24"/>
          <w:szCs w:val="24"/>
        </w:rPr>
        <w:t>As penalidades previstas neste item têm caráter de sanção administrativa, consequentemente, a sua aplicação não exime a empresa detentora do contrato, da reparação das eventuais perdas e danos que seu ato venha acarretar à Câmara de Primavera do Leste;</w:t>
      </w:r>
    </w:p>
    <w:p w14:paraId="0708FE02">
      <w:pPr>
        <w:widowControl w:val="0"/>
        <w:autoSpaceDE w:val="0"/>
        <w:spacing w:before="0" w:after="120" w:line="240" w:lineRule="auto"/>
        <w:jc w:val="both"/>
        <w:rPr>
          <w:rFonts w:cs="Arial"/>
          <w:color w:val="000000"/>
          <w:sz w:val="24"/>
          <w:szCs w:val="24"/>
        </w:rPr>
      </w:pPr>
    </w:p>
    <w:p w14:paraId="4E3C5ECC">
      <w:pPr>
        <w:pStyle w:val="243"/>
        <w:keepNext w:val="0"/>
        <w:keepLines w:val="0"/>
        <w:pageBreakBefore w:val="0"/>
        <w:shd w:val="clear" w:color="auto" w:fill="FFFFFF"/>
        <w:tabs>
          <w:tab w:val="left" w:pos="709"/>
          <w:tab w:val="center" w:pos="4419"/>
          <w:tab w:val="right" w:pos="8838"/>
        </w:tabs>
        <w:kinsoku/>
        <w:wordWrap/>
        <w:overflowPunct/>
        <w:topLinePunct w:val="0"/>
        <w:autoSpaceDN/>
        <w:bidi w:val="0"/>
        <w:adjustRightInd/>
        <w:snapToGrid/>
        <w:spacing w:before="0" w:after="0" w:line="240" w:lineRule="auto"/>
        <w:jc w:val="both"/>
        <w:textAlignment w:val="auto"/>
        <w:rPr>
          <w:rFonts w:cs="Arial"/>
          <w:b/>
          <w:bCs/>
          <w:color w:val="000000"/>
          <w:sz w:val="24"/>
          <w:szCs w:val="24"/>
        </w:rPr>
      </w:pPr>
      <w:r>
        <w:rPr>
          <w:rFonts w:ascii="Times New Roman" w:hAnsi="Times New Roman" w:eastAsia="Times New Roman" w:cs="Arial"/>
          <w:b/>
          <w:bCs/>
          <w:color w:val="000000"/>
          <w:kern w:val="0"/>
          <w:sz w:val="24"/>
          <w:szCs w:val="24"/>
          <w:lang w:val="pt-BR" w:eastAsia="ar-SA" w:bidi="ar-SA"/>
        </w:rPr>
        <w:t>14. DAS DISPOSIÇÕES FINAIS:</w:t>
      </w:r>
    </w:p>
    <w:p w14:paraId="74444D40">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14.1. </w:t>
      </w:r>
      <w:r>
        <w:rPr>
          <w:rFonts w:cs="Arial"/>
          <w:color w:val="000000"/>
          <w:sz w:val="24"/>
          <w:szCs w:val="24"/>
        </w:rPr>
        <w:t>As partes ficam, ainda, adstritas às seguintes disposições:</w:t>
      </w:r>
    </w:p>
    <w:p w14:paraId="01F629D9">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14.1.1. </w:t>
      </w:r>
      <w:r>
        <w:rPr>
          <w:rFonts w:cs="Arial"/>
          <w:color w:val="000000"/>
          <w:sz w:val="24"/>
          <w:szCs w:val="24"/>
        </w:rPr>
        <w:t>Todas as alterações que se fizerem necessárias serão registradas por intermédio de lavratura de termo aditivo ou apostilamento ao contrato;</w:t>
      </w:r>
    </w:p>
    <w:p w14:paraId="30A88DE5">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14.1.2. </w:t>
      </w:r>
      <w:r>
        <w:rPr>
          <w:rFonts w:cs="Arial"/>
          <w:b w:val="0"/>
          <w:bCs w:val="0"/>
          <w:color w:val="000000"/>
          <w:sz w:val="24"/>
          <w:szCs w:val="24"/>
        </w:rPr>
        <w:t>O</w:t>
      </w:r>
      <w:r>
        <w:rPr>
          <w:rFonts w:cs="Arial"/>
          <w:color w:val="000000"/>
          <w:sz w:val="24"/>
          <w:szCs w:val="24"/>
        </w:rPr>
        <w:t xml:space="preserve"> CONTRATADO obriga-se a se manter, durante toda a execução do contrato, em compatibilidade com as obrigações, todas as condições de habilitação e qualificação exigidas na licitação e a cumprir fielmente as cláusulas ora avençadas, bem como as normas previstas na Lei 14.133/2021 e legislação complementar;</w:t>
      </w:r>
    </w:p>
    <w:p w14:paraId="1EA0E46A">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color w:val="000000"/>
          <w:sz w:val="24"/>
          <w:szCs w:val="24"/>
        </w:rPr>
      </w:pPr>
      <w:r>
        <w:rPr>
          <w:rFonts w:cs="Arial"/>
          <w:b/>
          <w:bCs/>
          <w:color w:val="000000"/>
          <w:sz w:val="24"/>
          <w:szCs w:val="24"/>
        </w:rPr>
        <w:t xml:space="preserve">14.1.3. </w:t>
      </w:r>
      <w:r>
        <w:rPr>
          <w:rFonts w:cs="Arial"/>
          <w:color w:val="000000"/>
          <w:sz w:val="24"/>
          <w:szCs w:val="24"/>
        </w:rPr>
        <w:t>É vedado caucionar ou utilizar o presente contrato para qualquer operação financeira, sem prévia e expressa autorização do CONTRATANTE.</w:t>
      </w:r>
    </w:p>
    <w:p w14:paraId="11355AB2">
      <w:pPr>
        <w:widowControl w:val="0"/>
        <w:autoSpaceDE w:val="0"/>
        <w:spacing w:before="0" w:after="120" w:line="240" w:lineRule="auto"/>
        <w:jc w:val="both"/>
        <w:rPr>
          <w:rFonts w:cs="Arial"/>
          <w:color w:val="000000"/>
          <w:sz w:val="24"/>
          <w:szCs w:val="24"/>
        </w:rPr>
      </w:pPr>
    </w:p>
    <w:p w14:paraId="632D827D">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15. DO CRONOGRAMA:</w:t>
      </w:r>
    </w:p>
    <w:p w14:paraId="6338E5F6">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shd w:val="clear" w:color="auto" w:fill="auto"/>
        </w:rPr>
      </w:pPr>
      <w:r>
        <w:rPr>
          <w:rFonts w:cs="Arial"/>
          <w:b/>
          <w:bCs/>
          <w:color w:val="000000"/>
          <w:sz w:val="24"/>
          <w:szCs w:val="24"/>
        </w:rPr>
        <w:t xml:space="preserve">15.1. </w:t>
      </w:r>
      <w:r>
        <w:rPr>
          <w:rFonts w:cs="Arial"/>
          <w:b w:val="0"/>
          <w:bCs w:val="0"/>
          <w:color w:val="000000"/>
          <w:sz w:val="24"/>
          <w:szCs w:val="24"/>
        </w:rPr>
        <w:t>Os projetos deverão indicar todos os elementos necessários para posteriormente a execução. Devendo ser apresentados conforme cronograma:</w:t>
      </w:r>
    </w:p>
    <w:p w14:paraId="1FDDCABF">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left="0" w:right="0" w:firstLine="0"/>
        <w:jc w:val="both"/>
        <w:textAlignment w:val="auto"/>
        <w:rPr>
          <w:rFonts w:cs="Arial"/>
          <w:b/>
          <w:bCs/>
          <w:color w:val="000000"/>
          <w:sz w:val="24"/>
          <w:szCs w:val="24"/>
          <w:shd w:val="clear" w:color="auto" w:fill="FFFFFF"/>
        </w:rPr>
      </w:pPr>
      <w:r>
        <w:rPr>
          <w:rFonts w:cs="Arial"/>
          <w:b/>
          <w:bCs/>
          <w:color w:val="000000"/>
          <w:sz w:val="24"/>
          <w:szCs w:val="24"/>
          <w:shd w:val="clear" w:color="auto" w:fill="auto"/>
        </w:rPr>
        <w:t xml:space="preserve">Aprovação da contratada: </w:t>
      </w:r>
      <w:r>
        <w:rPr>
          <w:rFonts w:cs="Arial"/>
          <w:b w:val="0"/>
          <w:bCs w:val="0"/>
          <w:color w:val="000000"/>
          <w:sz w:val="24"/>
          <w:szCs w:val="24"/>
          <w:shd w:val="clear" w:color="auto" w:fill="auto"/>
        </w:rPr>
        <w:t>Submissão do projeto às autoridades competentes para aprovação, e correção conforme necessário.</w:t>
      </w:r>
    </w:p>
    <w:p w14:paraId="1CE84769">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bCs/>
          <w:color w:val="000000"/>
          <w:sz w:val="24"/>
          <w:szCs w:val="24"/>
          <w:shd w:val="clear" w:color="auto" w:fill="FFFFFF"/>
        </w:rPr>
      </w:pPr>
      <w:r>
        <w:rPr>
          <w:rFonts w:cs="Arial"/>
          <w:b/>
          <w:bCs/>
          <w:color w:val="000000"/>
          <w:sz w:val="24"/>
          <w:szCs w:val="24"/>
          <w:shd w:val="clear" w:color="auto" w:fill="FFFFFF"/>
        </w:rPr>
        <w:t>PROJETO DE REFORMA DA CÂMARA MUNICIPAL:</w:t>
      </w:r>
    </w:p>
    <w:p w14:paraId="2BC11641">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bCs/>
          <w:color w:val="000000"/>
          <w:sz w:val="24"/>
          <w:szCs w:val="24"/>
          <w:shd w:val="clear" w:color="auto" w:fill="FFFFFF"/>
        </w:rPr>
        <w:t>Cada projeto devem compor os seguintes itens:</w:t>
      </w:r>
    </w:p>
    <w:p w14:paraId="7EA6DCA6">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Orçamento detalhado;</w:t>
      </w:r>
    </w:p>
    <w:p w14:paraId="441377BC">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Pranchas de desenho com os detalhes do projeto;</w:t>
      </w:r>
    </w:p>
    <w:p w14:paraId="5F18D6CF">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Composição dos custos unitários (CCU) de todos os itens de serviços;</w:t>
      </w:r>
    </w:p>
    <w:p w14:paraId="10BF7E35">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 xml:space="preserve">Composição das taxas de BDI (edificação e equipamentos); </w:t>
      </w:r>
    </w:p>
    <w:p w14:paraId="497405B8">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Caderno de especificações técnicas;</w:t>
      </w:r>
    </w:p>
    <w:p w14:paraId="3C3DD54D">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 xml:space="preserve">Projeto executivo: </w:t>
      </w:r>
    </w:p>
    <w:p w14:paraId="24090C3E">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Orçamento detalhado em nível de projeto executivo;</w:t>
      </w:r>
    </w:p>
    <w:p w14:paraId="3355070A">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Detalhes nas pranchas de desenho do desenvolvimento dos projetos básicos;</w:t>
      </w:r>
    </w:p>
    <w:p w14:paraId="450F1F5C">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ART do projeto;</w:t>
      </w:r>
    </w:p>
    <w:p w14:paraId="3C55AEDB">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ART da planilha orçamentária.</w:t>
      </w:r>
    </w:p>
    <w:p w14:paraId="2B5B80D5">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Acompanhar a execução do projeto executivo;</w:t>
      </w:r>
    </w:p>
    <w:p w14:paraId="123644AD">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rPr>
      </w:pPr>
      <w:r>
        <w:rPr>
          <w:rFonts w:cs="Arial"/>
          <w:b w:val="0"/>
          <w:bCs w:val="0"/>
          <w:color w:val="000000"/>
          <w:sz w:val="24"/>
          <w:szCs w:val="24"/>
          <w:shd w:val="clear" w:color="auto" w:fill="FFFFFF"/>
        </w:rPr>
        <w:t>Organizar, ao final da obra, o “Memorial da Obra”,  memoriais descritivos, relatórios, testes, laudos, inspeções, balanceamento dos sistemas, catálogos de equipamentos, manuais de operação e manutenção.</w:t>
      </w:r>
    </w:p>
    <w:p w14:paraId="7D2E7630">
      <w:pPr>
        <w:keepNext w:val="0"/>
        <w:keepLines w:val="0"/>
        <w:pageBreakBefore w:val="0"/>
        <w:widowControl w:val="0"/>
        <w:shd w:val="clear" w:color="auto" w:fill="auto"/>
        <w:suppressAutoHyphens/>
        <w:kinsoku/>
        <w:wordWrap/>
        <w:overflowPunct/>
        <w:topLinePunct w:val="0"/>
        <w:autoSpaceDE w:val="0"/>
        <w:autoSpaceDN/>
        <w:bidi w:val="0"/>
        <w:adjustRightInd/>
        <w:snapToGrid/>
        <w:spacing w:before="0" w:after="0" w:line="240" w:lineRule="auto"/>
        <w:ind w:right="0"/>
        <w:jc w:val="both"/>
        <w:textAlignment w:val="auto"/>
        <w:rPr>
          <w:rFonts w:cs="Arial"/>
          <w:b w:val="0"/>
          <w:bCs w:val="0"/>
          <w:color w:val="000000"/>
          <w:sz w:val="24"/>
          <w:szCs w:val="24"/>
          <w:shd w:val="clear" w:color="auto" w:fill="FFFFFF"/>
          <w:lang w:val="pt-BR" w:eastAsia="ar-SA"/>
        </w:rPr>
      </w:pPr>
    </w:p>
    <w:p w14:paraId="0F5E538B">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16. DO ACOMPANHAMENTO:</w:t>
      </w:r>
    </w:p>
    <w:p w14:paraId="1816406B">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 xml:space="preserve">16.1 Do acompanhamento: </w:t>
      </w:r>
      <w:r>
        <w:rPr>
          <w:rFonts w:eastAsia="Times New Roman" w:cs="Arial"/>
          <w:b w:val="0"/>
          <w:bCs w:val="0"/>
          <w:color w:val="000000"/>
          <w:kern w:val="0"/>
          <w:sz w:val="24"/>
          <w:szCs w:val="24"/>
          <w:lang w:val="pt-BR" w:eastAsia="ar-SA" w:bidi="ar-SA"/>
        </w:rPr>
        <w:t xml:space="preserve">Quanto ao acompanhamento da execução do projeto, o Engenheiro DEVERÁ </w:t>
      </w:r>
      <w:r>
        <w:rPr>
          <w:rFonts w:cs="Arial"/>
          <w:b w:val="0"/>
          <w:bCs w:val="0"/>
          <w:color w:val="000000"/>
          <w:sz w:val="24"/>
          <w:szCs w:val="24"/>
        </w:rPr>
        <w:t xml:space="preserve">Fiscalizar a execução das obras, verificando todos os serviços, o emprego de materiais de primeira qualidade que atendam às exigências contidas nas normas técnicas da ABNT, das concessionárias de serviço público, tudo de acordo com os projetos e especificações pertinentes, responsabilizando-se inteiramente pela indicação das falhas e descumprimentos dos projetos e seus anexos, mediante anotação, nos respectivos Diários de Obras, de todas as ocorrências relacionadas, determinando o que for necessário à regularização das faltas ou </w:t>
      </w:r>
      <w:r>
        <w:rPr>
          <w:rFonts w:eastAsia="Times New Roman" w:cs="Arial"/>
          <w:b w:val="0"/>
          <w:bCs w:val="0"/>
          <w:color w:val="000000"/>
          <w:kern w:val="0"/>
          <w:sz w:val="24"/>
          <w:szCs w:val="24"/>
          <w:lang w:val="pt-BR" w:eastAsia="ar-SA" w:bidi="ar-SA"/>
        </w:rPr>
        <w:t>defeitos.</w:t>
      </w:r>
    </w:p>
    <w:p w14:paraId="3D6EDD0F">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 xml:space="preserve">16.2. </w:t>
      </w:r>
      <w:r>
        <w:rPr>
          <w:rFonts w:eastAsia="Times New Roman" w:cs="Arial"/>
          <w:b w:val="0"/>
          <w:bCs w:val="0"/>
          <w:color w:val="000000"/>
          <w:kern w:val="0"/>
          <w:sz w:val="24"/>
          <w:szCs w:val="24"/>
          <w:lang w:val="pt-BR" w:eastAsia="ar-SA" w:bidi="ar-SA"/>
        </w:rPr>
        <w:t>Analisar a pertinência e conveniência das propostas de alterações de projeto e/ou especificações que venham a ser feitas pelas construtoras contratadas, emitindo parecer técnico e submetendo-as à aprovação da contratante;</w:t>
      </w:r>
    </w:p>
    <w:p w14:paraId="27999D8A">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16.3.</w:t>
      </w:r>
      <w:r>
        <w:rPr>
          <w:rFonts w:eastAsia="Times New Roman" w:cs="Arial"/>
          <w:b w:val="0"/>
          <w:bCs w:val="0"/>
          <w:color w:val="000000"/>
          <w:kern w:val="0"/>
          <w:sz w:val="24"/>
          <w:szCs w:val="24"/>
          <w:lang w:val="pt-BR" w:eastAsia="ar-SA" w:bidi="ar-SA"/>
        </w:rPr>
        <w:t xml:space="preserve"> Cumprir as decisões tomadas pela contratante com relação às alterações que venham a ser propostas e que serão registradas nos respectivos Diários de Obras;</w:t>
      </w:r>
    </w:p>
    <w:p w14:paraId="5AC6001A">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 xml:space="preserve">16.4. </w:t>
      </w:r>
      <w:r>
        <w:rPr>
          <w:rFonts w:eastAsia="Times New Roman" w:cs="Arial"/>
          <w:b w:val="0"/>
          <w:bCs w:val="0"/>
          <w:color w:val="000000"/>
          <w:kern w:val="0"/>
          <w:sz w:val="24"/>
          <w:szCs w:val="24"/>
          <w:lang w:val="pt-BR" w:eastAsia="ar-SA" w:bidi="ar-SA"/>
        </w:rPr>
        <w:t>Promover as avaliações e medições das etapas executadas, observado o disposto nos cronogramas físico-financeiro vigente e na proposta apresentada pela contratada; 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w:t>
      </w:r>
    </w:p>
    <w:p w14:paraId="14469138">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 xml:space="preserve">16.5. </w:t>
      </w:r>
      <w:r>
        <w:rPr>
          <w:rFonts w:eastAsia="Times New Roman" w:cs="Arial"/>
          <w:b w:val="0"/>
          <w:bCs w:val="0"/>
          <w:color w:val="000000"/>
          <w:kern w:val="0"/>
          <w:sz w:val="24"/>
          <w:szCs w:val="24"/>
          <w:lang w:val="pt-BR" w:eastAsia="ar-SA" w:bidi="ar-SA"/>
        </w:rPr>
        <w:t xml:space="preserve">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 </w:t>
      </w:r>
    </w:p>
    <w:p w14:paraId="2F77A6FC">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16.6.</w:t>
      </w:r>
      <w:r>
        <w:rPr>
          <w:rFonts w:eastAsia="Times New Roman" w:cs="Arial"/>
          <w:b w:val="0"/>
          <w:bCs w:val="0"/>
          <w:color w:val="000000"/>
          <w:kern w:val="0"/>
          <w:sz w:val="24"/>
          <w:szCs w:val="24"/>
          <w:lang w:val="pt-BR" w:eastAsia="ar-SA" w:bidi="ar-SA"/>
        </w:rPr>
        <w:t xml:space="preserve"> Informar, conclusivamente, todas as previsões ou constatações de atrasos ou antecipações das obras e, em ambos, fornecer as razões determinantes, bem como trazer ao conhecimento da Administração, eventuais atrasos ou descumprimentos das construtoras no atendimento de quaisquer solicitações que possam comprometer a qualidade, segurança e o andamento das obras;</w:t>
      </w:r>
    </w:p>
    <w:p w14:paraId="7F877A93">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bCs/>
          <w:color w:val="000000"/>
          <w:kern w:val="0"/>
          <w:sz w:val="24"/>
          <w:szCs w:val="24"/>
          <w:lang w:val="pt-BR" w:eastAsia="ar-SA" w:bidi="ar-SA"/>
        </w:rPr>
      </w:pPr>
      <w:r>
        <w:rPr>
          <w:rFonts w:eastAsia="Times New Roman" w:cs="Arial"/>
          <w:b/>
          <w:bCs/>
          <w:color w:val="000000"/>
          <w:kern w:val="0"/>
          <w:sz w:val="24"/>
          <w:szCs w:val="24"/>
          <w:lang w:val="pt-BR" w:eastAsia="ar-SA" w:bidi="ar-SA"/>
        </w:rPr>
        <w:t>16.7.</w:t>
      </w:r>
      <w:r>
        <w:rPr>
          <w:rFonts w:eastAsia="Times New Roman" w:cs="Arial"/>
          <w:b w:val="0"/>
          <w:bCs w:val="0"/>
          <w:color w:val="000000"/>
          <w:kern w:val="0"/>
          <w:sz w:val="24"/>
          <w:szCs w:val="24"/>
          <w:lang w:val="pt-BR" w:eastAsia="ar-SA" w:bidi="ar-SA"/>
        </w:rPr>
        <w:t xml:space="preserve"> Preparar, convocar e participar de reuniões técnicas acerca das obras;</w:t>
      </w:r>
    </w:p>
    <w:p w14:paraId="4701E2E7">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val="0"/>
          <w:bCs w:val="0"/>
          <w:color w:val="000000"/>
          <w:kern w:val="0"/>
          <w:sz w:val="24"/>
          <w:szCs w:val="24"/>
          <w:lang w:val="pt-BR" w:eastAsia="ar-SA" w:bidi="ar-SA"/>
        </w:rPr>
      </w:pPr>
      <w:r>
        <w:rPr>
          <w:rFonts w:eastAsia="Times New Roman" w:cs="Arial"/>
          <w:b/>
          <w:bCs/>
          <w:color w:val="000000"/>
          <w:kern w:val="0"/>
          <w:sz w:val="24"/>
          <w:szCs w:val="24"/>
          <w:lang w:val="pt-BR" w:eastAsia="ar-SA" w:bidi="ar-SA"/>
        </w:rPr>
        <w:t>16.8.</w:t>
      </w:r>
      <w:r>
        <w:rPr>
          <w:rFonts w:eastAsia="Times New Roman" w:cs="Arial"/>
          <w:b w:val="0"/>
          <w:bCs w:val="0"/>
          <w:color w:val="000000"/>
          <w:kern w:val="0"/>
          <w:sz w:val="24"/>
          <w:szCs w:val="24"/>
          <w:lang w:val="pt-BR" w:eastAsia="ar-SA" w:bidi="ar-SA"/>
        </w:rPr>
        <w:t xml:space="preserve"> Emitir parecer sobre prorrogações de prazos, contendo os subsídios necessários e indispensáveis à tomada de decisões pela contratante.</w:t>
      </w:r>
    </w:p>
    <w:p w14:paraId="0A9C240C">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eastAsia="Times New Roman" w:cs="Arial"/>
          <w:b w:val="0"/>
          <w:bCs w:val="0"/>
          <w:color w:val="000000"/>
          <w:kern w:val="0"/>
          <w:sz w:val="24"/>
          <w:szCs w:val="24"/>
          <w:lang w:val="pt-BR" w:eastAsia="ar-SA" w:bidi="ar-SA"/>
        </w:rPr>
      </w:pPr>
    </w:p>
    <w:p w14:paraId="467AD243">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eastAsia="Times New Roman" w:cs="Arial"/>
          <w:b/>
          <w:bCs/>
          <w:color w:val="000000"/>
          <w:kern w:val="0"/>
          <w:sz w:val="24"/>
          <w:szCs w:val="24"/>
          <w:lang w:val="pt-BR" w:eastAsia="ar-SA" w:bidi="ar-SA"/>
        </w:rPr>
        <w:t>17. DA PUBLICAÇÃO:</w:t>
      </w:r>
    </w:p>
    <w:p w14:paraId="151EEB7E">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color w:val="000000"/>
          <w:sz w:val="24"/>
          <w:szCs w:val="24"/>
        </w:rPr>
      </w:pPr>
      <w:r>
        <w:rPr>
          <w:rFonts w:cs="Arial"/>
          <w:b/>
          <w:bCs/>
          <w:color w:val="000000"/>
          <w:sz w:val="24"/>
          <w:szCs w:val="24"/>
        </w:rPr>
        <w:t xml:space="preserve">17.1. </w:t>
      </w:r>
      <w:r>
        <w:rPr>
          <w:rFonts w:cs="Arial"/>
          <w:color w:val="000000"/>
          <w:sz w:val="24"/>
          <w:szCs w:val="24"/>
        </w:rPr>
        <w:t xml:space="preserve">Para eficácia do </w:t>
      </w:r>
      <w:r>
        <w:rPr>
          <w:rFonts w:eastAsia="Times New Roman" w:cs="Arial"/>
          <w:color w:val="000000"/>
          <w:kern w:val="0"/>
          <w:sz w:val="24"/>
          <w:szCs w:val="24"/>
          <w:lang w:val="pt-BR" w:eastAsia="ar-SA" w:bidi="ar-SA"/>
        </w:rPr>
        <w:t>contrato</w:t>
      </w:r>
      <w:r>
        <w:rPr>
          <w:rFonts w:cs="Arial"/>
          <w:color w:val="000000"/>
          <w:sz w:val="24"/>
          <w:szCs w:val="24"/>
        </w:rPr>
        <w:t>, a Câmara Municipal de Primavera do Leste providenciará a publicação do seu extrato no Diário Oficial do Município.</w:t>
      </w:r>
    </w:p>
    <w:p w14:paraId="7E701244">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color w:val="000000"/>
          <w:sz w:val="24"/>
          <w:szCs w:val="24"/>
          <w:lang w:val="pt-BR" w:eastAsia="ar-SA"/>
        </w:rPr>
      </w:pPr>
    </w:p>
    <w:p w14:paraId="2601F4AD">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eastAsia="Times New Roman" w:cs="Arial"/>
          <w:b/>
          <w:bCs/>
          <w:color w:val="000000"/>
          <w:kern w:val="0"/>
          <w:sz w:val="24"/>
          <w:szCs w:val="24"/>
          <w:lang w:val="pt-BR" w:eastAsia="ar-SA" w:bidi="ar-SA"/>
        </w:rPr>
        <w:t>18. DO FORO:</w:t>
      </w:r>
    </w:p>
    <w:p w14:paraId="3C0DDAC6">
      <w:pPr>
        <w:keepNext w:val="0"/>
        <w:keepLines w:val="0"/>
        <w:pageBreakBefore w:val="0"/>
        <w:widowControl w:val="0"/>
        <w:kinsoku/>
        <w:wordWrap/>
        <w:overflowPunct/>
        <w:topLinePunct w:val="0"/>
        <w:autoSpaceDE w:val="0"/>
        <w:autoSpaceDN/>
        <w:bidi w:val="0"/>
        <w:adjustRightInd/>
        <w:snapToGrid/>
        <w:spacing w:before="0" w:after="0" w:line="240" w:lineRule="auto"/>
        <w:jc w:val="both"/>
        <w:textAlignment w:val="auto"/>
        <w:rPr>
          <w:rFonts w:cs="Arial"/>
          <w:b/>
          <w:bCs/>
          <w:color w:val="000000"/>
          <w:sz w:val="24"/>
          <w:szCs w:val="24"/>
        </w:rPr>
      </w:pPr>
      <w:r>
        <w:rPr>
          <w:rFonts w:cs="Arial"/>
          <w:b/>
          <w:bCs/>
          <w:color w:val="000000"/>
          <w:sz w:val="24"/>
          <w:szCs w:val="24"/>
        </w:rPr>
        <w:t xml:space="preserve">18.1. </w:t>
      </w:r>
      <w:r>
        <w:rPr>
          <w:rFonts w:eastAsia="Times New Roman" w:cs="Arial"/>
          <w:color w:val="000000"/>
          <w:kern w:val="0"/>
          <w:sz w:val="24"/>
          <w:szCs w:val="24"/>
          <w:lang w:val="pt-BR" w:eastAsia="ar-SA" w:bidi="ar-SA"/>
        </w:rPr>
        <w:t>Será o</w:t>
      </w:r>
      <w:r>
        <w:rPr>
          <w:rFonts w:cs="Arial"/>
          <w:color w:val="000000"/>
          <w:sz w:val="24"/>
          <w:szCs w:val="24"/>
        </w:rPr>
        <w:t xml:space="preserve"> foro de Primavera do Leste-MT como competente para dirimir quaisquer questões oriundas do </w:t>
      </w:r>
      <w:r>
        <w:rPr>
          <w:rFonts w:eastAsia="Times New Roman" w:cs="Arial"/>
          <w:color w:val="000000"/>
          <w:kern w:val="0"/>
          <w:sz w:val="24"/>
          <w:szCs w:val="24"/>
          <w:lang w:val="pt-BR" w:eastAsia="ar-SA" w:bidi="ar-SA"/>
        </w:rPr>
        <w:t>contrato</w:t>
      </w:r>
      <w:r>
        <w:rPr>
          <w:rFonts w:cs="Arial"/>
          <w:color w:val="000000"/>
          <w:sz w:val="24"/>
          <w:szCs w:val="24"/>
        </w:rPr>
        <w:t>, inclusive os casos omissos, que não puderem ser resolvidos pela via administrativa, renunciando a qualquer outro, por mais privilegiado que seja.</w:t>
      </w:r>
    </w:p>
    <w:p w14:paraId="08540145">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center"/>
        <w:textAlignment w:val="auto"/>
        <w:rPr>
          <w:rFonts w:cs="Arial"/>
          <w:b/>
          <w:bCs/>
          <w:color w:val="000000"/>
          <w:sz w:val="24"/>
          <w:szCs w:val="24"/>
        </w:rPr>
      </w:pPr>
    </w:p>
    <w:p w14:paraId="73E0DBB3">
      <w:pPr>
        <w:pStyle w:val="216"/>
        <w:keepNext w:val="0"/>
        <w:keepLines w:val="0"/>
        <w:pageBreakBefore w:val="0"/>
        <w:widowControl w:val="0"/>
        <w:numPr>
          <w:ilvl w:val="0"/>
          <w:numId w:val="14"/>
        </w:numPr>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DOCUMENTAÇÃO EXIGIDA PARA HABILITAÇÃO</w:t>
      </w:r>
    </w:p>
    <w:p w14:paraId="425B257B">
      <w:pPr>
        <w:pStyle w:val="21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Chars="0" w:right="200" w:rightChars="0"/>
        <w:jc w:val="both"/>
        <w:textAlignment w:val="auto"/>
        <w:rPr>
          <w:rFonts w:cs="Arial"/>
          <w:b/>
          <w:bCs/>
          <w:color w:val="000000"/>
          <w:sz w:val="24"/>
          <w:szCs w:val="24"/>
        </w:rPr>
      </w:pPr>
    </w:p>
    <w:p w14:paraId="4EC596D9">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 xml:space="preserve">19.1 Habilitação jurídica: </w:t>
      </w:r>
    </w:p>
    <w:p w14:paraId="2DBEEDC8">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19.1.1</w:t>
      </w:r>
      <w:r>
        <w:rPr>
          <w:rFonts w:cs="Arial"/>
          <w:color w:val="000000"/>
          <w:sz w:val="24"/>
          <w:szCs w:val="24"/>
        </w:rPr>
        <w:t xml:space="preserve"> no caso de empresário individual, inscrição no Registro Público de Empresas Mercantis, a cargo da Junta Comercial da respectiva sede;</w:t>
      </w:r>
    </w:p>
    <w:p w14:paraId="68A0AA57">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19.1.2</w:t>
      </w:r>
      <w:r>
        <w:rPr>
          <w:rFonts w:cs="Arial"/>
          <w:color w:val="000000"/>
          <w:sz w:val="24"/>
          <w:szCs w:val="24"/>
        </w:rPr>
        <w:t xml:space="preserve"> Em se tratando de Microempreendedor Individual – MEI: Certificado da Condição de Microempreendedor Individual - CCMEI, cuja aceitação ficará condicionada à verificação da autenticidade no sítio www.portaldoempreendedor.gov.br;</w:t>
      </w:r>
    </w:p>
    <w:p w14:paraId="1C38C742">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19.1.3</w:t>
      </w:r>
      <w:r>
        <w:rPr>
          <w:rFonts w:cs="Arial"/>
          <w:color w:val="000000"/>
          <w:sz w:val="24"/>
          <w:szCs w:val="24"/>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5CB653">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19.1.4</w:t>
      </w:r>
      <w:r>
        <w:rPr>
          <w:rFonts w:cs="Arial"/>
          <w:color w:val="000000"/>
          <w:sz w:val="24"/>
          <w:szCs w:val="24"/>
        </w:rPr>
        <w:t xml:space="preserve"> inscrição no Registro Público de Empresas Mercantis onde opera, com averbação no Registro onde tem sede a matriz, no caso de ser o participante sucursal, filial ou agência;</w:t>
      </w:r>
    </w:p>
    <w:p w14:paraId="6B1DB199">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19.1.5</w:t>
      </w:r>
      <w:r>
        <w:rPr>
          <w:rFonts w:cs="Arial"/>
          <w:color w:val="000000"/>
          <w:sz w:val="24"/>
          <w:szCs w:val="24"/>
        </w:rPr>
        <w:t xml:space="preserve"> No caso de sociedade simples: inscrição do ato constitutivo no Registro Civil das Pessoas Jurídicas do local de sua sede, acompanhada de prova da indicação dos seus administradores;</w:t>
      </w:r>
    </w:p>
    <w:p w14:paraId="7B666667">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 xml:space="preserve">19.1.6 </w:t>
      </w:r>
      <w:r>
        <w:rPr>
          <w:rFonts w:cs="Arial"/>
          <w:b w:val="0"/>
          <w:bCs w:val="0"/>
          <w:color w:val="000000"/>
          <w:sz w:val="24"/>
          <w:szCs w:val="24"/>
        </w:rPr>
        <w:t>D</w:t>
      </w:r>
      <w:r>
        <w:rPr>
          <w:rFonts w:cs="Arial"/>
          <w:color w:val="000000"/>
          <w:sz w:val="24"/>
          <w:szCs w:val="24"/>
        </w:rPr>
        <w:t>ecreto de autorização, em se tratando de sociedade empresária estrangeira em funcionamento no País;</w:t>
      </w:r>
    </w:p>
    <w:p w14:paraId="678E4AEA">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19.1.7</w:t>
      </w:r>
      <w:r>
        <w:rPr>
          <w:rFonts w:cs="Arial"/>
          <w:color w:val="000000"/>
          <w:sz w:val="24"/>
          <w:szCs w:val="24"/>
        </w:rPr>
        <w:t xml:space="preserve">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893043F">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color w:val="000000"/>
          <w:sz w:val="24"/>
          <w:szCs w:val="24"/>
        </w:rPr>
      </w:pPr>
      <w:r>
        <w:rPr>
          <w:rFonts w:cs="Arial"/>
          <w:b/>
          <w:bCs/>
          <w:color w:val="000000"/>
          <w:sz w:val="24"/>
          <w:szCs w:val="24"/>
        </w:rPr>
        <w:t>19.1.8</w:t>
      </w:r>
      <w:r>
        <w:rPr>
          <w:rFonts w:cs="Arial"/>
          <w:color w:val="000000"/>
          <w:sz w:val="24"/>
          <w:szCs w:val="24"/>
        </w:rPr>
        <w:t xml:space="preserve"> Os documentos acima deverão estar acompanhados de todas as alterações ou da consolidação respectiva.</w:t>
      </w:r>
    </w:p>
    <w:p w14:paraId="3BC27B43">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color w:val="000000"/>
          <w:sz w:val="24"/>
          <w:szCs w:val="24"/>
        </w:rPr>
      </w:pPr>
    </w:p>
    <w:p w14:paraId="3527932F">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19.2 Regularidade fiscal, social e trabalhista:</w:t>
      </w:r>
    </w:p>
    <w:p w14:paraId="73D27693">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19.2.1</w:t>
      </w:r>
      <w:r>
        <w:rPr>
          <w:rFonts w:cs="Arial"/>
          <w:color w:val="000000"/>
          <w:sz w:val="24"/>
          <w:szCs w:val="24"/>
        </w:rPr>
        <w:t xml:space="preserve"> prova de inscrição no Cadastro Nacional de Pessoas Jurídicas ou no Cadastro de Pessoas Físicas, conforme o caso;</w:t>
      </w:r>
    </w:p>
    <w:p w14:paraId="5FCC3AE9">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19.2.2</w:t>
      </w:r>
      <w:r>
        <w:rPr>
          <w:rFonts w:cs="Arial"/>
          <w:color w:val="000000"/>
          <w:sz w:val="24"/>
          <w:szCs w:val="24"/>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5FCD52A">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19.2.3</w:t>
      </w:r>
      <w:r>
        <w:rPr>
          <w:rFonts w:cs="Arial"/>
          <w:color w:val="000000"/>
          <w:sz w:val="24"/>
          <w:szCs w:val="24"/>
        </w:rPr>
        <w:t xml:space="preserve"> prova de regularidade com o Fundo de Garantia do Tempo de Serviço (FGTS);</w:t>
      </w:r>
    </w:p>
    <w:p w14:paraId="5D595576">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 xml:space="preserve">19.2.4 </w:t>
      </w:r>
      <w:r>
        <w:rPr>
          <w:rFonts w:cs="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E419240">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19.2.5</w:t>
      </w:r>
      <w:r>
        <w:rPr>
          <w:rFonts w:cs="Arial"/>
          <w:color w:val="000000"/>
          <w:sz w:val="24"/>
          <w:szCs w:val="24"/>
        </w:rPr>
        <w:t xml:space="preserve"> prova de inscrição no cadastro de contribuintes estadual e municipal, relativo ao domicílio ou sede do fornecedor, pertinente ao seu ramo de atividade e compatível com o objeto contratual; </w:t>
      </w:r>
    </w:p>
    <w:p w14:paraId="70BB31CE">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19.2.6</w:t>
      </w:r>
      <w:r>
        <w:rPr>
          <w:rFonts w:cs="Arial"/>
          <w:color w:val="000000"/>
          <w:sz w:val="24"/>
          <w:szCs w:val="24"/>
        </w:rPr>
        <w:t xml:space="preserve"> prova de regularidade com a Fazenda Estadual e Municipal do domicílio ou sede do fornecedor, relativa à atividade em cujo exercício contrata ou concorre; </w:t>
      </w:r>
    </w:p>
    <w:p w14:paraId="58E4204D">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color w:val="000000"/>
          <w:sz w:val="24"/>
          <w:szCs w:val="24"/>
        </w:rPr>
      </w:pPr>
      <w:r>
        <w:rPr>
          <w:rFonts w:cs="Arial"/>
          <w:b/>
          <w:bCs/>
          <w:color w:val="000000"/>
          <w:sz w:val="24"/>
          <w:szCs w:val="24"/>
        </w:rPr>
        <w:t>19.2.7</w:t>
      </w:r>
      <w:r>
        <w:rPr>
          <w:rFonts w:cs="Arial"/>
          <w:color w:val="000000"/>
          <w:sz w:val="24"/>
          <w:szCs w:val="24"/>
        </w:rPr>
        <w:t xml:space="preserve"> caso o fornecedor seja considerado isento dos tributos estaduais e municipais relacionados ao objeto contratual, deverá comprovar tal condição mediante a apresentação de declaração da Fazenda respectiva do seu domicílio ou sede, ou outra equivalente, na forma da lei; </w:t>
      </w:r>
    </w:p>
    <w:p w14:paraId="7FD9A80A">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color w:val="000000"/>
          <w:sz w:val="24"/>
          <w:szCs w:val="24"/>
        </w:rPr>
      </w:pPr>
    </w:p>
    <w:p w14:paraId="3122FA46">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color w:val="000000"/>
          <w:sz w:val="24"/>
          <w:szCs w:val="24"/>
        </w:rPr>
      </w:pPr>
    </w:p>
    <w:p w14:paraId="32883083">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color w:val="000000"/>
          <w:sz w:val="24"/>
          <w:szCs w:val="24"/>
        </w:rPr>
      </w:pPr>
    </w:p>
    <w:p w14:paraId="1BFB0D58">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rFonts w:cs="Arial"/>
          <w:b/>
          <w:bCs/>
          <w:color w:val="000000"/>
          <w:sz w:val="24"/>
          <w:szCs w:val="24"/>
        </w:rPr>
      </w:pPr>
      <w:r>
        <w:rPr>
          <w:rFonts w:cs="Arial"/>
          <w:b/>
          <w:bCs/>
          <w:color w:val="000000"/>
          <w:sz w:val="24"/>
          <w:szCs w:val="24"/>
        </w:rPr>
        <w:t>19.3 Regularidade técnica:</w:t>
      </w:r>
    </w:p>
    <w:p w14:paraId="2EEB4DB1">
      <w:pPr>
        <w:pStyle w:val="50"/>
        <w:keepNext w:val="0"/>
        <w:keepLines w:val="0"/>
        <w:pageBreakBefore w:val="0"/>
        <w:numPr>
          <w:ilvl w:val="0"/>
          <w:numId w:val="0"/>
        </w:numPr>
        <w:tabs>
          <w:tab w:val="left" w:pos="1134"/>
        </w:tabs>
        <w:kinsoku/>
        <w:wordWrap/>
        <w:overflowPunct/>
        <w:topLinePunct w:val="0"/>
        <w:autoSpaceDE/>
        <w:autoSpaceDN/>
        <w:bidi w:val="0"/>
        <w:adjustRightInd/>
        <w:snapToGrid/>
        <w:spacing w:before="0" w:beforeAutospacing="0" w:after="0" w:afterAutospacing="0" w:line="240" w:lineRule="auto"/>
        <w:ind w:left="240" w:leftChars="0" w:right="0" w:hanging="240" w:hangingChars="100"/>
        <w:jc w:val="both"/>
        <w:textAlignment w:val="baseline"/>
        <w:rPr>
          <w:rFonts w:ascii="Times New Roman" w:hAnsi="Times New Roman"/>
          <w:color w:val="auto"/>
          <w:sz w:val="24"/>
          <w:szCs w:val="24"/>
        </w:rPr>
      </w:pPr>
      <w:r>
        <w:rPr>
          <w:rFonts w:cs="Arial"/>
          <w:b/>
          <w:bCs/>
          <w:color w:val="000000"/>
          <w:sz w:val="24"/>
          <w:szCs w:val="24"/>
        </w:rPr>
        <w:t>19.3.1</w:t>
      </w:r>
      <w:r>
        <w:rPr>
          <w:rFonts w:cs="Arial"/>
          <w:color w:val="000000"/>
          <w:sz w:val="24"/>
          <w:szCs w:val="24"/>
        </w:rPr>
        <w:t xml:space="preserve"> </w:t>
      </w:r>
      <w:r>
        <w:rPr>
          <w:rFonts w:hint="default" w:cs="Arial"/>
          <w:color w:val="auto"/>
          <w:sz w:val="24"/>
          <w:szCs w:val="24"/>
          <w:lang w:val="pt-BR"/>
        </w:rPr>
        <w:t>Conforme devidamente justificado no ETP, a</w:t>
      </w:r>
      <w:r>
        <w:rPr>
          <w:color w:val="auto"/>
          <w:sz w:val="24"/>
          <w:szCs w:val="24"/>
        </w:rPr>
        <w:t xml:space="preserve"> documentação relativa à qualificação </w:t>
      </w:r>
      <w:r>
        <w:rPr>
          <w:rFonts w:hint="default"/>
          <w:color w:val="auto"/>
          <w:sz w:val="24"/>
          <w:szCs w:val="24"/>
          <w:lang w:val="pt-BR"/>
        </w:rPr>
        <w:t>técnico-operacional</w:t>
      </w:r>
      <w:r>
        <w:rPr>
          <w:color w:val="auto"/>
          <w:sz w:val="24"/>
          <w:szCs w:val="24"/>
        </w:rPr>
        <w:t xml:space="preserve"> consistirá em apresentar as seguintes comprovações:</w:t>
      </w:r>
    </w:p>
    <w:p w14:paraId="30F18C04">
      <w:pPr>
        <w:pStyle w:val="50"/>
        <w:keepNext w:val="0"/>
        <w:keepLines w:val="0"/>
        <w:pageBreakBefore w:val="0"/>
        <w:numPr>
          <w:ilvl w:val="2"/>
          <w:numId w:val="10"/>
        </w:numPr>
        <w:kinsoku/>
        <w:wordWrap/>
        <w:overflowPunct/>
        <w:topLinePunct w:val="0"/>
        <w:autoSpaceDE/>
        <w:autoSpaceDN/>
        <w:bidi w:val="0"/>
        <w:adjustRightInd/>
        <w:snapToGrid/>
        <w:spacing w:before="0" w:beforeAutospacing="0" w:after="0" w:afterAutospacing="0" w:line="240" w:lineRule="auto"/>
        <w:ind w:left="240" w:leftChars="0" w:right="0" w:hanging="240" w:hangingChars="1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Prova de Registro ou Inscrição da licitante </w:t>
      </w:r>
      <w:r>
        <w:rPr>
          <w:rFonts w:hint="default" w:ascii="Times New Roman" w:hAnsi="Times New Roman" w:cs="Times New Roman"/>
          <w:color w:val="auto"/>
          <w:sz w:val="24"/>
          <w:szCs w:val="24"/>
          <w:lang w:val="pt-BR"/>
        </w:rPr>
        <w:t xml:space="preserve">em Conselho </w:t>
      </w:r>
      <w:r>
        <w:rPr>
          <w:rFonts w:hint="default" w:ascii="Times New Roman" w:hAnsi="Times New Roman" w:cs="Times New Roman"/>
          <w:color w:val="auto"/>
          <w:sz w:val="24"/>
          <w:szCs w:val="24"/>
        </w:rPr>
        <w:t>da região da sede da empresa</w:t>
      </w:r>
      <w:r>
        <w:rPr>
          <w:rFonts w:hint="default" w:ascii="Times New Roman" w:hAnsi="Times New Roman" w:cs="Times New Roman"/>
          <w:color w:val="auto"/>
          <w:sz w:val="24"/>
          <w:szCs w:val="24"/>
          <w:lang w:val="pt-BR"/>
        </w:rPr>
        <w:t xml:space="preserve"> coerente com os itens deste Certame</w:t>
      </w:r>
      <w:r>
        <w:rPr>
          <w:rFonts w:hint="default" w:ascii="Times New Roman" w:hAnsi="Times New Roman" w:cs="Times New Roman"/>
          <w:color w:val="auto"/>
          <w:sz w:val="24"/>
          <w:szCs w:val="24"/>
        </w:rPr>
        <w:t>;</w:t>
      </w:r>
    </w:p>
    <w:p w14:paraId="49F9E2A2">
      <w:pPr>
        <w:pStyle w:val="50"/>
        <w:keepNext w:val="0"/>
        <w:keepLines w:val="0"/>
        <w:pageBreakBefore w:val="0"/>
        <w:numPr>
          <w:ilvl w:val="2"/>
          <w:numId w:val="10"/>
        </w:numPr>
        <w:kinsoku/>
        <w:wordWrap/>
        <w:overflowPunct/>
        <w:topLinePunct w:val="0"/>
        <w:autoSpaceDE/>
        <w:autoSpaceDN/>
        <w:bidi w:val="0"/>
        <w:adjustRightInd/>
        <w:snapToGrid/>
        <w:spacing w:before="0" w:beforeAutospacing="0" w:after="0" w:afterAutospacing="0" w:line="240" w:lineRule="auto"/>
        <w:ind w:left="240" w:leftChars="0" w:right="0" w:hanging="240" w:hangingChars="1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Prova de Registro ou Inscrição do Responsável Técnico </w:t>
      </w:r>
      <w:r>
        <w:rPr>
          <w:rFonts w:hint="default" w:ascii="Times New Roman" w:hAnsi="Times New Roman" w:cs="Times New Roman"/>
          <w:color w:val="auto"/>
          <w:sz w:val="24"/>
          <w:szCs w:val="24"/>
          <w:lang w:val="pt-BR"/>
        </w:rPr>
        <w:t>em Conselho coerente com os itens deste Certame</w:t>
      </w:r>
      <w:r>
        <w:rPr>
          <w:rFonts w:hint="default" w:ascii="Times New Roman" w:hAnsi="Times New Roman" w:cs="Times New Roman"/>
          <w:color w:val="auto"/>
          <w:sz w:val="24"/>
          <w:szCs w:val="24"/>
        </w:rPr>
        <w:t>, sendo vedada a indicação de um mesmo responsável técnico para mais de uma licitante, sendo que a inobservância dessa condição inabilitará as licitantes envolvidas;</w:t>
      </w:r>
    </w:p>
    <w:p w14:paraId="125D56C1">
      <w:pPr>
        <w:pStyle w:val="50"/>
        <w:keepNext w:val="0"/>
        <w:keepLines w:val="0"/>
        <w:pageBreakBefore w:val="0"/>
        <w:numPr>
          <w:ilvl w:val="2"/>
          <w:numId w:val="10"/>
        </w:numPr>
        <w:kinsoku/>
        <w:wordWrap/>
        <w:overflowPunct/>
        <w:topLinePunct w:val="0"/>
        <w:autoSpaceDE/>
        <w:autoSpaceDN/>
        <w:bidi w:val="0"/>
        <w:adjustRightInd/>
        <w:snapToGrid/>
        <w:spacing w:before="0" w:beforeAutospacing="0" w:after="0" w:afterAutospacing="0" w:line="240" w:lineRule="auto"/>
        <w:ind w:left="240" w:leftChars="0" w:right="0" w:hanging="240" w:hangingChars="1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Prova de vínculo do Responsável Técnico com a empresa licitante. A comprovação pode ser feita da seguinte forma:</w:t>
      </w:r>
    </w:p>
    <w:p w14:paraId="3585062B">
      <w:pPr>
        <w:pStyle w:val="50"/>
        <w:keepNext w:val="0"/>
        <w:keepLines w:val="0"/>
        <w:pageBreakBefore w:val="0"/>
        <w:numPr>
          <w:ilvl w:val="3"/>
          <w:numId w:val="10"/>
        </w:numPr>
        <w:kinsoku/>
        <w:wordWrap/>
        <w:overflowPunct/>
        <w:topLinePunct w:val="0"/>
        <w:autoSpaceDE/>
        <w:autoSpaceDN/>
        <w:bidi w:val="0"/>
        <w:adjustRightInd/>
        <w:snapToGrid/>
        <w:spacing w:before="0" w:beforeAutospacing="0" w:after="0" w:afterAutospacing="0" w:line="240" w:lineRule="auto"/>
        <w:ind w:left="460" w:leftChars="100" w:right="0" w:hanging="240" w:hangingChars="1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Apresentação do contrato social, quando o responsável técnico pertencer ao quadro societário da empresa;</w:t>
      </w:r>
    </w:p>
    <w:p w14:paraId="2179727C">
      <w:pPr>
        <w:pStyle w:val="50"/>
        <w:keepNext w:val="0"/>
        <w:keepLines w:val="0"/>
        <w:pageBreakBefore w:val="0"/>
        <w:numPr>
          <w:ilvl w:val="3"/>
          <w:numId w:val="10"/>
        </w:numPr>
        <w:kinsoku/>
        <w:wordWrap/>
        <w:overflowPunct/>
        <w:topLinePunct w:val="0"/>
        <w:autoSpaceDE/>
        <w:autoSpaceDN/>
        <w:bidi w:val="0"/>
        <w:adjustRightInd/>
        <w:snapToGrid/>
        <w:spacing w:before="0" w:beforeAutospacing="0" w:after="0" w:afterAutospacing="0" w:line="240" w:lineRule="auto"/>
        <w:ind w:left="460" w:leftChars="100" w:right="0" w:hanging="240" w:hangingChars="1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Apresentação de cópia da CTPS do responsável técnico com a devida anotação de emprego na licitante, ou outro documento trabalhista legalmente reconhecido que comprove o emprego na licitante;</w:t>
      </w:r>
    </w:p>
    <w:p w14:paraId="0730601F">
      <w:pPr>
        <w:pStyle w:val="50"/>
        <w:keepNext w:val="0"/>
        <w:keepLines w:val="0"/>
        <w:pageBreakBefore w:val="0"/>
        <w:numPr>
          <w:ilvl w:val="3"/>
          <w:numId w:val="10"/>
        </w:numPr>
        <w:kinsoku/>
        <w:wordWrap/>
        <w:overflowPunct/>
        <w:topLinePunct w:val="0"/>
        <w:autoSpaceDE/>
        <w:autoSpaceDN/>
        <w:bidi w:val="0"/>
        <w:adjustRightInd/>
        <w:snapToGrid/>
        <w:spacing w:before="0" w:beforeAutospacing="0" w:after="0" w:afterAutospacing="0" w:line="240" w:lineRule="auto"/>
        <w:ind w:left="460" w:leftChars="100" w:right="0" w:hanging="240" w:hangingChars="1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Apresentação do Contrato de natureza privada, que comprove o vínculo entre o responsável técnico e a licitantes.</w:t>
      </w:r>
    </w:p>
    <w:p w14:paraId="4D72F323">
      <w:pPr>
        <w:pStyle w:val="50"/>
        <w:keepNext w:val="0"/>
        <w:keepLines w:val="0"/>
        <w:pageBreakBefore w:val="0"/>
        <w:numPr>
          <w:ilvl w:val="2"/>
          <w:numId w:val="10"/>
        </w:numPr>
        <w:kinsoku/>
        <w:wordWrap/>
        <w:overflowPunct/>
        <w:topLinePunct w:val="0"/>
        <w:autoSpaceDE/>
        <w:autoSpaceDN/>
        <w:bidi w:val="0"/>
        <w:adjustRightInd/>
        <w:snapToGrid/>
        <w:spacing w:before="0" w:beforeAutospacing="0" w:after="0" w:afterAutospacing="0" w:line="240" w:lineRule="auto"/>
        <w:ind w:left="240" w:leftChars="0" w:right="0" w:hanging="240" w:hangingChars="100"/>
        <w:jc w:val="both"/>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Comprovação de capacidade técnico-profissional, por meio de certidões ou atestado(s) regularmente emitidos </w:t>
      </w:r>
      <w:r>
        <w:rPr>
          <w:rFonts w:hint="default" w:ascii="Times New Roman" w:hAnsi="Times New Roman" w:cs="Times New Roman"/>
          <w:color w:val="auto"/>
          <w:sz w:val="24"/>
          <w:szCs w:val="24"/>
          <w:highlight w:val="none"/>
          <w:lang w:val="pt-BR"/>
        </w:rPr>
        <w:t>por</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lang w:val="pt-BR"/>
        </w:rPr>
        <w:t>Conselho coerente com os itens deste Certame</w:t>
      </w:r>
      <w:r>
        <w:rPr>
          <w:rFonts w:hint="default" w:ascii="Times New Roman" w:hAnsi="Times New Roman" w:cs="Times New Roman"/>
          <w:color w:val="auto"/>
          <w:sz w:val="24"/>
          <w:szCs w:val="24"/>
          <w:highlight w:val="none"/>
        </w:rPr>
        <w:t>, acompanhado</w:t>
      </w:r>
      <w:r>
        <w:rPr>
          <w:rFonts w:hint="default" w:ascii="Times New Roman" w:hAnsi="Times New Roman" w:cs="Times New Roman"/>
          <w:color w:val="auto"/>
          <w:sz w:val="24"/>
          <w:szCs w:val="24"/>
          <w:highlight w:val="none"/>
          <w:lang w:val="pt-BR"/>
        </w:rPr>
        <w:t>(s)</w:t>
      </w:r>
      <w:r>
        <w:rPr>
          <w:rFonts w:hint="default" w:ascii="Times New Roman" w:hAnsi="Times New Roman" w:cs="Times New Roman"/>
          <w:color w:val="auto"/>
          <w:sz w:val="24"/>
          <w:szCs w:val="24"/>
          <w:highlight w:val="none"/>
        </w:rPr>
        <w:t xml:space="preserve"> de Certidão de Acervo Técnico - CAT, comprovando que o(s) Responsável(is) Técnico(s)</w:t>
      </w:r>
      <w:r>
        <w:rPr>
          <w:rFonts w:hint="default" w:ascii="Times New Roman" w:hAnsi="Times New Roman" w:cs="Times New Roman"/>
          <w:color w:val="auto"/>
          <w:sz w:val="24"/>
          <w:szCs w:val="24"/>
          <w:highlight w:val="none"/>
          <w:lang w:val="pt-BR"/>
        </w:rPr>
        <w:t xml:space="preserve"> ou a Licitante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pt-BR"/>
        </w:rPr>
        <w:t>elaborou</w:t>
      </w:r>
      <w:r>
        <w:rPr>
          <w:rFonts w:hint="default" w:ascii="Times New Roman" w:hAnsi="Times New Roman" w:cs="Times New Roman"/>
          <w:color w:val="auto"/>
          <w:sz w:val="24"/>
          <w:szCs w:val="24"/>
          <w:highlight w:val="none"/>
        </w:rPr>
        <w:t xml:space="preserve">(aram) projeto(s) com característica(s) similar/semelhante ao objeto ora licitado, </w:t>
      </w:r>
      <w:r>
        <w:rPr>
          <w:rFonts w:hint="default" w:ascii="Times New Roman" w:hAnsi="Times New Roman" w:cs="Times New Roman"/>
          <w:b/>
          <w:bCs/>
          <w:color w:val="auto"/>
          <w:sz w:val="24"/>
          <w:szCs w:val="24"/>
          <w:highlight w:val="none"/>
        </w:rPr>
        <w:t>em montante mínimo de 50% (cinquenta por cento) da quantidade descrita no</w:t>
      </w:r>
      <w:r>
        <w:rPr>
          <w:rFonts w:hint="default" w:cs="Times New Roman"/>
          <w:b/>
          <w:bCs/>
          <w:color w:val="auto"/>
          <w:sz w:val="24"/>
          <w:szCs w:val="24"/>
          <w:highlight w:val="none"/>
          <w:lang w:val="pt-BR"/>
        </w:rPr>
        <w:t xml:space="preserve"> objeto</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color w:val="auto"/>
          <w:sz w:val="24"/>
          <w:szCs w:val="24"/>
          <w:highlight w:val="none"/>
          <w:lang w:val="pt-BR"/>
        </w:rPr>
        <w:t>não sendo aceita a somatória de documentos distintos.</w:t>
      </w:r>
    </w:p>
    <w:p w14:paraId="6C06AAF1">
      <w:pPr>
        <w:pStyle w:val="181"/>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ind w:left="240" w:leftChars="0" w:right="0" w:hanging="240" w:hangingChars="100"/>
        <w:jc w:val="both"/>
        <w:rPr>
          <w:rFonts w:ascii="Times New Roman" w:hAnsi="Times New Roman" w:eastAsia="Calibri" w:cs="Times New Roman"/>
          <w:color w:val="auto"/>
          <w:sz w:val="24"/>
          <w:szCs w:val="24"/>
          <w:shd w:val="clear" w:color="auto" w:fill="auto"/>
        </w:rPr>
      </w:pPr>
      <w:r>
        <w:rPr>
          <w:rFonts w:hint="default" w:ascii="Times New Roman" w:hAnsi="Times New Roman" w:cs="Times New Roman"/>
          <w:b/>
          <w:bCs/>
          <w:color w:val="auto"/>
          <w:sz w:val="24"/>
          <w:szCs w:val="24"/>
          <w:shd w:val="clear" w:color="auto" w:fill="auto"/>
          <w:lang w:val="pt-BR"/>
        </w:rPr>
        <w:t>e</w:t>
      </w:r>
      <w:r>
        <w:rPr>
          <w:rFonts w:ascii="Times New Roman" w:hAnsi="Times New Roman" w:eastAsia="Calibri" w:cs="Times New Roman"/>
          <w:b/>
          <w:bCs/>
          <w:color w:val="auto"/>
          <w:sz w:val="24"/>
          <w:szCs w:val="24"/>
          <w:shd w:val="clear" w:color="auto" w:fill="auto"/>
        </w:rPr>
        <w:t xml:space="preserve">) </w:t>
      </w:r>
      <w:r>
        <w:rPr>
          <w:rFonts w:ascii="Times New Roman" w:hAnsi="Times New Roman" w:eastAsia="Calibri" w:cs="Times New Roman"/>
          <w:color w:val="auto"/>
          <w:sz w:val="24"/>
          <w:szCs w:val="24"/>
          <w:shd w:val="clear" w:color="auto" w:fill="auto"/>
        </w:rPr>
        <w:t xml:space="preserve">A Câmara de Primavera do Leste para comprovar a veracidade dos atestados, poderá </w:t>
      </w:r>
      <w:r>
        <w:rPr>
          <w:rFonts w:hint="default" w:ascii="Times New Roman" w:hAnsi="Times New Roman" w:cs="Times New Roman"/>
          <w:color w:val="auto"/>
          <w:sz w:val="24"/>
          <w:szCs w:val="24"/>
          <w:shd w:val="clear" w:color="auto" w:fill="auto"/>
          <w:lang w:val="pt-BR"/>
        </w:rPr>
        <w:t xml:space="preserve">diligenciar e até mesmo </w:t>
      </w:r>
      <w:r>
        <w:rPr>
          <w:rFonts w:ascii="Times New Roman" w:hAnsi="Times New Roman" w:eastAsia="Calibri" w:cs="Times New Roman"/>
          <w:color w:val="auto"/>
          <w:sz w:val="24"/>
          <w:szCs w:val="24"/>
          <w:shd w:val="clear" w:color="auto" w:fill="auto"/>
        </w:rPr>
        <w:t>requisitar cópias dos respectivos contratos</w:t>
      </w:r>
      <w:r>
        <w:rPr>
          <w:rFonts w:hint="default" w:ascii="Times New Roman" w:hAnsi="Times New Roman" w:cs="Times New Roman"/>
          <w:color w:val="auto"/>
          <w:sz w:val="24"/>
          <w:szCs w:val="24"/>
          <w:shd w:val="clear" w:color="auto" w:fill="auto"/>
          <w:lang w:val="pt-BR"/>
        </w:rPr>
        <w:t>,</w:t>
      </w:r>
      <w:r>
        <w:rPr>
          <w:rFonts w:ascii="Times New Roman" w:hAnsi="Times New Roman" w:eastAsia="Calibri" w:cs="Times New Roman"/>
          <w:color w:val="auto"/>
          <w:sz w:val="24"/>
          <w:szCs w:val="24"/>
          <w:shd w:val="clear" w:color="auto" w:fill="auto"/>
        </w:rPr>
        <w:t xml:space="preserve"> aditivos e/ou outros documentos comprobatórios do conteúdo declarado.</w:t>
      </w:r>
    </w:p>
    <w:p w14:paraId="705B1F51">
      <w:pPr>
        <w:pStyle w:val="181"/>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ind w:left="240" w:leftChars="0" w:right="0" w:hanging="240" w:hangingChars="100"/>
        <w:jc w:val="both"/>
        <w:rPr>
          <w:rFonts w:ascii="Times New Roman" w:hAnsi="Times New Roman" w:eastAsia="Calibri" w:cs="Times New Roman"/>
          <w:color w:val="auto"/>
          <w:sz w:val="24"/>
          <w:szCs w:val="24"/>
          <w:shd w:val="clear" w:color="auto" w:fill="auto"/>
        </w:rPr>
      </w:pPr>
    </w:p>
    <w:p w14:paraId="7606CEE1">
      <w:pPr>
        <w:pStyle w:val="181"/>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default" w:ascii="Times New Roman" w:hAnsi="Times New Roman" w:eastAsia="Calibri" w:cs="Times New Roman"/>
          <w:b/>
          <w:bCs/>
          <w:color w:val="auto"/>
          <w:sz w:val="24"/>
          <w:szCs w:val="24"/>
          <w:shd w:val="clear" w:color="auto" w:fill="auto"/>
          <w:lang w:val="pt-BR"/>
        </w:rPr>
      </w:pPr>
      <w:r>
        <w:rPr>
          <w:rFonts w:hint="default" w:ascii="Times New Roman" w:hAnsi="Times New Roman" w:eastAsia="Calibri" w:cs="Times New Roman"/>
          <w:b/>
          <w:bCs/>
          <w:color w:val="auto"/>
          <w:sz w:val="24"/>
          <w:szCs w:val="24"/>
          <w:shd w:val="clear" w:color="auto" w:fill="auto"/>
          <w:lang w:val="pt-BR"/>
        </w:rPr>
        <w:t>19.4 Regularidade Econômico-financeira:</w:t>
      </w:r>
    </w:p>
    <w:p w14:paraId="07C5B1CC">
      <w:pPr>
        <w:pStyle w:val="181"/>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default" w:ascii="Times New Roman" w:hAnsi="Times New Roman" w:eastAsia="Calibri" w:cs="Times New Roman"/>
          <w:color w:val="auto"/>
          <w:sz w:val="24"/>
          <w:szCs w:val="24"/>
          <w:shd w:val="clear" w:color="auto" w:fill="auto"/>
          <w:lang w:val="pt-BR"/>
        </w:rPr>
      </w:pPr>
      <w:r>
        <w:rPr>
          <w:rFonts w:hint="default" w:ascii="Times New Roman" w:hAnsi="Times New Roman" w:eastAsia="Calibri" w:cs="Times New Roman"/>
          <w:b/>
          <w:bCs/>
          <w:color w:val="auto"/>
          <w:sz w:val="24"/>
          <w:szCs w:val="24"/>
          <w:shd w:val="clear" w:color="auto" w:fill="auto"/>
          <w:lang w:val="pt-BR"/>
        </w:rPr>
        <w:t xml:space="preserve">19.4.1 </w:t>
      </w:r>
      <w:r>
        <w:rPr>
          <w:rFonts w:hint="default" w:ascii="Times New Roman" w:hAnsi="Times New Roman" w:eastAsia="Calibri" w:cs="Times New Roman"/>
          <w:color w:val="auto"/>
          <w:sz w:val="24"/>
          <w:szCs w:val="24"/>
          <w:shd w:val="clear" w:color="auto" w:fill="auto"/>
          <w:lang w:val="pt-BR"/>
        </w:rPr>
        <w:t xml:space="preserve">Balanço Patrimonial, demonstração de resultado de exercício e demais demonstrações contábeis dos 2 (dois) últimos exercícios sociais </w:t>
      </w:r>
      <w:r>
        <w:rPr>
          <w:rFonts w:hint="default" w:cs="Arial"/>
          <w:color w:val="auto"/>
          <w:sz w:val="24"/>
          <w:szCs w:val="24"/>
          <w:lang w:val="pt-BR"/>
        </w:rPr>
        <w:t>conforme devidamente justificado no ETP</w:t>
      </w:r>
      <w:r>
        <w:rPr>
          <w:rFonts w:hint="default" w:ascii="Times New Roman" w:hAnsi="Times New Roman" w:eastAsia="Calibri" w:cs="Times New Roman"/>
          <w:color w:val="auto"/>
          <w:sz w:val="24"/>
          <w:szCs w:val="24"/>
          <w:shd w:val="clear" w:color="auto" w:fill="auto"/>
          <w:lang w:val="pt-BR"/>
        </w:rPr>
        <w:t>.</w:t>
      </w:r>
    </w:p>
    <w:p w14:paraId="2D0A68BF">
      <w:pPr>
        <w:pStyle w:val="181"/>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default" w:ascii="Times New Roman" w:hAnsi="Times New Roman" w:eastAsia="Calibri" w:cs="Times New Roman"/>
          <w:color w:val="auto"/>
          <w:sz w:val="24"/>
          <w:szCs w:val="24"/>
          <w:shd w:val="clear" w:color="auto" w:fill="auto"/>
          <w:lang w:val="pt-BR"/>
        </w:rPr>
      </w:pPr>
      <w:r>
        <w:rPr>
          <w:rFonts w:hint="default" w:ascii="Times New Roman" w:hAnsi="Times New Roman" w:eastAsia="Calibri" w:cs="Times New Roman"/>
          <w:b/>
          <w:bCs/>
          <w:color w:val="auto"/>
          <w:sz w:val="24"/>
          <w:szCs w:val="24"/>
          <w:shd w:val="clear" w:color="auto" w:fill="auto"/>
          <w:lang w:val="pt-BR"/>
        </w:rPr>
        <w:t xml:space="preserve">19.4.2 </w:t>
      </w:r>
      <w:r>
        <w:rPr>
          <w:rFonts w:hint="default" w:ascii="Times New Roman" w:hAnsi="Times New Roman" w:eastAsia="Calibri" w:cs="Times New Roman"/>
          <w:color w:val="auto"/>
          <w:sz w:val="24"/>
          <w:szCs w:val="24"/>
          <w:shd w:val="clear" w:color="auto" w:fill="auto"/>
          <w:lang w:val="pt-BR"/>
        </w:rPr>
        <w:t>Certidão Negativa de Feitos sobre Falência expedida pelo distribuidor da sede do licitante.</w:t>
      </w:r>
    </w:p>
    <w:p w14:paraId="252DCC38">
      <w:pPr>
        <w:pStyle w:val="181"/>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default" w:ascii="Times New Roman" w:hAnsi="Times New Roman" w:eastAsia="Calibri" w:cs="Times New Roman"/>
          <w:b w:val="0"/>
          <w:bCs w:val="0"/>
          <w:color w:val="auto"/>
          <w:sz w:val="24"/>
          <w:szCs w:val="24"/>
          <w:shd w:val="clear" w:color="auto" w:fill="auto"/>
          <w:lang w:val="pt-BR"/>
        </w:rPr>
      </w:pPr>
      <w:r>
        <w:rPr>
          <w:rFonts w:hint="default" w:ascii="Times New Roman" w:hAnsi="Times New Roman" w:eastAsia="Calibri" w:cs="Times New Roman"/>
          <w:b/>
          <w:bCs/>
          <w:color w:val="auto"/>
          <w:sz w:val="24"/>
          <w:szCs w:val="24"/>
          <w:shd w:val="clear" w:color="auto" w:fill="auto"/>
          <w:lang w:val="pt-BR"/>
        </w:rPr>
        <w:t xml:space="preserve">19.4.3 </w:t>
      </w:r>
      <w:r>
        <w:rPr>
          <w:rFonts w:hint="default" w:ascii="Times New Roman" w:hAnsi="Times New Roman" w:eastAsia="Calibri" w:cs="Times New Roman"/>
          <w:color w:val="auto"/>
          <w:sz w:val="24"/>
          <w:szCs w:val="24"/>
          <w:shd w:val="clear" w:color="auto" w:fill="auto"/>
          <w:lang w:val="pt-BR"/>
        </w:rPr>
        <w:t xml:space="preserve">Comprovação de Capital ou de Patrimônio Líquido mínimo de 10% (dez por cento) do valor estimado da contratação </w:t>
      </w:r>
      <w:r>
        <w:rPr>
          <w:rFonts w:hint="default" w:cs="Arial"/>
          <w:color w:val="auto"/>
          <w:sz w:val="24"/>
          <w:szCs w:val="24"/>
          <w:lang w:val="pt-BR"/>
        </w:rPr>
        <w:t>conforme devidamente justificado no ETP</w:t>
      </w:r>
      <w:r>
        <w:rPr>
          <w:rFonts w:hint="default" w:ascii="Times New Roman" w:hAnsi="Times New Roman" w:eastAsia="Calibri" w:cs="Times New Roman"/>
          <w:color w:val="auto"/>
          <w:sz w:val="24"/>
          <w:szCs w:val="24"/>
          <w:shd w:val="clear" w:color="auto" w:fill="auto"/>
          <w:lang w:val="pt-BR"/>
        </w:rPr>
        <w:t>.</w:t>
      </w:r>
    </w:p>
    <w:p w14:paraId="42248A4D">
      <w:pPr>
        <w:pStyle w:val="216"/>
        <w:keepNext w:val="0"/>
        <w:keepLines w:val="0"/>
        <w:pageBreakBefore w:val="0"/>
        <w:widowControl w:val="0"/>
        <w:pBdr>
          <w:top w:val="none" w:color="auto" w:sz="0" w:space="0"/>
          <w:left w:val="none" w:color="auto" w:sz="0" w:space="0"/>
          <w:bottom w:val="none" w:color="auto" w:sz="0" w:space="0"/>
          <w:right w:val="none" w:color="auto" w:sz="0" w:space="0"/>
        </w:pBdr>
        <w:tabs>
          <w:tab w:val="left" w:pos="142"/>
        </w:tabs>
        <w:kinsoku/>
        <w:wordWrap/>
        <w:overflowPunct/>
        <w:topLinePunct w:val="0"/>
        <w:autoSpaceDN/>
        <w:bidi w:val="0"/>
        <w:adjustRightInd/>
        <w:snapToGrid/>
        <w:spacing w:before="0" w:after="0" w:line="240" w:lineRule="auto"/>
        <w:ind w:left="0" w:right="200" w:firstLine="0"/>
        <w:jc w:val="both"/>
        <w:textAlignment w:val="auto"/>
        <w:rPr>
          <w:b w:val="0"/>
          <w:bCs w:val="0"/>
          <w:sz w:val="24"/>
          <w:szCs w:val="24"/>
          <w:shd w:val="clear" w:color="auto" w:fill="auto"/>
        </w:rPr>
      </w:pPr>
    </w:p>
    <w:p w14:paraId="6837FD95">
      <w:pPr>
        <w:spacing w:line="240" w:lineRule="auto"/>
        <w:jc w:val="right"/>
        <w:rPr>
          <w:sz w:val="24"/>
          <w:szCs w:val="24"/>
          <w:shd w:val="clear" w:color="auto" w:fill="auto"/>
        </w:rPr>
      </w:pPr>
      <w:r>
        <w:rPr>
          <w:b w:val="0"/>
          <w:bCs w:val="0"/>
          <w:sz w:val="24"/>
          <w:szCs w:val="24"/>
          <w:shd w:val="clear" w:color="auto" w:fill="auto"/>
        </w:rPr>
        <w:t>Primavera do Leste</w:t>
      </w:r>
      <w:r>
        <w:rPr>
          <w:rFonts w:hint="default"/>
          <w:b w:val="0"/>
          <w:bCs w:val="0"/>
          <w:sz w:val="24"/>
          <w:szCs w:val="24"/>
          <w:shd w:val="clear" w:color="auto" w:fill="auto"/>
          <w:lang w:val="pt-BR"/>
        </w:rPr>
        <w:t xml:space="preserve"> </w:t>
      </w:r>
      <w:r>
        <w:rPr>
          <w:b w:val="0"/>
          <w:bCs w:val="0"/>
          <w:sz w:val="24"/>
          <w:szCs w:val="24"/>
          <w:shd w:val="clear" w:color="auto" w:fill="auto"/>
        </w:rPr>
        <w:t>-</w:t>
      </w:r>
      <w:r>
        <w:rPr>
          <w:rFonts w:hint="default"/>
          <w:b w:val="0"/>
          <w:bCs w:val="0"/>
          <w:sz w:val="24"/>
          <w:szCs w:val="24"/>
          <w:shd w:val="clear" w:color="auto" w:fill="auto"/>
          <w:lang w:val="pt-BR"/>
        </w:rPr>
        <w:t xml:space="preserve"> </w:t>
      </w:r>
      <w:r>
        <w:rPr>
          <w:b w:val="0"/>
          <w:bCs w:val="0"/>
          <w:sz w:val="24"/>
          <w:szCs w:val="24"/>
          <w:shd w:val="clear" w:color="auto" w:fill="auto"/>
        </w:rPr>
        <w:t>MT, 13 de agosto de 2024.</w:t>
      </w:r>
    </w:p>
    <w:p w14:paraId="6E952157">
      <w:pPr>
        <w:spacing w:line="240" w:lineRule="auto"/>
        <w:jc w:val="both"/>
        <w:rPr>
          <w:sz w:val="24"/>
          <w:szCs w:val="24"/>
          <w:shd w:val="clear" w:color="auto" w:fill="auto"/>
        </w:rPr>
      </w:pPr>
    </w:p>
    <w:p w14:paraId="0BEAAE14">
      <w:pPr>
        <w:spacing w:line="240" w:lineRule="auto"/>
        <w:jc w:val="both"/>
        <w:rPr>
          <w:sz w:val="24"/>
          <w:szCs w:val="24"/>
          <w:shd w:val="clear" w:color="auto" w:fill="auto"/>
        </w:rPr>
      </w:pPr>
    </w:p>
    <w:p w14:paraId="7E3BE8C8">
      <w:pPr>
        <w:spacing w:line="240" w:lineRule="auto"/>
        <w:jc w:val="center"/>
        <w:rPr>
          <w:sz w:val="24"/>
          <w:szCs w:val="24"/>
          <w:shd w:val="clear" w:color="auto" w:fill="auto"/>
        </w:rPr>
      </w:pPr>
    </w:p>
    <w:p w14:paraId="70924027">
      <w:pPr>
        <w:spacing w:line="240" w:lineRule="auto"/>
        <w:jc w:val="center"/>
        <w:rPr>
          <w:b/>
          <w:bCs/>
          <w:sz w:val="24"/>
          <w:szCs w:val="24"/>
          <w:shd w:val="clear" w:color="auto" w:fill="auto"/>
        </w:rPr>
      </w:pPr>
    </w:p>
    <w:p w14:paraId="731ADDAA">
      <w:pPr>
        <w:spacing w:line="240" w:lineRule="auto"/>
        <w:jc w:val="center"/>
        <w:rPr>
          <w:rFonts w:ascii="Garamond" w:hAnsi="Garamond" w:eastAsia="Arial" w:cs="Garamond"/>
          <w:b w:val="0"/>
          <w:bCs w:val="0"/>
          <w:sz w:val="20"/>
          <w:szCs w:val="20"/>
          <w:lang w:eastAsia="ar-SA"/>
        </w:rPr>
      </w:pPr>
      <w:r>
        <w:rPr>
          <w:b/>
          <w:bCs/>
          <w:sz w:val="24"/>
          <w:szCs w:val="24"/>
          <w:shd w:val="clear" w:color="auto" w:fill="auto"/>
        </w:rPr>
        <w:t xml:space="preserve"> </w:t>
      </w:r>
      <w:r>
        <w:rPr>
          <w:b/>
          <w:bCs/>
          <w:sz w:val="22"/>
          <w:szCs w:val="22"/>
          <w:shd w:val="clear" w:color="auto" w:fill="auto"/>
        </w:rPr>
        <w:t xml:space="preserve">Edson de Oliveira Castro </w:t>
      </w:r>
      <w:r>
        <w:rPr>
          <w:b/>
          <w:bCs/>
          <w:sz w:val="22"/>
          <w:szCs w:val="22"/>
          <w:shd w:val="clear" w:color="auto" w:fill="auto"/>
        </w:rPr>
        <w:br w:type="textWrapping"/>
      </w:r>
      <w:r>
        <w:rPr>
          <w:b w:val="0"/>
          <w:bCs w:val="0"/>
          <w:sz w:val="22"/>
          <w:szCs w:val="22"/>
          <w:shd w:val="clear" w:color="auto" w:fill="auto"/>
        </w:rPr>
        <w:t>Setor de Manutenção</w:t>
      </w:r>
      <w:r>
        <w:rPr>
          <w:b w:val="0"/>
          <w:bCs w:val="0"/>
          <w:sz w:val="22"/>
          <w:szCs w:val="22"/>
          <w:shd w:val="clear" w:color="auto" w:fill="auto"/>
        </w:rPr>
        <w:br w:type="textWrapping"/>
      </w:r>
      <w:r>
        <w:rPr>
          <w:rStyle w:val="49"/>
          <w:rFonts w:eastAsia="Times New Roman" w:cs="Times New Roman"/>
          <w:b w:val="0"/>
          <w:bCs w:val="0"/>
          <w:i w:val="0"/>
          <w:caps w:val="0"/>
          <w:smallCaps w:val="0"/>
          <w:color w:val="212529"/>
          <w:spacing w:val="0"/>
          <w:kern w:val="0"/>
          <w:sz w:val="24"/>
          <w:szCs w:val="24"/>
          <w:shd w:val="clear" w:color="auto" w:fill="auto"/>
          <w:lang w:val="pt-BR" w:eastAsia="hi-IN" w:bidi="hi-IN"/>
        </w:rPr>
        <w:t>Portaria 189/2023</w:t>
      </w:r>
    </w:p>
    <w:p w14:paraId="19625952">
      <w:pPr>
        <w:jc w:val="both"/>
        <w:rPr>
          <w:rStyle w:val="49"/>
          <w:rFonts w:cs="Arial"/>
          <w:b/>
          <w:color w:val="000000"/>
          <w:kern w:val="0"/>
          <w:sz w:val="24"/>
          <w:szCs w:val="24"/>
          <w:lang w:val="pt-BR" w:eastAsia="ar-SA" w:bidi="ar-SA"/>
        </w:rPr>
      </w:pPr>
    </w:p>
    <w:p w14:paraId="73BD23CA">
      <w:pPr>
        <w:pStyle w:val="2"/>
        <w:numPr>
          <w:ilvl w:val="0"/>
          <w:numId w:val="0"/>
        </w:numPr>
        <w:spacing w:before="0" w:after="120"/>
        <w:ind w:left="0" w:firstLine="0"/>
        <w:jc w:val="center"/>
        <w:rPr>
          <w:rFonts w:ascii="Times New Roman" w:hAnsi="Times New Roman"/>
          <w:sz w:val="21"/>
          <w:szCs w:val="21"/>
        </w:rPr>
      </w:pPr>
      <w:bookmarkStart w:id="64" w:name="_ANEXO_I_-_1"/>
      <w:bookmarkEnd w:id="64"/>
      <w:bookmarkStart w:id="65" w:name="_Toc149517467"/>
      <w:bookmarkStart w:id="84" w:name="_GoBack"/>
      <w:bookmarkEnd w:id="84"/>
      <w:r>
        <w:t>A</w:t>
      </w:r>
      <w:r>
        <w:rPr>
          <w:sz w:val="21"/>
          <w:szCs w:val="21"/>
        </w:rPr>
        <w:t>NEXO II - MODELO DE DECLARAÇÕES</w:t>
      </w:r>
      <w:bookmarkEnd w:id="65"/>
    </w:p>
    <w:p w14:paraId="08107E7A">
      <w:pPr>
        <w:pStyle w:val="50"/>
        <w:tabs>
          <w:tab w:val="left" w:pos="1134"/>
        </w:tabs>
        <w:spacing w:before="120" w:beforeAutospacing="0" w:after="120" w:afterAutospacing="0"/>
        <w:jc w:val="center"/>
        <w:textAlignment w:val="baseline"/>
        <w:rPr>
          <w:rFonts w:ascii="Times New Roman" w:hAnsi="Times New Roman"/>
          <w:sz w:val="21"/>
          <w:szCs w:val="21"/>
        </w:rPr>
      </w:pPr>
    </w:p>
    <w:p w14:paraId="74C2C2D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382154DC">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497DDCA">
      <w:pPr>
        <w:pStyle w:val="50"/>
        <w:tabs>
          <w:tab w:val="left" w:pos="1134"/>
        </w:tabs>
        <w:spacing w:before="120" w:beforeAutospacing="0" w:after="120" w:afterAutospacing="0"/>
        <w:ind w:firstLine="567"/>
        <w:jc w:val="both"/>
        <w:textAlignment w:val="baseline"/>
        <w:rPr>
          <w:rStyle w:val="53"/>
          <w:rFonts w:hint="default"/>
          <w:color w:val="000000" w:themeColor="text1"/>
          <w:sz w:val="21"/>
          <w:szCs w:val="21"/>
          <w:lang w:val="pt-BR"/>
          <w14:textFill>
            <w14:solidFill>
              <w14:schemeClr w14:val="tx1"/>
            </w14:solidFill>
          </w14:textFill>
        </w:rPr>
      </w:pPr>
      <w:r>
        <w:rPr>
          <w:sz w:val="21"/>
          <w:szCs w:val="21"/>
        </w:rPr>
        <w:t xml:space="preserve">A __________________________ (razão social da empresa), CNPJ nº ______________________, localizada à __________________, por seu representante legal abaixo-assinado, em cumprimento ao solicitado no </w:t>
      </w:r>
      <w:r>
        <w:rPr>
          <w:sz w:val="21"/>
          <w:szCs w:val="21"/>
          <w:lang w:val="pt-BR"/>
        </w:rPr>
        <w:t>Edital de Pregão Eletrônico nº 19/2024</w:t>
      </w:r>
      <w:r>
        <w:rPr>
          <w:rFonts w:hint="default"/>
          <w:sz w:val="21"/>
          <w:szCs w:val="21"/>
          <w:lang w:val="pt-BR"/>
        </w:rPr>
        <w:t>.</w:t>
      </w:r>
    </w:p>
    <w:p w14:paraId="39172104">
      <w:pPr>
        <w:pStyle w:val="50"/>
        <w:numPr>
          <w:ilvl w:val="2"/>
          <w:numId w:val="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6C0C781C">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355F5FE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7C4A07E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não mantém vínculo de natureza técnica, comercial, econômica, financeira, trabalhista ou civil com dirigente da Câmara Municipal de Primavera do Leste - MT</w:t>
      </w:r>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0DE957B4">
      <w:pPr>
        <w:pStyle w:val="50"/>
        <w:numPr>
          <w:ilvl w:val="2"/>
          <w:numId w:val="1"/>
        </w:numPr>
        <w:tabs>
          <w:tab w:val="left" w:pos="1134"/>
        </w:tabs>
        <w:spacing w:before="0" w:beforeAutospacing="0" w:after="12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7953E7B">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750C4F6C">
      <w:pPr>
        <w:pStyle w:val="50"/>
        <w:tabs>
          <w:tab w:val="left" w:pos="1134"/>
        </w:tabs>
        <w:spacing w:before="120" w:beforeAutospacing="0" w:after="120" w:afterAutospacing="0"/>
        <w:ind w:firstLine="567"/>
        <w:jc w:val="both"/>
        <w:textAlignment w:val="baseline"/>
        <w:rPr>
          <w:rFonts w:ascii="Times New Roman" w:hAnsi="Times New Roman"/>
          <w:sz w:val="21"/>
          <w:szCs w:val="21"/>
        </w:rPr>
      </w:pPr>
      <w:r>
        <w:rPr>
          <w:sz w:val="21"/>
          <w:szCs w:val="21"/>
        </w:rPr>
        <w:t>Local e data.</w:t>
      </w:r>
    </w:p>
    <w:p w14:paraId="79935388">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987FA0F">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___________________________________________________</w:t>
      </w:r>
    </w:p>
    <w:p w14:paraId="144AB29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(assinatura e identificação do responsável pela empresa)</w:t>
      </w:r>
    </w:p>
    <w:p w14:paraId="0B1D2D9B">
      <w:pPr>
        <w:rPr>
          <w:rFonts w:ascii="Times New Roman" w:hAnsi="Times New Roman" w:eastAsia="Times New Roman" w:cs="Times New Roman"/>
          <w:sz w:val="21"/>
          <w:szCs w:val="21"/>
          <w:lang w:eastAsia="pt-BR"/>
        </w:rPr>
      </w:pPr>
      <w:r>
        <w:rPr>
          <w:sz w:val="21"/>
          <w:szCs w:val="21"/>
        </w:rPr>
        <w:br w:type="page"/>
      </w:r>
    </w:p>
    <w:p w14:paraId="3477CAB3">
      <w:pPr>
        <w:pStyle w:val="2"/>
        <w:numPr>
          <w:ilvl w:val="0"/>
          <w:numId w:val="0"/>
        </w:numPr>
        <w:spacing w:before="0" w:after="120"/>
        <w:ind w:left="0" w:firstLine="0"/>
        <w:jc w:val="center"/>
        <w:rPr>
          <w:rFonts w:ascii="Times New Roman" w:hAnsi="Times New Roman"/>
          <w:sz w:val="21"/>
          <w:szCs w:val="21"/>
        </w:rPr>
      </w:pPr>
      <w:bookmarkStart w:id="66" w:name="_Toc149517468"/>
      <w:r>
        <w:rPr>
          <w:sz w:val="21"/>
          <w:szCs w:val="21"/>
        </w:rPr>
        <w:t>ANEXO III - MODELO DE PROPOSTA</w:t>
      </w:r>
      <w:bookmarkEnd w:id="66"/>
    </w:p>
    <w:p w14:paraId="3E3657CE">
      <w:pPr>
        <w:pStyle w:val="50"/>
        <w:tabs>
          <w:tab w:val="left" w:pos="1134"/>
        </w:tabs>
        <w:spacing w:before="120" w:beforeAutospacing="0" w:after="120" w:afterAutospacing="0"/>
        <w:jc w:val="center"/>
        <w:textAlignment w:val="baseline"/>
        <w:rPr>
          <w:rFonts w:ascii="Times New Roman" w:hAnsi="Times New Roman"/>
          <w:sz w:val="21"/>
          <w:szCs w:val="21"/>
        </w:rPr>
      </w:pPr>
    </w:p>
    <w:p w14:paraId="1968685A">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15B9F01F">
      <w:pPr>
        <w:spacing w:before="0" w:after="0" w:line="240" w:lineRule="auto"/>
        <w:jc w:val="both"/>
        <w:rPr>
          <w:rFonts w:ascii="Times New Roman" w:hAnsi="Times New Roman"/>
          <w:sz w:val="21"/>
          <w:szCs w:val="21"/>
        </w:rPr>
      </w:pPr>
      <w:r>
        <w:rPr>
          <w:rFonts w:ascii="Times New Roman" w:hAnsi="Times New Roman" w:cs="Times New Roman"/>
          <w:sz w:val="21"/>
          <w:szCs w:val="21"/>
        </w:rPr>
        <w:t>À</w:t>
      </w:r>
    </w:p>
    <w:p w14:paraId="42963D75">
      <w:pPr>
        <w:spacing w:before="0" w:after="0" w:line="240" w:lineRule="auto"/>
        <w:jc w:val="both"/>
        <w:rPr>
          <w:rFonts w:ascii="Times New Roman" w:hAnsi="Times New Roman"/>
          <w:sz w:val="21"/>
          <w:szCs w:val="21"/>
        </w:rPr>
      </w:pPr>
      <w:r>
        <w:rPr>
          <w:rFonts w:ascii="Times New Roman" w:hAnsi="Times New Roman" w:cs="Times New Roman"/>
          <w:b/>
          <w:bCs/>
          <w:sz w:val="21"/>
          <w:szCs w:val="21"/>
        </w:rPr>
        <w:t>Câmara Municipal de Primavera do Leste – MT</w:t>
      </w:r>
    </w:p>
    <w:p w14:paraId="22D03AC2">
      <w:pPr>
        <w:spacing w:before="0" w:after="0" w:line="240" w:lineRule="auto"/>
        <w:jc w:val="both"/>
        <w:rPr>
          <w:rFonts w:hint="default" w:ascii="Times New Roman" w:hAnsi="Times New Roman"/>
          <w:sz w:val="21"/>
          <w:szCs w:val="21"/>
          <w:lang w:val="pt-BR"/>
        </w:rPr>
      </w:pPr>
      <w:r>
        <w:rPr>
          <w:rFonts w:ascii="Times New Roman" w:hAnsi="Times New Roman" w:cs="Times New Roman"/>
          <w:sz w:val="21"/>
          <w:szCs w:val="21"/>
        </w:rPr>
        <w:t>A/C Pregoeiro do</w:t>
      </w:r>
      <w:r>
        <w:rPr>
          <w:rFonts w:hint="default" w:cs="Times New Roman"/>
          <w:sz w:val="21"/>
          <w:szCs w:val="21"/>
          <w:lang w:val="pt-BR"/>
        </w:rPr>
        <w:t xml:space="preserve"> Pregão Eletrônico nº 19/2024</w:t>
      </w:r>
    </w:p>
    <w:p w14:paraId="24F33993">
      <w:pPr>
        <w:spacing w:before="0" w:after="0" w:line="240" w:lineRule="auto"/>
        <w:jc w:val="both"/>
        <w:rPr>
          <w:rFonts w:ascii="Times New Roman" w:hAnsi="Times New Roman"/>
          <w:sz w:val="21"/>
          <w:szCs w:val="21"/>
        </w:rPr>
      </w:pPr>
      <w:r>
        <w:rPr>
          <w:rFonts w:ascii="Times New Roman" w:hAnsi="Times New Roman" w:cs="Times New Roman"/>
          <w:sz w:val="21"/>
          <w:szCs w:val="21"/>
        </w:rPr>
        <w:t>Primavera do Leste - Mato Grosso.</w:t>
      </w:r>
    </w:p>
    <w:p w14:paraId="63AEBD94">
      <w:pPr>
        <w:spacing w:before="0" w:after="0" w:line="240" w:lineRule="auto"/>
        <w:jc w:val="both"/>
        <w:rPr>
          <w:rFonts w:ascii="Times New Roman" w:hAnsi="Times New Roman" w:cs="Times New Roman"/>
          <w:sz w:val="21"/>
          <w:szCs w:val="21"/>
        </w:rPr>
      </w:pPr>
    </w:p>
    <w:p w14:paraId="0D67B504">
      <w:pPr>
        <w:jc w:val="center"/>
        <w:rPr>
          <w:rFonts w:ascii="Times New Roman" w:hAnsi="Times New Roman"/>
          <w:sz w:val="21"/>
          <w:szCs w:val="21"/>
        </w:rPr>
      </w:pPr>
      <w:r>
        <w:rPr>
          <w:rFonts w:ascii="Times New Roman" w:hAnsi="Times New Roman" w:cs="Times New Roman"/>
          <w:b/>
          <w:bCs/>
          <w:sz w:val="21"/>
          <w:szCs w:val="21"/>
          <w:u w:val="single"/>
        </w:rPr>
        <w:t>PROPOSTA</w:t>
      </w:r>
    </w:p>
    <w:p w14:paraId="1B4CB93E">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O proponente a seguir identificado:</w:t>
      </w:r>
    </w:p>
    <w:tbl>
      <w:tblPr>
        <w:tblStyle w:val="48"/>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619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4509F953">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Razão Social:</w:t>
            </w:r>
          </w:p>
          <w:p w14:paraId="244E5B3B">
            <w:pPr>
              <w:widowControl/>
              <w:suppressAutoHyphens/>
              <w:spacing w:before="0" w:after="0" w:line="240" w:lineRule="auto"/>
              <w:jc w:val="both"/>
              <w:rPr>
                <w:rFonts w:ascii="Times New Roman" w:hAnsi="Times New Roman" w:cs="Times New Roman"/>
                <w:sz w:val="21"/>
                <w:szCs w:val="21"/>
              </w:rPr>
            </w:pPr>
          </w:p>
        </w:tc>
      </w:tr>
      <w:tr w14:paraId="773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6575CA5">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CNPJ:</w:t>
            </w:r>
          </w:p>
          <w:p w14:paraId="0F1501F2">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23511AD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Nome Fantasia:</w:t>
            </w:r>
          </w:p>
          <w:p w14:paraId="55754AEE">
            <w:pPr>
              <w:widowControl/>
              <w:suppressAutoHyphens/>
              <w:spacing w:before="0" w:after="0" w:line="240" w:lineRule="auto"/>
              <w:jc w:val="both"/>
              <w:rPr>
                <w:rFonts w:ascii="Times New Roman" w:hAnsi="Times New Roman" w:cs="Times New Roman"/>
                <w:sz w:val="21"/>
                <w:szCs w:val="21"/>
              </w:rPr>
            </w:pPr>
          </w:p>
        </w:tc>
      </w:tr>
      <w:tr w14:paraId="153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CBF928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Logradouro:</w:t>
            </w:r>
          </w:p>
          <w:p w14:paraId="6692CF72">
            <w:pPr>
              <w:widowControl/>
              <w:suppressAutoHyphens/>
              <w:spacing w:before="0" w:after="0" w:line="240" w:lineRule="auto"/>
              <w:jc w:val="both"/>
              <w:rPr>
                <w:rFonts w:ascii="Times New Roman" w:hAnsi="Times New Roman" w:cs="Times New Roman"/>
                <w:sz w:val="21"/>
                <w:szCs w:val="21"/>
              </w:rPr>
            </w:pPr>
          </w:p>
        </w:tc>
        <w:tc>
          <w:tcPr>
            <w:tcW w:w="2972" w:type="dxa"/>
          </w:tcPr>
          <w:p w14:paraId="457C1B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Número:</w:t>
            </w:r>
          </w:p>
          <w:p w14:paraId="2DE379DC">
            <w:pPr>
              <w:widowControl/>
              <w:suppressAutoHyphens/>
              <w:spacing w:before="0" w:after="0" w:line="240" w:lineRule="auto"/>
              <w:jc w:val="both"/>
              <w:rPr>
                <w:rFonts w:ascii="Times New Roman" w:hAnsi="Times New Roman" w:cs="Times New Roman"/>
                <w:sz w:val="21"/>
                <w:szCs w:val="21"/>
              </w:rPr>
            </w:pPr>
          </w:p>
        </w:tc>
      </w:tr>
      <w:tr w14:paraId="5E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02CB2221">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Complemento:</w:t>
            </w:r>
          </w:p>
          <w:p w14:paraId="5C5AE3C5">
            <w:pPr>
              <w:widowControl/>
              <w:suppressAutoHyphens/>
              <w:spacing w:before="0" w:after="0" w:line="240" w:lineRule="auto"/>
              <w:jc w:val="both"/>
              <w:rPr>
                <w:rFonts w:ascii="Times New Roman" w:hAnsi="Times New Roman" w:cs="Times New Roman"/>
                <w:sz w:val="21"/>
                <w:szCs w:val="21"/>
              </w:rPr>
            </w:pPr>
          </w:p>
        </w:tc>
        <w:tc>
          <w:tcPr>
            <w:tcW w:w="4457" w:type="dxa"/>
            <w:gridSpan w:val="2"/>
          </w:tcPr>
          <w:p w14:paraId="0600A01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Bairro:</w:t>
            </w:r>
          </w:p>
          <w:p w14:paraId="03AFE9C8">
            <w:pPr>
              <w:widowControl/>
              <w:suppressAutoHyphens/>
              <w:spacing w:before="0" w:after="0" w:line="240" w:lineRule="auto"/>
              <w:jc w:val="both"/>
              <w:rPr>
                <w:rFonts w:ascii="Times New Roman" w:hAnsi="Times New Roman" w:cs="Times New Roman"/>
                <w:sz w:val="21"/>
                <w:szCs w:val="21"/>
              </w:rPr>
            </w:pPr>
          </w:p>
        </w:tc>
      </w:tr>
      <w:tr w14:paraId="22D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C3ABB9E">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Cidade:</w:t>
            </w:r>
          </w:p>
          <w:p w14:paraId="26FD2476">
            <w:pPr>
              <w:widowControl/>
              <w:suppressAutoHyphens/>
              <w:spacing w:before="0" w:after="0" w:line="240" w:lineRule="auto"/>
              <w:jc w:val="both"/>
              <w:rPr>
                <w:rFonts w:ascii="Times New Roman" w:hAnsi="Times New Roman" w:cs="Times New Roman"/>
                <w:sz w:val="21"/>
                <w:szCs w:val="21"/>
              </w:rPr>
            </w:pPr>
          </w:p>
        </w:tc>
        <w:tc>
          <w:tcPr>
            <w:tcW w:w="2972" w:type="dxa"/>
          </w:tcPr>
          <w:p w14:paraId="6F7D0D14">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CEP:</w:t>
            </w:r>
          </w:p>
          <w:p w14:paraId="181EB027">
            <w:pPr>
              <w:widowControl/>
              <w:suppressAutoHyphens/>
              <w:spacing w:before="0" w:after="0" w:line="240" w:lineRule="auto"/>
              <w:jc w:val="both"/>
              <w:rPr>
                <w:rFonts w:ascii="Times New Roman" w:hAnsi="Times New Roman" w:cs="Times New Roman"/>
                <w:sz w:val="21"/>
                <w:szCs w:val="21"/>
              </w:rPr>
            </w:pPr>
          </w:p>
        </w:tc>
      </w:tr>
      <w:tr w14:paraId="51A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A3ACB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Fixo:</w:t>
            </w:r>
          </w:p>
          <w:p w14:paraId="562BF2E0">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63BA92C7">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Email:</w:t>
            </w:r>
          </w:p>
          <w:p w14:paraId="1552CE11">
            <w:pPr>
              <w:widowControl/>
              <w:suppressAutoHyphens/>
              <w:spacing w:before="0" w:after="0" w:line="240" w:lineRule="auto"/>
              <w:jc w:val="both"/>
              <w:rPr>
                <w:rFonts w:ascii="Times New Roman" w:hAnsi="Times New Roman" w:cs="Times New Roman"/>
                <w:sz w:val="21"/>
                <w:szCs w:val="21"/>
              </w:rPr>
            </w:pPr>
          </w:p>
        </w:tc>
      </w:tr>
      <w:tr w14:paraId="145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E374F0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Banco:</w:t>
            </w:r>
          </w:p>
          <w:p w14:paraId="7F9B6525">
            <w:pPr>
              <w:widowControl/>
              <w:suppressAutoHyphens/>
              <w:spacing w:before="0" w:after="0" w:line="240" w:lineRule="auto"/>
              <w:jc w:val="both"/>
              <w:rPr>
                <w:rFonts w:ascii="Times New Roman" w:hAnsi="Times New Roman" w:cs="Times New Roman"/>
                <w:sz w:val="21"/>
                <w:szCs w:val="21"/>
              </w:rPr>
            </w:pPr>
          </w:p>
        </w:tc>
        <w:tc>
          <w:tcPr>
            <w:tcW w:w="2973" w:type="dxa"/>
            <w:gridSpan w:val="2"/>
          </w:tcPr>
          <w:p w14:paraId="7F50B66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Agência:</w:t>
            </w:r>
          </w:p>
          <w:p w14:paraId="1FB3B391">
            <w:pPr>
              <w:widowControl/>
              <w:suppressAutoHyphens/>
              <w:spacing w:before="0" w:after="0" w:line="240" w:lineRule="auto"/>
              <w:jc w:val="both"/>
              <w:rPr>
                <w:rFonts w:ascii="Times New Roman" w:hAnsi="Times New Roman" w:cs="Times New Roman"/>
                <w:sz w:val="21"/>
                <w:szCs w:val="21"/>
              </w:rPr>
            </w:pPr>
          </w:p>
        </w:tc>
        <w:tc>
          <w:tcPr>
            <w:tcW w:w="2972" w:type="dxa"/>
          </w:tcPr>
          <w:p w14:paraId="62E493D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Conta:</w:t>
            </w:r>
          </w:p>
          <w:p w14:paraId="09F8C5D4">
            <w:pPr>
              <w:widowControl/>
              <w:suppressAutoHyphens/>
              <w:spacing w:before="0" w:after="0" w:line="240" w:lineRule="auto"/>
              <w:jc w:val="both"/>
              <w:rPr>
                <w:rFonts w:ascii="Times New Roman" w:hAnsi="Times New Roman" w:cs="Times New Roman"/>
                <w:sz w:val="21"/>
                <w:szCs w:val="21"/>
              </w:rPr>
            </w:pPr>
          </w:p>
        </w:tc>
      </w:tr>
      <w:tr w14:paraId="04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445F4F0">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Representante:</w:t>
            </w:r>
          </w:p>
          <w:p w14:paraId="1BE993B9">
            <w:pPr>
              <w:widowControl/>
              <w:suppressAutoHyphens/>
              <w:spacing w:before="0" w:after="0" w:line="240" w:lineRule="auto"/>
              <w:jc w:val="both"/>
              <w:rPr>
                <w:rFonts w:ascii="Times New Roman" w:hAnsi="Times New Roman" w:cs="Times New Roman"/>
                <w:sz w:val="21"/>
                <w:szCs w:val="21"/>
              </w:rPr>
            </w:pPr>
          </w:p>
        </w:tc>
        <w:tc>
          <w:tcPr>
            <w:tcW w:w="2972" w:type="dxa"/>
          </w:tcPr>
          <w:p w14:paraId="749AEA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Celular:</w:t>
            </w:r>
          </w:p>
          <w:p w14:paraId="13AD6901">
            <w:pPr>
              <w:widowControl/>
              <w:suppressAutoHyphens/>
              <w:spacing w:before="0" w:after="0" w:line="240" w:lineRule="auto"/>
              <w:jc w:val="both"/>
              <w:rPr>
                <w:rFonts w:ascii="Times New Roman" w:hAnsi="Times New Roman" w:cs="Times New Roman"/>
                <w:sz w:val="21"/>
                <w:szCs w:val="21"/>
              </w:rPr>
            </w:pPr>
          </w:p>
        </w:tc>
      </w:tr>
    </w:tbl>
    <w:p w14:paraId="760A70F6">
      <w:pPr>
        <w:spacing w:before="0" w:after="0" w:line="240" w:lineRule="auto"/>
        <w:jc w:val="both"/>
        <w:rPr>
          <w:rFonts w:ascii="Times New Roman" w:hAnsi="Times New Roman" w:cs="Times New Roman"/>
          <w:sz w:val="21"/>
          <w:szCs w:val="21"/>
        </w:rPr>
      </w:pPr>
    </w:p>
    <w:p w14:paraId="31112825">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 xml:space="preserve">Em atendimento ao disposto no </w:t>
      </w:r>
      <w:r>
        <w:rPr>
          <w:rFonts w:cs="Times New Roman"/>
          <w:sz w:val="21"/>
          <w:szCs w:val="21"/>
          <w:lang w:val="pt-BR"/>
        </w:rPr>
        <w:t xml:space="preserve"> Pregão Eletrônico nº 19/2024</w:t>
      </w:r>
      <w:r>
        <w:rPr>
          <w:rFonts w:ascii="Times New Roman" w:hAnsi="Times New Roman" w:cs="Times New Roman"/>
          <w:sz w:val="21"/>
          <w:szCs w:val="21"/>
          <w:shd w:val="clear" w:fill="auto"/>
        </w:rPr>
        <w:t xml:space="preserve">, </w:t>
      </w:r>
      <w:r>
        <w:rPr>
          <w:rFonts w:ascii="Times New Roman" w:hAnsi="Times New Roman" w:cs="Times New Roman"/>
          <w:sz w:val="21"/>
          <w:szCs w:val="21"/>
        </w:rPr>
        <w:t>após análise do referido edital e tendo pleno conhecimento do seu conteúdo, se propõe a fornecer as mercadorias objeto da licitação, sob sua inteira responsabilidade, nas condições a seguir:</w:t>
      </w:r>
    </w:p>
    <w:p w14:paraId="0D73FA59">
      <w:pPr>
        <w:spacing w:before="0" w:after="0" w:line="240" w:lineRule="auto"/>
        <w:ind w:firstLine="2268"/>
        <w:jc w:val="both"/>
        <w:rPr>
          <w:rFonts w:ascii="Times New Roman" w:hAnsi="Times New Roman" w:cs="Times New Roman"/>
          <w:sz w:val="21"/>
          <w:szCs w:val="21"/>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622B6F45">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FD49CB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88BF5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E88E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C6E66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4E75B7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64E452F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AB29070">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6D760E9">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r>
              <w:rPr>
                <w:rStyle w:val="21"/>
                <w:rFonts w:ascii="Times New Roman" w:hAnsi="Times New Roman" w:cs="Times New Roman"/>
                <w:b/>
                <w:sz w:val="21"/>
                <w:szCs w:val="21"/>
              </w:rPr>
              <w:footnoteReference w:id="0"/>
            </w:r>
          </w:p>
        </w:tc>
      </w:tr>
      <w:tr w14:paraId="3EB3BB2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D29C6CF">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6C0DD16">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18B796D1">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AD14634">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7E01FFDB">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63AA5935">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r>
    </w:tbl>
    <w:p w14:paraId="00F0B7B6">
      <w:pPr>
        <w:rPr>
          <w:rFonts w:ascii="Times New Roman" w:hAnsi="Times New Roman" w:cs="Times New Roman"/>
          <w:b/>
          <w:sz w:val="21"/>
          <w:szCs w:val="21"/>
        </w:rPr>
      </w:pPr>
    </w:p>
    <w:p w14:paraId="2A960EC9">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7F0B52AF">
      <w:pPr>
        <w:spacing w:before="0" w:after="0" w:line="240" w:lineRule="auto"/>
        <w:ind w:firstLine="2268"/>
        <w:jc w:val="both"/>
        <w:rPr>
          <w:rFonts w:ascii="Times New Roman" w:hAnsi="Times New Roman" w:cs="Times New Roman"/>
          <w:sz w:val="21"/>
          <w:szCs w:val="21"/>
        </w:rPr>
      </w:pPr>
    </w:p>
    <w:p w14:paraId="4A60B3D6">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Data e Local.</w:t>
      </w:r>
    </w:p>
    <w:p w14:paraId="58E1DB1D">
      <w:pPr>
        <w:jc w:val="center"/>
        <w:rPr>
          <w:rFonts w:ascii="Times New Roman" w:hAnsi="Times New Roman" w:cs="Times New Roman"/>
          <w:sz w:val="21"/>
          <w:szCs w:val="21"/>
        </w:rPr>
      </w:pPr>
    </w:p>
    <w:p w14:paraId="4024C696">
      <w:pPr>
        <w:jc w:val="center"/>
        <w:rPr>
          <w:rFonts w:ascii="Times New Roman" w:hAnsi="Times New Roman" w:cs="Times New Roman"/>
          <w:sz w:val="21"/>
          <w:szCs w:val="21"/>
        </w:rPr>
      </w:pPr>
    </w:p>
    <w:p w14:paraId="0FE98F90">
      <w:pPr>
        <w:spacing w:before="0" w:after="0" w:line="240" w:lineRule="auto"/>
        <w:jc w:val="center"/>
        <w:rPr>
          <w:rFonts w:ascii="Times New Roman" w:hAnsi="Times New Roman"/>
          <w:sz w:val="21"/>
          <w:szCs w:val="21"/>
        </w:rPr>
      </w:pPr>
      <w:r>
        <w:rPr>
          <w:rFonts w:ascii="Times New Roman" w:hAnsi="Times New Roman" w:cs="Times New Roman"/>
          <w:sz w:val="21"/>
          <w:szCs w:val="21"/>
        </w:rPr>
        <w:t>_______________________________________</w:t>
      </w:r>
    </w:p>
    <w:p w14:paraId="335496B1">
      <w:pPr>
        <w:pStyle w:val="50"/>
        <w:tabs>
          <w:tab w:val="left" w:pos="1134"/>
        </w:tabs>
        <w:spacing w:before="0" w:beforeAutospacing="0" w:after="0" w:afterAutospacing="0"/>
        <w:jc w:val="center"/>
        <w:textAlignment w:val="baseline"/>
        <w:rPr>
          <w:rFonts w:ascii="Times New Roman" w:hAnsi="Times New Roman"/>
          <w:sz w:val="21"/>
          <w:szCs w:val="21"/>
        </w:rPr>
      </w:pPr>
      <w:r>
        <w:rPr>
          <w:sz w:val="21"/>
          <w:szCs w:val="21"/>
        </w:rPr>
        <w:t>Nome completo e Assinatura do proponente</w:t>
      </w:r>
    </w:p>
    <w:p w14:paraId="735F4EA5">
      <w:pPr>
        <w:rPr>
          <w:sz w:val="21"/>
          <w:szCs w:val="21"/>
        </w:rPr>
      </w:pPr>
      <w:r>
        <w:rPr>
          <w:sz w:val="21"/>
          <w:szCs w:val="21"/>
        </w:rPr>
        <w:br w:type="page"/>
      </w:r>
    </w:p>
    <w:p w14:paraId="60F7880F">
      <w:pPr>
        <w:pStyle w:val="2"/>
        <w:numPr>
          <w:ilvl w:val="0"/>
          <w:numId w:val="0"/>
        </w:numPr>
        <w:jc w:val="center"/>
        <w:rPr>
          <w:rFonts w:hint="default" w:ascii="Times New Roman" w:hAnsi="Times New Roman" w:cs="Times New Roman"/>
          <w:sz w:val="21"/>
          <w:szCs w:val="21"/>
        </w:rPr>
      </w:pPr>
      <w:bookmarkStart w:id="67" w:name="_Toc149509739"/>
      <w:r>
        <w:rPr>
          <w:rFonts w:hint="default" w:ascii="Times New Roman" w:hAnsi="Times New Roman" w:cs="Times New Roman"/>
          <w:sz w:val="21"/>
          <w:szCs w:val="21"/>
        </w:rPr>
        <w:t>ANEXO I</w:t>
      </w:r>
      <w:r>
        <w:rPr>
          <w:rFonts w:hint="default" w:ascii="Times New Roman" w:hAnsi="Times New Roman" w:cs="Times New Roman"/>
          <w:sz w:val="21"/>
          <w:szCs w:val="21"/>
          <w:lang w:val="pt-BR"/>
        </w:rPr>
        <w:t>V</w:t>
      </w:r>
      <w:r>
        <w:rPr>
          <w:rFonts w:hint="default" w:ascii="Times New Roman" w:hAnsi="Times New Roman" w:cs="Times New Roman"/>
          <w:sz w:val="21"/>
          <w:szCs w:val="21"/>
        </w:rPr>
        <w:t xml:space="preserve"> - MODELO DE ATESTADO DE VISTORIA TÉCNICA</w:t>
      </w:r>
      <w:bookmarkEnd w:id="67"/>
    </w:p>
    <w:p w14:paraId="5FE4A04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8C7A2D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CÂMARA)</w:t>
      </w:r>
    </w:p>
    <w:p w14:paraId="5C82B19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7A6A93A">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ascii="Times New Roman" w:hAnsi="Times New Roman" w:cs="Times New Roman"/>
          <w:b/>
          <w:bCs/>
          <w:color w:val="000000"/>
          <w:sz w:val="21"/>
          <w:szCs w:val="21"/>
          <w:highlight w:val="none"/>
        </w:rPr>
        <w:t>Processo Administrativo</w:t>
      </w:r>
      <w:r>
        <w:rPr>
          <w:rFonts w:hint="default" w:cs="Times New Roman"/>
          <w:b/>
          <w:bCs/>
          <w:color w:val="000000"/>
          <w:sz w:val="21"/>
          <w:szCs w:val="21"/>
          <w:highlight w:val="none"/>
          <w:lang w:val="pt-BR"/>
        </w:rPr>
        <w:t xml:space="preserve"> nº</w:t>
      </w:r>
      <w:r>
        <w:rPr>
          <w:rFonts w:hint="default" w:ascii="Times New Roman" w:hAnsi="Times New Roman" w:cs="Times New Roman"/>
          <w:b/>
          <w:bCs/>
          <w:color w:val="000000"/>
          <w:sz w:val="21"/>
          <w:szCs w:val="21"/>
          <w:highlight w:val="none"/>
        </w:rPr>
        <w:t xml:space="preserve"> </w:t>
      </w:r>
      <w:r>
        <w:rPr>
          <w:rFonts w:hint="default" w:cs="Times New Roman"/>
          <w:b/>
          <w:bCs/>
          <w:color w:val="000000"/>
          <w:sz w:val="21"/>
          <w:szCs w:val="21"/>
          <w:highlight w:val="none"/>
          <w:lang w:val="pt-BR"/>
        </w:rPr>
        <w:t>49</w:t>
      </w:r>
      <w:r>
        <w:rPr>
          <w:rFonts w:hint="default" w:ascii="Times New Roman" w:hAnsi="Times New Roman" w:cs="Times New Roman"/>
          <w:b/>
          <w:bCs/>
          <w:color w:val="000000"/>
          <w:sz w:val="21"/>
          <w:szCs w:val="21"/>
          <w:highlight w:val="none"/>
          <w:lang w:val="pt-BR"/>
        </w:rPr>
        <w:t>/2024</w:t>
      </w:r>
    </w:p>
    <w:p w14:paraId="5E658F36">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cs="Times New Roman"/>
          <w:b/>
          <w:bCs/>
          <w:color w:val="000000"/>
          <w:sz w:val="21"/>
          <w:szCs w:val="21"/>
          <w:highlight w:val="none"/>
          <w:lang w:val="pt-BR"/>
        </w:rPr>
        <w:t xml:space="preserve"> Pregão Eletrônico nº 19/2024</w:t>
      </w:r>
    </w:p>
    <w:p w14:paraId="62AA25A4">
      <w:pPr>
        <w:pStyle w:val="50"/>
        <w:tabs>
          <w:tab w:val="left" w:pos="1134"/>
        </w:tabs>
        <w:spacing w:before="120" w:beforeAutospacing="0" w:after="120" w:afterAutospacing="0"/>
        <w:jc w:val="both"/>
        <w:textAlignment w:val="baseline"/>
        <w:rPr>
          <w:rFonts w:hint="default" w:ascii="Times New Roman" w:hAnsi="Times New Roman" w:cs="Times New Roman"/>
          <w:sz w:val="21"/>
          <w:szCs w:val="21"/>
        </w:rPr>
      </w:pPr>
    </w:p>
    <w:p w14:paraId="3FF7143F">
      <w:pPr>
        <w:pStyle w:val="50"/>
        <w:tabs>
          <w:tab w:val="left" w:pos="1134"/>
        </w:tabs>
        <w:spacing w:before="120" w:beforeAutospacing="0" w:after="120" w:afterAutospacing="0"/>
        <w:ind w:firstLine="567"/>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Declaro para fins de direito e em atendimento ao art. 63, §§ 2º e 4º, da Lei Federal nº 14.133, de 2021, que a Empresa ___________________________________</w:t>
      </w:r>
      <w:r>
        <w:rPr>
          <w:rFonts w:hint="default" w:ascii="Times New Roman" w:hAnsi="Times New Roman" w:cs="Times New Roman"/>
          <w:b/>
          <w:bCs/>
          <w:sz w:val="21"/>
          <w:szCs w:val="21"/>
        </w:rPr>
        <w:t xml:space="preserve">, </w:t>
      </w:r>
      <w:r>
        <w:rPr>
          <w:rFonts w:hint="default" w:ascii="Times New Roman" w:hAnsi="Times New Roman" w:cs="Times New Roman"/>
          <w:sz w:val="21"/>
          <w:szCs w:val="21"/>
        </w:rPr>
        <w:t>inscrita no CNPJ sob nº ___________________________, com Rua/Av. ________________________________ nº __________, Bairro _________________ – ______________________________ - _____, através de seu representante técnico o Engº. ___________________________________________</w:t>
      </w:r>
      <w:r>
        <w:rPr>
          <w:rFonts w:hint="default" w:ascii="Times New Roman" w:hAnsi="Times New Roman" w:cs="Times New Roman"/>
          <w:b/>
          <w:bCs/>
          <w:sz w:val="21"/>
          <w:szCs w:val="21"/>
        </w:rPr>
        <w:t>, CREA/UF nº __________________________</w:t>
      </w:r>
      <w:r>
        <w:rPr>
          <w:rFonts w:hint="default" w:ascii="Times New Roman" w:hAnsi="Times New Roman" w:cs="Times New Roman"/>
          <w:sz w:val="21"/>
          <w:szCs w:val="21"/>
        </w:rPr>
        <w:t xml:space="preserve">, esteve nos locais onde deve ser elaborado </w:t>
      </w:r>
      <w:r>
        <w:rPr>
          <w:rFonts w:hint="default" w:ascii="Times New Roman" w:hAnsi="Times New Roman" w:cs="Times New Roman"/>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Fonts w:hint="default" w:ascii="Times New Roman" w:hAnsi="Times New Roman" w:cs="Times New Roman"/>
          <w:color w:val="000000"/>
          <w:sz w:val="21"/>
          <w:szCs w:val="21"/>
          <w:highlight w:val="none"/>
        </w:rPr>
        <w:t xml:space="preserve"> conforme previsto no edital e seus anexos, visitando e tomando conhecimento de tod</w:t>
      </w:r>
      <w:r>
        <w:rPr>
          <w:rFonts w:hint="default" w:ascii="Times New Roman" w:hAnsi="Times New Roman" w:cs="Times New Roman"/>
          <w:color w:val="000000"/>
          <w:sz w:val="21"/>
          <w:szCs w:val="21"/>
        </w:rPr>
        <w:t>as as informações e das condições locais para cumprimento das obrigações do objeto do referido</w:t>
      </w:r>
      <w:r>
        <w:rPr>
          <w:rFonts w:hint="default" w:ascii="Times New Roman" w:hAnsi="Times New Roman" w:cs="Times New Roman"/>
          <w:sz w:val="21"/>
          <w:szCs w:val="21"/>
        </w:rPr>
        <w:t xml:space="preserve"> certame. A visita realizada e os elementos necessários à elaboração da proposta, bem como, o desenvolvimento dos serviços a serem realizados, de modo a não incorrer em omissões que jamais poderão ser alegadas pela empresa em favor de eventuais pretensões de acréscimos de serviços, não sendo aceitas reclamações posteriores sob alegação de aumento de serviços ou materiais não relacionados </w:t>
      </w:r>
      <w:r>
        <w:rPr>
          <w:rFonts w:hint="default" w:ascii="Times New Roman" w:hAnsi="Times New Roman" w:cs="Times New Roman"/>
          <w:sz w:val="21"/>
          <w:szCs w:val="21"/>
          <w:lang w:val="pt-BR"/>
        </w:rPr>
        <w:t>na proposta</w:t>
      </w:r>
      <w:r>
        <w:rPr>
          <w:rFonts w:hint="default" w:ascii="Times New Roman" w:hAnsi="Times New Roman" w:cs="Times New Roman"/>
          <w:sz w:val="21"/>
          <w:szCs w:val="21"/>
        </w:rPr>
        <w:t>.</w:t>
      </w:r>
    </w:p>
    <w:p w14:paraId="217F38B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5573EC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 xml:space="preserve">Primavera do Leste - MT, ____ de _________________ de </w:t>
      </w:r>
      <w:r>
        <w:rPr>
          <w:rFonts w:hint="default" w:ascii="Times New Roman" w:hAnsi="Times New Roman" w:cs="Times New Roman"/>
          <w:sz w:val="21"/>
          <w:szCs w:val="21"/>
          <w:lang w:val="pt-BR"/>
        </w:rPr>
        <w:t>2024</w:t>
      </w:r>
      <w:r>
        <w:rPr>
          <w:rFonts w:hint="default" w:ascii="Times New Roman" w:hAnsi="Times New Roman" w:cs="Times New Roman"/>
          <w:sz w:val="21"/>
          <w:szCs w:val="21"/>
        </w:rPr>
        <w:t>.</w:t>
      </w:r>
    </w:p>
    <w:p w14:paraId="237E2EA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123FA0C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4F1098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F2C5D52">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37F2D1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DB4108F">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C538B81">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09F5CA4">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4345B80">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____________________________________________</w:t>
      </w:r>
    </w:p>
    <w:p w14:paraId="312835B7">
      <w:pPr>
        <w:pStyle w:val="50"/>
        <w:tabs>
          <w:tab w:val="left" w:pos="1134"/>
        </w:tabs>
        <w:spacing w:before="0" w:beforeAutospacing="0" w:after="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Nome Completo do(a) Servidor(a) da Câmara</w:t>
      </w:r>
    </w:p>
    <w:p w14:paraId="20126792">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Matrícula do(a) Servidor(a)</w:t>
      </w:r>
    </w:p>
    <w:p w14:paraId="512047CE">
      <w:pPr>
        <w:rPr>
          <w:rFonts w:hint="default" w:ascii="Times New Roman" w:hAnsi="Times New Roman" w:eastAsia="Times New Roman" w:cs="Times New Roman"/>
          <w:b/>
          <w:bCs/>
          <w:sz w:val="21"/>
          <w:szCs w:val="21"/>
          <w:lang w:eastAsia="pt-BR"/>
        </w:rPr>
      </w:pPr>
      <w:r>
        <w:rPr>
          <w:rFonts w:hint="default" w:ascii="Times New Roman" w:hAnsi="Times New Roman" w:cs="Times New Roman"/>
          <w:sz w:val="21"/>
          <w:szCs w:val="21"/>
        </w:rPr>
        <w:br w:type="page"/>
      </w:r>
    </w:p>
    <w:p w14:paraId="19F668FB">
      <w:pPr>
        <w:pStyle w:val="2"/>
        <w:numPr>
          <w:ilvl w:val="0"/>
          <w:numId w:val="0"/>
        </w:numPr>
        <w:jc w:val="center"/>
        <w:rPr>
          <w:rFonts w:hint="default" w:ascii="Times New Roman" w:hAnsi="Times New Roman" w:cs="Times New Roman"/>
          <w:sz w:val="21"/>
          <w:szCs w:val="21"/>
        </w:rPr>
      </w:pPr>
      <w:bookmarkStart w:id="68" w:name="_Toc149509740"/>
      <w:r>
        <w:rPr>
          <w:rFonts w:hint="default" w:ascii="Times New Roman" w:hAnsi="Times New Roman" w:cs="Times New Roman"/>
        </w:rPr>
        <w:t>A</w:t>
      </w:r>
      <w:r>
        <w:rPr>
          <w:rFonts w:hint="default" w:ascii="Times New Roman" w:hAnsi="Times New Roman" w:cs="Times New Roman"/>
          <w:sz w:val="21"/>
          <w:szCs w:val="21"/>
        </w:rPr>
        <w:t>NEXO V - MODELO DE DECLARAÇÃO DE PLENO CONHECIMENTO</w:t>
      </w:r>
      <w:bookmarkEnd w:id="68"/>
    </w:p>
    <w:p w14:paraId="4A6AD10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06594C1E">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EMPRESA)</w:t>
      </w:r>
    </w:p>
    <w:p w14:paraId="5E1E537C">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3150F13">
      <w:pPr>
        <w:pStyle w:val="50"/>
        <w:tabs>
          <w:tab w:val="left" w:pos="1134"/>
        </w:tabs>
        <w:spacing w:before="120" w:beforeAutospacing="0" w:after="12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DECLARAÇÃO DE PLENO CONHECIMENTO DAS INFORMAÇÕES, CONDIÇÕES E LOCAIS PARA CUMPRIMENTO DO OBJETO DA LICITAÇÃO</w:t>
      </w:r>
    </w:p>
    <w:p w14:paraId="4CE51E2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5A05C6C">
      <w:pPr>
        <w:autoSpaceDE w:val="0"/>
        <w:autoSpaceDN w:val="0"/>
        <w:adjustRightInd w:val="0"/>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Órgão Público: Câmara Municipal de Primavera do Leste - MT</w:t>
      </w:r>
    </w:p>
    <w:p w14:paraId="362EFC32">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ascii="Times New Roman" w:hAnsi="Times New Roman" w:cs="Times New Roman"/>
          <w:b/>
          <w:bCs/>
          <w:color w:val="000000"/>
          <w:sz w:val="21"/>
          <w:szCs w:val="21"/>
          <w:highlight w:val="none"/>
        </w:rPr>
        <w:t>Processo Administrativo</w:t>
      </w:r>
      <w:r>
        <w:rPr>
          <w:rFonts w:hint="default" w:cs="Times New Roman"/>
          <w:b/>
          <w:bCs/>
          <w:color w:val="000000"/>
          <w:sz w:val="21"/>
          <w:szCs w:val="21"/>
          <w:highlight w:val="none"/>
          <w:lang w:val="pt-BR"/>
        </w:rPr>
        <w:t xml:space="preserve"> nº 49</w:t>
      </w:r>
      <w:r>
        <w:rPr>
          <w:rFonts w:hint="default" w:ascii="Times New Roman" w:hAnsi="Times New Roman" w:cs="Times New Roman"/>
          <w:b/>
          <w:bCs/>
          <w:color w:val="000000"/>
          <w:sz w:val="21"/>
          <w:szCs w:val="21"/>
          <w:highlight w:val="none"/>
          <w:lang w:val="pt-BR"/>
        </w:rPr>
        <w:t>/2024</w:t>
      </w:r>
    </w:p>
    <w:p w14:paraId="3C8CF59E">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cs="Times New Roman"/>
          <w:b/>
          <w:bCs/>
          <w:color w:val="000000"/>
          <w:sz w:val="21"/>
          <w:szCs w:val="21"/>
          <w:highlight w:val="none"/>
          <w:lang w:val="pt-BR"/>
        </w:rPr>
        <w:t xml:space="preserve"> Pregão Eletrônico nº 19/2024</w:t>
      </w:r>
    </w:p>
    <w:p w14:paraId="33662E26">
      <w:pPr>
        <w:autoSpaceDE w:val="0"/>
        <w:autoSpaceDN w:val="0"/>
        <w:adjustRightInd w:val="0"/>
        <w:spacing w:after="0" w:line="240" w:lineRule="auto"/>
        <w:rPr>
          <w:rFonts w:hint="default" w:ascii="Times New Roman" w:hAnsi="Times New Roman" w:cs="Times New Roman"/>
          <w:b/>
          <w:bCs/>
          <w:color w:val="000000"/>
          <w:sz w:val="21"/>
          <w:szCs w:val="21"/>
        </w:rPr>
      </w:pPr>
    </w:p>
    <w:p w14:paraId="2381B932">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A Empresa __________________________________________________________, com sede na Rua/Av. __________________________ nº _____, Bairro ______________________ na cidade de __________________________ Estado de ____________________, inscrita no CNPJ sob o nº ___________________________, neste ato representada pelo seu Sócio gerente/Administrador o Sr. _______________________________________________, </w:t>
      </w:r>
      <w:r>
        <w:rPr>
          <w:rFonts w:hint="default" w:ascii="Times New Roman" w:hAnsi="Times New Roman" w:cs="Times New Roman"/>
          <w:b/>
          <w:bCs/>
          <w:color w:val="000000"/>
          <w:sz w:val="21"/>
          <w:szCs w:val="21"/>
        </w:rPr>
        <w:t xml:space="preserve">DECLARA, para fins de direito, em atendimento ao art. 67, VI, da Lei Federal nº 14.133, de 2021, </w:t>
      </w:r>
      <w:r>
        <w:rPr>
          <w:rFonts w:hint="default" w:ascii="Times New Roman" w:hAnsi="Times New Roman" w:cs="Times New Roman"/>
          <w:color w:val="000000"/>
          <w:sz w:val="21"/>
          <w:szCs w:val="21"/>
        </w:rPr>
        <w:t xml:space="preserve">que tem pleno conhecimento de todas as informações e das condições locais para o cumprimento das obrigações objeto em questão, e ainda, que aceita como válida a situação em que se encontra para a realização dos serviços a que se refere o referido edital. </w:t>
      </w:r>
    </w:p>
    <w:p w14:paraId="33F3C7FD">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1FEC0B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 xml:space="preserve">mais, para os devidos fins, que </w:t>
      </w:r>
      <w:r>
        <w:rPr>
          <w:rFonts w:hint="default" w:ascii="Times New Roman" w:hAnsi="Times New Roman" w:cs="Times New Roman"/>
          <w:b/>
          <w:bCs/>
          <w:color w:val="000000"/>
          <w:sz w:val="21"/>
          <w:szCs w:val="21"/>
        </w:rPr>
        <w:t xml:space="preserve">NÃO </w:t>
      </w:r>
      <w:r>
        <w:rPr>
          <w:rFonts w:hint="default" w:ascii="Times New Roman" w:hAnsi="Times New Roman" w:cs="Times New Roman"/>
          <w:color w:val="000000"/>
          <w:sz w:val="21"/>
          <w:szCs w:val="21"/>
        </w:rPr>
        <w:t xml:space="preserve">visitei o(s) local(is) onde deve ser elaborado </w:t>
      </w:r>
      <w:r>
        <w:rPr>
          <w:rFonts w:hint="default" w:ascii="Times New Roman" w:hAnsi="Times New Roman" w:cs="Times New Roman"/>
          <w:color w:val="000000"/>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Fonts w:hint="default" w:ascii="Times New Roman" w:hAnsi="Times New Roman" w:cs="Times New Roman"/>
          <w:color w:val="000000"/>
          <w:sz w:val="21"/>
          <w:szCs w:val="21"/>
        </w:rPr>
        <w:t xml:space="preserve">, por opção própria, assumindo assim que </w:t>
      </w:r>
      <w:r>
        <w:rPr>
          <w:rFonts w:hint="default" w:ascii="Times New Roman" w:hAnsi="Times New Roman" w:cs="Times New Roman"/>
          <w:b/>
          <w:bCs/>
          <w:color w:val="000000"/>
          <w:sz w:val="21"/>
          <w:szCs w:val="21"/>
        </w:rPr>
        <w:t xml:space="preserve">CONCORDO </w:t>
      </w:r>
      <w:r>
        <w:rPr>
          <w:rFonts w:hint="default" w:ascii="Times New Roman" w:hAnsi="Times New Roman" w:cs="Times New Roman"/>
          <w:color w:val="000000"/>
          <w:sz w:val="21"/>
          <w:szCs w:val="21"/>
        </w:rPr>
        <w:t>com todas as condições estabelecidas no Edital e seus Anexos, e que, ainda, assumo toda e qualquer responsabilidade pela ocorrência de eventuais prejuízos em virtude da minha omissão na verificação das condições dos locais de execução do objeto do referido certame licitatório.</w:t>
      </w:r>
    </w:p>
    <w:p w14:paraId="29F27213">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600429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outrossim, estar ciente de que os quantitativos apresentado</w:t>
      </w:r>
      <w:r>
        <w:rPr>
          <w:rFonts w:hint="default" w:ascii="Times New Roman" w:hAnsi="Times New Roman" w:cs="Times New Roman"/>
          <w:color w:val="000000"/>
          <w:sz w:val="21"/>
          <w:szCs w:val="21"/>
          <w:lang w:val="pt-BR"/>
        </w:rPr>
        <w:t>s</w:t>
      </w:r>
      <w:r>
        <w:rPr>
          <w:rFonts w:hint="default" w:ascii="Times New Roman" w:hAnsi="Times New Roman" w:cs="Times New Roman"/>
          <w:color w:val="000000"/>
          <w:sz w:val="21"/>
          <w:szCs w:val="21"/>
        </w:rPr>
        <w:t xml:space="preserve"> utilizados na elaboração da proposta são de nossa inteira responsabilidade, não cabendo qualquer tipo de reclamação posterior por parte da empresa quanto a estes valores. </w:t>
      </w:r>
    </w:p>
    <w:p w14:paraId="03904E9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4FD38E71">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E por ser verdade, assina a presente declaração sob as penas da lei. </w:t>
      </w:r>
    </w:p>
    <w:p w14:paraId="5D8D4A8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758DE18F">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[local], ______________, _______ de _______________ de </w:t>
      </w:r>
      <w:r>
        <w:rPr>
          <w:rFonts w:hint="default" w:ascii="Times New Roman" w:hAnsi="Times New Roman" w:cs="Times New Roman"/>
          <w:color w:val="000000"/>
          <w:sz w:val="21"/>
          <w:szCs w:val="21"/>
          <w:lang w:val="pt-BR"/>
        </w:rPr>
        <w:t>2024</w:t>
      </w:r>
      <w:r>
        <w:rPr>
          <w:rFonts w:hint="default" w:ascii="Times New Roman" w:hAnsi="Times New Roman" w:cs="Times New Roman"/>
          <w:color w:val="000000"/>
          <w:sz w:val="21"/>
          <w:szCs w:val="21"/>
        </w:rPr>
        <w:t>.</w:t>
      </w:r>
    </w:p>
    <w:p w14:paraId="0EEF756A">
      <w:pPr>
        <w:autoSpaceDE w:val="0"/>
        <w:autoSpaceDN w:val="0"/>
        <w:adjustRightInd w:val="0"/>
        <w:spacing w:after="0" w:line="240" w:lineRule="auto"/>
        <w:jc w:val="center"/>
        <w:rPr>
          <w:rFonts w:hint="default" w:ascii="Times New Roman" w:hAnsi="Times New Roman" w:cs="Times New Roman"/>
          <w:color w:val="000000"/>
          <w:sz w:val="21"/>
          <w:szCs w:val="21"/>
        </w:rPr>
      </w:pPr>
    </w:p>
    <w:p w14:paraId="7377B5B8">
      <w:pPr>
        <w:autoSpaceDE w:val="0"/>
        <w:autoSpaceDN w:val="0"/>
        <w:adjustRightInd w:val="0"/>
        <w:spacing w:after="0" w:line="240" w:lineRule="auto"/>
        <w:jc w:val="center"/>
        <w:rPr>
          <w:rFonts w:hint="default" w:ascii="Times New Roman" w:hAnsi="Times New Roman" w:cs="Times New Roman"/>
          <w:color w:val="000000"/>
          <w:sz w:val="21"/>
          <w:szCs w:val="21"/>
        </w:rPr>
      </w:pPr>
    </w:p>
    <w:p w14:paraId="5325D31C">
      <w:pPr>
        <w:autoSpaceDE w:val="0"/>
        <w:autoSpaceDN w:val="0"/>
        <w:adjustRightInd w:val="0"/>
        <w:spacing w:after="0" w:line="240" w:lineRule="auto"/>
        <w:jc w:val="center"/>
        <w:rPr>
          <w:rFonts w:hint="default" w:ascii="Times New Roman" w:hAnsi="Times New Roman" w:cs="Times New Roman"/>
          <w:color w:val="000000"/>
          <w:sz w:val="21"/>
          <w:szCs w:val="21"/>
        </w:rPr>
      </w:pPr>
    </w:p>
    <w:p w14:paraId="7A720B26">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(Assinatura do representante legal da empresa)</w:t>
      </w:r>
    </w:p>
    <w:p w14:paraId="4D197FEE">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_____________________________________</w:t>
      </w:r>
    </w:p>
    <w:p w14:paraId="731F61FA">
      <w:pPr>
        <w:autoSpaceDE w:val="0"/>
        <w:autoSpaceDN w:val="0"/>
        <w:adjustRightInd w:val="0"/>
        <w:spacing w:after="0" w:line="240" w:lineRule="auto"/>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Nome do representante legal da empresa</w:t>
      </w:r>
    </w:p>
    <w:p w14:paraId="73077B3C">
      <w:pPr>
        <w:autoSpaceDE w:val="0"/>
        <w:autoSpaceDN w:val="0"/>
        <w:adjustRightInd w:val="0"/>
        <w:spacing w:after="0" w:line="240" w:lineRule="auto"/>
        <w:jc w:val="center"/>
        <w:rPr>
          <w:rFonts w:hint="default" w:ascii="Times New Roman" w:hAnsi="Times New Roman" w:cs="Times New Roman"/>
          <w:b/>
          <w:bCs/>
          <w:color w:val="000000"/>
          <w:sz w:val="21"/>
          <w:szCs w:val="21"/>
        </w:rPr>
      </w:pPr>
    </w:p>
    <w:p w14:paraId="370CCE36">
      <w:pPr>
        <w:rPr>
          <w:rFonts w:hint="default" w:ascii="Times New Roman" w:hAnsi="Times New Roman" w:eastAsia="Times New Roman" w:cs="Times New Roman"/>
          <w:b/>
          <w:bCs/>
          <w:sz w:val="21"/>
          <w:szCs w:val="21"/>
          <w:lang w:eastAsia="pt-BR"/>
        </w:rPr>
      </w:pPr>
    </w:p>
    <w:p w14:paraId="4034C2C8">
      <w:pPr>
        <w:rPr>
          <w:rFonts w:hint="default" w:ascii="Times New Roman" w:hAnsi="Times New Roman" w:eastAsia="Times New Roman" w:cs="Times New Roman"/>
          <w:b/>
          <w:bCs/>
          <w:sz w:val="24"/>
          <w:szCs w:val="24"/>
          <w:lang w:eastAsia="pt-BR"/>
        </w:rPr>
      </w:pPr>
      <w:r>
        <w:rPr>
          <w:rFonts w:hint="default" w:ascii="Times New Roman" w:hAnsi="Times New Roman" w:cs="Times New Roman"/>
        </w:rPr>
        <w:br w:type="page"/>
      </w:r>
    </w:p>
    <w:p w14:paraId="31367E79">
      <w:pPr>
        <w:pStyle w:val="2"/>
        <w:numPr>
          <w:ilvl w:val="0"/>
          <w:numId w:val="0"/>
        </w:numPr>
        <w:spacing w:before="0" w:after="120"/>
        <w:ind w:left="0" w:firstLine="0"/>
        <w:jc w:val="center"/>
        <w:rPr>
          <w:rFonts w:hint="default" w:ascii="Times New Roman" w:hAnsi="Times New Roman"/>
          <w:sz w:val="21"/>
          <w:szCs w:val="21"/>
          <w:lang w:val="pt-BR"/>
        </w:rPr>
      </w:pPr>
      <w:bookmarkStart w:id="69" w:name="_ANEXO_IV_-"/>
      <w:bookmarkEnd w:id="69"/>
      <w:bookmarkStart w:id="70" w:name="_ANEXO_V_-"/>
      <w:bookmarkEnd w:id="70"/>
      <w:bookmarkStart w:id="71" w:name="_ANEXO_VII_-"/>
      <w:bookmarkEnd w:id="71"/>
      <w:bookmarkStart w:id="72" w:name="_Toc149517469"/>
      <w:r>
        <w:rPr>
          <w:sz w:val="21"/>
          <w:szCs w:val="21"/>
        </w:rPr>
        <w:t xml:space="preserve">ANEXO </w:t>
      </w:r>
      <w:r>
        <w:rPr>
          <w:rFonts w:hint="default"/>
          <w:sz w:val="21"/>
          <w:szCs w:val="21"/>
          <w:lang w:val="pt-BR"/>
        </w:rPr>
        <w:t>VI</w:t>
      </w:r>
      <w:r>
        <w:rPr>
          <w:sz w:val="21"/>
          <w:szCs w:val="21"/>
        </w:rPr>
        <w:t xml:space="preserve"> – MINUTA DA ATA DE REGISTRO DE PREÇOS</w:t>
      </w:r>
      <w:bookmarkEnd w:id="72"/>
      <w:r>
        <w:rPr>
          <w:rFonts w:hint="default"/>
          <w:sz w:val="21"/>
          <w:szCs w:val="21"/>
          <w:lang w:val="pt-BR"/>
        </w:rPr>
        <w:t xml:space="preserve"> Nº_____/2024.</w:t>
      </w:r>
    </w:p>
    <w:p w14:paraId="6C69909B">
      <w:pPr>
        <w:tabs>
          <w:tab w:val="left" w:pos="1134"/>
          <w:tab w:val="left" w:pos="3001"/>
        </w:tabs>
        <w:spacing w:before="360" w:after="120" w:line="240" w:lineRule="auto"/>
        <w:ind w:firstLine="567"/>
        <w:jc w:val="both"/>
        <w:rPr>
          <w:sz w:val="21"/>
          <w:szCs w:val="21"/>
        </w:rPr>
      </w:pPr>
      <w:r>
        <w:rPr>
          <w:rFonts w:ascii="Times New Roman" w:hAnsi="Times New Roman" w:cs="Times New Roman"/>
          <w:b/>
          <w:bCs/>
          <w:sz w:val="21"/>
          <w:szCs w:val="21"/>
          <w:lang w:eastAsia="pt-BR"/>
        </w:rPr>
        <w:t>O MUNICÍPIO DE PRIMAVERA DO LESTE - MT</w:t>
      </w:r>
      <w:r>
        <w:rPr>
          <w:rFonts w:ascii="Times New Roman" w:hAnsi="Times New Roman" w:cs="Times New Roman"/>
          <w:b w:val="0"/>
          <w:bCs w:val="0"/>
          <w:sz w:val="21"/>
          <w:szCs w:val="21"/>
          <w:lang w:eastAsia="pt-BR"/>
        </w:rPr>
        <w:t>, por intermédio da</w:t>
      </w:r>
      <w:r>
        <w:rPr>
          <w:rFonts w:ascii="Times New Roman" w:hAnsi="Times New Roman" w:cs="Times New Roman"/>
          <w:b/>
          <w:bCs/>
          <w:sz w:val="21"/>
          <w:szCs w:val="21"/>
          <w:lang w:eastAsia="pt-BR"/>
        </w:rPr>
        <w:t xml:space="preserve"> CÂMARA MUNICIPAL</w:t>
      </w:r>
      <w:r>
        <w:rPr>
          <w:rFonts w:ascii="Times New Roman" w:hAnsi="Times New Roman" w:cs="Arial"/>
          <w:sz w:val="21"/>
          <w:szCs w:val="21"/>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1"/>
          <w:szCs w:val="21"/>
          <w:lang w:eastAsia="en-US"/>
        </w:rPr>
        <w:t>Valdecir Alventino da Silva,</w:t>
      </w:r>
      <w:r>
        <w:rPr>
          <w:rFonts w:ascii="Times New Roman" w:hAnsi="Times New Roman" w:cs="Times New Roman"/>
          <w:sz w:val="21"/>
          <w:szCs w:val="21"/>
          <w:lang w:eastAsia="pt-BR"/>
        </w:rPr>
        <w:t xml:space="preserve"> doravante denominada ÓRGÃO GERENCIADOR, institui a presente </w:t>
      </w:r>
      <w:r>
        <w:rPr>
          <w:rFonts w:ascii="Times New Roman" w:hAnsi="Times New Roman" w:cs="Times New Roman"/>
          <w:b/>
          <w:bCs/>
          <w:sz w:val="21"/>
          <w:szCs w:val="21"/>
          <w:lang w:eastAsia="pt-BR"/>
        </w:rPr>
        <w:t>ARP - ATA DE REGISTRO DE PREÇOS</w:t>
      </w:r>
      <w:r>
        <w:rPr>
          <w:rFonts w:ascii="Times New Roman" w:hAnsi="Times New Roman" w:cs="Times New Roman"/>
          <w:sz w:val="21"/>
          <w:szCs w:val="21"/>
          <w:lang w:eastAsia="pt-BR"/>
        </w:rPr>
        <w:t>, decorrente da licitação na modalidade de Pregão, em sua forma eletrônica, sob o número</w:t>
      </w:r>
      <w:r>
        <w:rPr>
          <w:rFonts w:hint="default" w:ascii="Times New Roman" w:hAnsi="Times New Roman" w:cs="Times New Roman"/>
          <w:sz w:val="21"/>
          <w:szCs w:val="21"/>
          <w:lang w:val="en-US" w:eastAsia="pt-BR"/>
        </w:rPr>
        <w:t xml:space="preserve"> </w:t>
      </w:r>
      <w:r>
        <w:rPr>
          <w:rFonts w:hint="default" w:cs="Times New Roman"/>
          <w:sz w:val="21"/>
          <w:szCs w:val="21"/>
          <w:lang w:val="en-US" w:eastAsia="pt-BR"/>
        </w:rPr>
        <w:t>17/</w:t>
      </w:r>
      <w:r>
        <w:rPr>
          <w:rFonts w:ascii="Times New Roman" w:hAnsi="Times New Roman" w:cs="Times New Roman"/>
          <w:sz w:val="21"/>
          <w:szCs w:val="21"/>
          <w:shd w:val="clear" w:fill="auto"/>
          <w:lang w:eastAsia="pt-BR"/>
        </w:rPr>
        <w:t xml:space="preserve">2024, </w:t>
      </w:r>
      <w:r>
        <w:rPr>
          <w:rFonts w:ascii="Times New Roman" w:hAnsi="Times New Roman" w:cs="Times New Roman"/>
          <w:sz w:val="21"/>
          <w:szCs w:val="21"/>
          <w:lang w:eastAsia="pt-BR"/>
        </w:rPr>
        <w:t xml:space="preserve">com critério de julgamento </w:t>
      </w:r>
      <w:r>
        <w:rPr>
          <w:rFonts w:cs="Times New Roman"/>
          <w:b/>
          <w:bCs/>
          <w:sz w:val="21"/>
          <w:szCs w:val="21"/>
          <w:lang w:eastAsia="pt-BR"/>
        </w:rPr>
        <w:t xml:space="preserve">MENOR PREÇO POR </w:t>
      </w:r>
      <w:r>
        <w:rPr>
          <w:rFonts w:hint="default" w:cs="Times New Roman"/>
          <w:b/>
          <w:bCs/>
          <w:sz w:val="21"/>
          <w:szCs w:val="21"/>
          <w:lang w:val="en-US" w:eastAsia="pt-BR"/>
        </w:rPr>
        <w:t>ITEM</w:t>
      </w:r>
      <w:r>
        <w:rPr>
          <w:rFonts w:ascii="Times New Roman" w:hAnsi="Times New Roman" w:cs="Times New Roman"/>
          <w:sz w:val="21"/>
          <w:szCs w:val="21"/>
          <w:lang w:eastAsia="pt-BR"/>
        </w:rPr>
        <w:t xml:space="preserve">, cujo objeto é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processada nos termos do </w:t>
      </w:r>
      <w:r>
        <w:rPr>
          <w:rFonts w:cs="Times New Roman"/>
          <w:sz w:val="21"/>
          <w:szCs w:val="21"/>
          <w:lang w:eastAsia="pt-BR"/>
        </w:rPr>
        <w:t xml:space="preserve">Processo Administrativo nº </w:t>
      </w:r>
      <w:r>
        <w:rPr>
          <w:rFonts w:hint="default" w:cs="Times New Roman"/>
          <w:sz w:val="21"/>
          <w:szCs w:val="21"/>
          <w:lang w:val="en-US" w:eastAsia="pt-BR"/>
        </w:rPr>
        <w:t>49</w:t>
      </w:r>
      <w:r>
        <w:rPr>
          <w:rFonts w:cs="Times New Roman"/>
          <w:sz w:val="21"/>
          <w:szCs w:val="21"/>
          <w:lang w:eastAsia="pt-BR"/>
        </w:rPr>
        <w:t>/2024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o qual se constitui em documento vinculativo e obrigacional às partes, à luz da permissão inserta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"art40"</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40, II</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"art78"</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78, IV</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e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82</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a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86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regulamentado </w:t>
      </w:r>
      <w:r>
        <w:rPr>
          <w:rFonts w:ascii="Times New Roman" w:hAnsi="Times New Roman" w:cs="Times New Roman"/>
          <w:color w:val="000000"/>
          <w:sz w:val="21"/>
          <w:szCs w:val="21"/>
          <w:lang w:eastAsia="pt-BR"/>
        </w:rPr>
        <w:t>Decreto Estadual n</w:t>
      </w:r>
      <w:r>
        <w:rPr>
          <w:rFonts w:ascii="Times New Roman" w:hAnsi="Times New Roman" w:cs="Times New Roman"/>
          <w:b/>
          <w:bCs/>
          <w:color w:val="000000"/>
          <w:sz w:val="21"/>
          <w:szCs w:val="21"/>
          <w:lang w:eastAsia="pt-BR"/>
        </w:rPr>
        <w:t xml:space="preserve">º </w:t>
      </w:r>
      <w:r>
        <w:rPr>
          <w:rFonts w:ascii="Times New Roman" w:hAnsi="Times New Roman" w:cs="Times New Roman"/>
          <w:color w:val="000000"/>
          <w:sz w:val="21"/>
          <w:szCs w:val="21"/>
          <w:lang w:eastAsia="pt-BR"/>
        </w:rPr>
        <w:t>7.217/2006, e em conformidade com as disposições a seguir:</w:t>
      </w:r>
    </w:p>
    <w:p w14:paraId="6EEAD42D">
      <w:pPr>
        <w:pStyle w:val="68"/>
        <w:numPr>
          <w:ilvl w:val="0"/>
          <w:numId w:val="15"/>
        </w:numPr>
        <w:tabs>
          <w:tab w:val="left" w:pos="480"/>
        </w:tabs>
        <w:spacing w:before="240" w:after="120" w:line="240" w:lineRule="auto"/>
        <w:ind w:left="357" w:hanging="357"/>
        <w:contextualSpacing w:val="0"/>
        <w:jc w:val="both"/>
        <w:rPr>
          <w:rFonts w:ascii="Times New Roman" w:hAnsi="Times New Roman" w:cs="Times New Roman"/>
          <w:sz w:val="21"/>
          <w:szCs w:val="21"/>
          <w:lang w:eastAsia="pt-BR"/>
        </w:rPr>
      </w:pPr>
      <w:r>
        <w:rPr>
          <w:rFonts w:ascii="Times New Roman" w:hAnsi="Times New Roman" w:cs="Times New Roman"/>
          <w:b/>
          <w:bCs/>
          <w:sz w:val="21"/>
          <w:szCs w:val="21"/>
          <w:u w:val="single"/>
          <w:lang w:eastAsia="pt-BR"/>
        </w:rPr>
        <w:t>OBJETO</w:t>
      </w:r>
    </w:p>
    <w:p w14:paraId="51975CC4">
      <w:pPr>
        <w:pStyle w:val="68"/>
        <w:numPr>
          <w:ilvl w:val="0"/>
          <w:numId w:val="0"/>
        </w:numPr>
        <w:tabs>
          <w:tab w:val="left" w:pos="480"/>
        </w:tabs>
        <w:spacing w:before="240" w:after="120" w:line="240" w:lineRule="auto"/>
        <w:ind w:leftChars="0"/>
        <w:contextualSpacing w:val="0"/>
        <w:jc w:val="both"/>
        <w:rPr>
          <w:rFonts w:ascii="Times New Roman" w:hAnsi="Times New Roman" w:cs="Times New Roman"/>
          <w:sz w:val="21"/>
          <w:szCs w:val="21"/>
          <w:lang w:eastAsia="pt-BR"/>
        </w:rPr>
      </w:pPr>
      <w:r>
        <w:rPr>
          <w:rFonts w:hint="default" w:ascii="Times New Roman" w:hAnsi="Times New Roman" w:cs="Times New Roman"/>
          <w:b/>
          <w:bCs/>
          <w:sz w:val="21"/>
          <w:szCs w:val="21"/>
          <w:u w:val="none"/>
          <w:lang w:val="en-US" w:eastAsia="pt-BR"/>
        </w:rPr>
        <w:t xml:space="preserve">1.1 </w:t>
      </w:r>
      <w:r>
        <w:rPr>
          <w:rFonts w:ascii="Times New Roman" w:hAnsi="Times New Roman" w:cs="Times New Roman"/>
          <w:sz w:val="21"/>
          <w:szCs w:val="21"/>
          <w:lang w:eastAsia="pt-BR"/>
        </w:rPr>
        <w:t xml:space="preserve">A presente Ata tem por objeto </w:t>
      </w:r>
      <w:r>
        <w:rPr>
          <w:rFonts w:hint="default" w:cs="Times New Roman"/>
          <w:sz w:val="21"/>
          <w:szCs w:val="21"/>
          <w:lang w:val="en-US" w:eastAsia="pt-BR"/>
        </w:rPr>
        <w:t xml:space="preserve">é o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Fonts w:hint="default" w:cs="Times New Roman"/>
          <w:b/>
          <w:bCs/>
          <w:kern w:val="0"/>
          <w:sz w:val="21"/>
          <w:szCs w:val="21"/>
          <w:lang w:val="pt-BR" w:eastAsia="zh-CN" w:bidi="ar"/>
        </w:rPr>
        <w:t>.</w:t>
      </w:r>
    </w:p>
    <w:p w14:paraId="5EE856AD">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 xml:space="preserve">ÓRGÃOS GERENCIADOR E PARTICIPANTES </w:t>
      </w:r>
    </w:p>
    <w:p w14:paraId="0B9F0E2C">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ÓRGÃO GERENCIADOR da presente Ata de Registro de Preço - ARP será a Câmara Municipal de Primavera do Leste - MT, já identificado no preâmbulo. </w:t>
      </w:r>
    </w:p>
    <w:p w14:paraId="3CEEEBD0">
      <w:pPr>
        <w:pStyle w:val="68"/>
        <w:numPr>
          <w:ilvl w:val="0"/>
          <w:numId w:val="15"/>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REGISTROS FORMALIZADOS</w:t>
      </w:r>
    </w:p>
    <w:p w14:paraId="68A31B5B">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A presente ARP estabelece as cláusulas e condições gerais para o</w:t>
      </w:r>
      <w:r>
        <w:rPr>
          <w:rFonts w:hint="default" w:cs="Times New Roman"/>
          <w:sz w:val="21"/>
          <w:szCs w:val="21"/>
          <w:lang w:val="en-US" w:eastAsia="pt-BR"/>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Fonts w:ascii="Times New Roman" w:hAnsi="Times New Roman" w:cs="Times New Roman"/>
          <w:sz w:val="21"/>
          <w:szCs w:val="21"/>
          <w:lang w:eastAsia="pt-BR"/>
        </w:rPr>
        <w:t>, cujas especificações, preço(s), marca(s)/modelo(s), quantitativo(s) e fornecedor(es) foram previamente definidos por meio do procedimento licitatório supracitado.</w:t>
      </w:r>
    </w:p>
    <w:p w14:paraId="5CC9A7CC">
      <w:pPr>
        <w:pStyle w:val="68"/>
        <w:numPr>
          <w:ilvl w:val="0"/>
          <w:numId w:val="15"/>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DOS PREÇOS, ESPECIFICAÇÕES E QUANTITATIVOS</w:t>
      </w:r>
    </w:p>
    <w:p w14:paraId="6DBE170D">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0111569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3B0A6A79">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Empresa: XXXXXXXXXXXX - CNPJ: XXXXXXXXXXX</w:t>
            </w:r>
          </w:p>
          <w:p w14:paraId="7FD91E2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Representante Legal: XXXXXXXXX</w:t>
            </w:r>
          </w:p>
          <w:p w14:paraId="4E99A4E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Telefone: (XX) XXXX-XXXX - E-mail: XXX</w:t>
            </w:r>
          </w:p>
          <w:p w14:paraId="698A3CF0">
            <w:pPr>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Endereço: XXX</w:t>
            </w:r>
          </w:p>
        </w:tc>
      </w:tr>
      <w:tr w14:paraId="46A0821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D4641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94A3766">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F69884">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EE4C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5C195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4B65D70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4DA4F3">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DBA43CB">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p>
        </w:tc>
      </w:tr>
      <w:tr w14:paraId="527990B6">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3127E4D2">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D9FE15">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148BF6D3">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61DE327A">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0D1819CE">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526A1667">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XXXXX</w:t>
            </w:r>
          </w:p>
        </w:tc>
      </w:tr>
    </w:tbl>
    <w:p w14:paraId="1F518DD1">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1EB10C85">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Termo de Referência contendo as especificações técnicas completas e todas as condições gerais de execução do objeto;</w:t>
      </w:r>
    </w:p>
    <w:p w14:paraId="207BE7AF">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Proposta(s) comercial(is) do(s) particular(es) cujo(s) preço(s) conta(m) registrado(s);</w:t>
      </w:r>
    </w:p>
    <w:p w14:paraId="152D1849">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Edital do  </w:t>
      </w:r>
      <w:r>
        <w:rPr>
          <w:rFonts w:cs="Times New Roman"/>
          <w:sz w:val="21"/>
          <w:szCs w:val="21"/>
          <w:lang w:eastAsia="pt-BR"/>
        </w:rPr>
        <w:t xml:space="preserve">Pregão Eletrônico  nº </w:t>
      </w:r>
      <w:r>
        <w:rPr>
          <w:rFonts w:hint="default" w:cs="Times New Roman"/>
          <w:sz w:val="21"/>
          <w:szCs w:val="21"/>
          <w:lang w:val="en-US" w:eastAsia="pt-BR"/>
        </w:rPr>
        <w:t>19</w:t>
      </w:r>
      <w:r>
        <w:rPr>
          <w:rFonts w:cs="Times New Roman"/>
          <w:sz w:val="21"/>
          <w:szCs w:val="21"/>
          <w:lang w:eastAsia="pt-BR"/>
        </w:rPr>
        <w:t>/2024</w:t>
      </w:r>
      <w:r>
        <w:rPr>
          <w:rFonts w:ascii="Times New Roman" w:hAnsi="Times New Roman" w:cs="Times New Roman"/>
          <w:sz w:val="21"/>
          <w:szCs w:val="21"/>
          <w:lang w:eastAsia="pt-BR"/>
        </w:rPr>
        <w:t>.</w:t>
      </w:r>
    </w:p>
    <w:p w14:paraId="2D42E4DB">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VIGÊNCIA DA ARP</w:t>
      </w:r>
    </w:p>
    <w:p w14:paraId="68014F40">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O prazo de vigência da ata de registro de preços será de 1 (um) ano, contado do primeiro dia útil subsequente à data de divulgação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rFonts w:ascii="Times New Roman" w:hAnsi="Times New Roman"/>
          <w:sz w:val="21"/>
          <w:szCs w:val="21"/>
          <w:lang w:eastAsia="pt-BR"/>
        </w:rPr>
        <w:t>https://pncp.gov.br/</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poderá ser prorrogado por igual período, desde que comprovado que o preço é vantajoso.</w:t>
      </w:r>
    </w:p>
    <w:p w14:paraId="28192BE1">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dependerá da concordância das partes e de comprovação da vantajosidade dos preços.</w:t>
      </w:r>
    </w:p>
    <w:p w14:paraId="67B7E0B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será registrada mediante termo de prorrogação pactuado pelas partes nos autos de gestão da ARP.</w:t>
      </w:r>
    </w:p>
    <w:p w14:paraId="6FB86987">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deverá ser publicada e divulgada nos meios oficiais de publicação e divulgação.</w:t>
      </w:r>
    </w:p>
    <w:p w14:paraId="5FDB8864">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CONTRATAÇÕES FUTURAS</w:t>
      </w:r>
    </w:p>
    <w:p w14:paraId="4485BBD6">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CABC70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080C6419">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 2º,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53E58917">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A contratação decorrente deverá observar as condições fixadas no Edital de Licitação referente ao  </w:t>
      </w:r>
      <w:r>
        <w:rPr>
          <w:rFonts w:cs="Times New Roman"/>
          <w:sz w:val="21"/>
          <w:szCs w:val="21"/>
          <w:lang w:eastAsia="pt-BR"/>
        </w:rPr>
        <w:t>Pregão</w:t>
      </w:r>
      <w:r>
        <w:rPr>
          <w:rFonts w:hint="default" w:cs="Times New Roman"/>
          <w:sz w:val="21"/>
          <w:szCs w:val="21"/>
          <w:lang w:val="en-US" w:eastAsia="pt-BR"/>
        </w:rPr>
        <w:t xml:space="preserve"> Eletrônico </w:t>
      </w:r>
      <w:r>
        <w:rPr>
          <w:rFonts w:cs="Times New Roman"/>
          <w:sz w:val="21"/>
          <w:szCs w:val="21"/>
          <w:lang w:eastAsia="pt-BR"/>
        </w:rPr>
        <w:t xml:space="preserve"> nº 1</w:t>
      </w:r>
      <w:r>
        <w:rPr>
          <w:rFonts w:hint="default" w:cs="Times New Roman"/>
          <w:sz w:val="21"/>
          <w:szCs w:val="21"/>
          <w:lang w:val="en-US" w:eastAsia="pt-BR"/>
        </w:rPr>
        <w:t>9</w:t>
      </w:r>
      <w:r>
        <w:rPr>
          <w:rFonts w:cs="Times New Roman"/>
          <w:sz w:val="21"/>
          <w:szCs w:val="21"/>
          <w:lang w:eastAsia="pt-BR"/>
        </w:rPr>
        <w:t>/2024</w:t>
      </w:r>
      <w:r>
        <w:rPr>
          <w:rFonts w:ascii="Times New Roman" w:hAnsi="Times New Roman" w:cs="Times New Roman"/>
          <w:sz w:val="21"/>
          <w:szCs w:val="21"/>
          <w:shd w:val="clear" w:fill="auto"/>
          <w:lang w:eastAsia="pt-BR"/>
        </w:rPr>
        <w:t xml:space="preserve"> </w:t>
      </w:r>
      <w:r>
        <w:rPr>
          <w:rFonts w:ascii="Times New Roman" w:hAnsi="Times New Roman" w:cs="Times New Roman"/>
          <w:sz w:val="21"/>
          <w:szCs w:val="21"/>
          <w:lang w:eastAsia="pt-BR"/>
        </w:rPr>
        <w:t>e seus anexos.</w:t>
      </w:r>
    </w:p>
    <w:p w14:paraId="7BEEA03B">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VÍNCULOS DA ARP</w:t>
      </w:r>
    </w:p>
    <w:p w14:paraId="05325A38">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existência desta ARP não obriga a Administração a contratar, facultando-se a realização de licitação específica para a aquisição pretendida, assegurada preferência ao fornecedor registrado em igualdade de condições.</w:t>
      </w:r>
    </w:p>
    <w:p w14:paraId="477C94E2">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1"/>
          <w:szCs w:val="21"/>
          <w:lang w:eastAsia="pt-BR"/>
        </w:rPr>
        <w:t>Pregão</w:t>
      </w:r>
      <w:r>
        <w:rPr>
          <w:rFonts w:hint="default" w:cs="Times New Roman"/>
          <w:sz w:val="21"/>
          <w:szCs w:val="21"/>
          <w:lang w:val="en-US" w:eastAsia="pt-BR"/>
        </w:rPr>
        <w:t xml:space="preserve"> Eletrônico </w:t>
      </w:r>
      <w:r>
        <w:rPr>
          <w:rFonts w:cs="Times New Roman"/>
          <w:sz w:val="21"/>
          <w:szCs w:val="21"/>
          <w:lang w:eastAsia="pt-BR"/>
        </w:rPr>
        <w:t xml:space="preserve"> nº </w:t>
      </w:r>
      <w:r>
        <w:rPr>
          <w:rFonts w:hint="default" w:cs="Times New Roman"/>
          <w:sz w:val="21"/>
          <w:szCs w:val="21"/>
          <w:lang w:val="en-US" w:eastAsia="pt-BR"/>
        </w:rPr>
        <w:t>19</w:t>
      </w:r>
      <w:r>
        <w:rPr>
          <w:rFonts w:cs="Times New Roman"/>
          <w:sz w:val="21"/>
          <w:szCs w:val="21"/>
          <w:lang w:eastAsia="pt-BR"/>
        </w:rPr>
        <w:t>/2024</w:t>
      </w:r>
      <w:r>
        <w:rPr>
          <w:rFonts w:ascii="Times New Roman" w:hAnsi="Times New Roman" w:cs="Times New Roman"/>
          <w:sz w:val="21"/>
          <w:szCs w:val="21"/>
          <w:shd w:val="clear" w:fill="auto"/>
          <w:lang w:eastAsia="pt-BR"/>
        </w:rPr>
        <w:t>.</w:t>
      </w:r>
    </w:p>
    <w:p w14:paraId="1D1B9372">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ADESÃO DE ÓRGÃO OU ENTIDADE PÚBLICA NÃO PARTICIPANTE</w:t>
      </w:r>
    </w:p>
    <w:p w14:paraId="59CF6B16">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86, §§ 2º a 5º,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desde que observadas as disposições abaixo:</w:t>
      </w:r>
    </w:p>
    <w:p w14:paraId="0ECC2DEA">
      <w:pPr>
        <w:pStyle w:val="68"/>
        <w:numPr>
          <w:ilvl w:val="2"/>
          <w:numId w:val="15"/>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O órgão ou entidade pública interessado na adesão deverá consultar prévia e diretamente o fornecedor titular da ARP, visando obter a concordância formal com a contratação pretendida.</w:t>
      </w:r>
    </w:p>
    <w:p w14:paraId="0AF4840D">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É faculdade do fornecedor titular da ARP, observadas as condições nela estabelecidas, a aceitação ou não da contratação decorrente de adesão, independentemente de qualquer justificativa formal.</w:t>
      </w:r>
    </w:p>
    <w:p w14:paraId="1D7294F2">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Cabe ao órgão ou entidade aderente encaminhar ao GERENCIADOR a concordância do fornecedor.</w:t>
      </w:r>
    </w:p>
    <w:p w14:paraId="77D7248A">
      <w:pPr>
        <w:pStyle w:val="68"/>
        <w:numPr>
          <w:ilvl w:val="2"/>
          <w:numId w:val="15"/>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Proceder à consulta formal ao GERENCIADOR, por meio de ofício ou outro expediente competente, encaminhado para o e-mail institucional </w:t>
      </w:r>
      <w:r>
        <w:rPr>
          <w:sz w:val="21"/>
          <w:szCs w:val="21"/>
        </w:rPr>
        <w:fldChar w:fldCharType="begin"/>
      </w:r>
      <w:r>
        <w:rPr>
          <w:sz w:val="21"/>
          <w:szCs w:val="21"/>
        </w:rPr>
        <w:instrText xml:space="preserve"> HYPERLINK "mailto:compras@primaveradoleste.mt.leg.br" \h </w:instrText>
      </w:r>
      <w:r>
        <w:rPr>
          <w:sz w:val="21"/>
          <w:szCs w:val="21"/>
        </w:rPr>
        <w:fldChar w:fldCharType="separate"/>
      </w:r>
      <w:r>
        <w:rPr>
          <w:rStyle w:val="62"/>
          <w:rFonts w:ascii="Times New Roman" w:hAnsi="Times New Roman"/>
          <w:sz w:val="21"/>
          <w:szCs w:val="21"/>
          <w:lang w:eastAsia="pt-BR"/>
        </w:rPr>
        <w:t>compras@primaveradoleste.mt.leg.br</w:t>
      </w:r>
      <w:r>
        <w:rPr>
          <w:rStyle w:val="62"/>
          <w:rFonts w:ascii="Times New Roman" w:hAnsi="Times New Roman"/>
          <w:sz w:val="21"/>
          <w:szCs w:val="21"/>
          <w:lang w:eastAsia="pt-BR"/>
        </w:rPr>
        <w:fldChar w:fldCharType="end"/>
      </w:r>
      <w:r>
        <w:rPr>
          <w:rFonts w:ascii="Times New Roman" w:hAnsi="Times New Roman" w:cs="Times New Roman"/>
          <w:sz w:val="21"/>
          <w:szCs w:val="21"/>
        </w:rPr>
        <w:t xml:space="preserve">, </w:t>
      </w:r>
      <w:r>
        <w:rPr>
          <w:rFonts w:ascii="Times New Roman" w:hAnsi="Times New Roman" w:cs="Times New Roman"/>
          <w:sz w:val="21"/>
          <w:szCs w:val="21"/>
          <w:lang w:eastAsia="pt-BR"/>
        </w:rPr>
        <w:t>no qual deverá constar o objeto que interessa contratar, o respectivo quantitativo pretendido e a concordância do fornecedor para fins de análise e manifestação sobre a possibilidade de adesão.</w:t>
      </w:r>
    </w:p>
    <w:p w14:paraId="306E2689">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30399FF">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CACD96E">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163F1DA4">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LIMITES PARA ADESÕES</w:t>
      </w:r>
    </w:p>
    <w:p w14:paraId="6CDE61B5">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58A268">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817649">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0D466E1">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 2º,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171167F6">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8DD0AB6">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Em até 90 (noventa) dias corridos, contados do recebimento da autorização, em razão da caducidade do ato, podendo o prazo ser prorrogado pelo ÓRGÃO GERENCIADOR, desde que solicitado pelo interessado e ainda vigente a ARP; e,</w:t>
      </w:r>
    </w:p>
    <w:p w14:paraId="4EDA31A9">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Apenas durante a vigência da presente ARP.</w:t>
      </w:r>
    </w:p>
    <w:p w14:paraId="0D2BDA1F">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COMUNICAÇÃO AO GERENCIADOR</w:t>
      </w:r>
    </w:p>
    <w:p w14:paraId="3472ADA2">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A163B32">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VEDAÇÃO A ACRÉSCIMO DE QUANTITATIVOS</w:t>
      </w:r>
    </w:p>
    <w:p w14:paraId="3020458A">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É vedado efetuar acréscimos nos quantitativos fixados na ata de registro de preços.</w:t>
      </w:r>
    </w:p>
    <w:p w14:paraId="52F5D24A">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CONTRATAÇÃO DECORRENTE DA ARP</w:t>
      </w:r>
    </w:p>
    <w:p w14:paraId="18FC815F">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1"/>
          <w:szCs w:val="21"/>
          <w:lang w:eastAsia="pt-BR"/>
        </w:rPr>
        <w:t>Edital do  Pregão</w:t>
      </w:r>
      <w:r>
        <w:rPr>
          <w:rFonts w:hint="default" w:cs="Times New Roman"/>
          <w:sz w:val="21"/>
          <w:szCs w:val="21"/>
          <w:lang w:val="en-US" w:eastAsia="pt-BR"/>
        </w:rPr>
        <w:t xml:space="preserve"> Eletrônico</w:t>
      </w:r>
      <w:r>
        <w:rPr>
          <w:rFonts w:cs="Times New Roman"/>
          <w:sz w:val="21"/>
          <w:szCs w:val="21"/>
          <w:lang w:eastAsia="pt-BR"/>
        </w:rPr>
        <w:t xml:space="preserve"> nº </w:t>
      </w:r>
      <w:r>
        <w:rPr>
          <w:rFonts w:hint="default" w:cs="Times New Roman"/>
          <w:sz w:val="21"/>
          <w:szCs w:val="21"/>
          <w:lang w:val="en-US" w:eastAsia="pt-BR"/>
        </w:rPr>
        <w:t>19</w:t>
      </w:r>
      <w:r>
        <w:rPr>
          <w:rFonts w:cs="Times New Roman"/>
          <w:sz w:val="21"/>
          <w:szCs w:val="21"/>
          <w:lang w:eastAsia="pt-BR"/>
        </w:rPr>
        <w:t>/2024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conforme 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"art95"</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95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não havendo a formalização de Instrumento de Contrato.</w:t>
      </w:r>
    </w:p>
    <w:p w14:paraId="5624A90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formalização da contratação deverá haver a indicação da disponibilidade dos créditos orçamentários respectivos.</w:t>
      </w:r>
    </w:p>
    <w:p w14:paraId="3E2EE6B5">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As contratações decorrentes do sistema de registro de preços poderão ser alteradas, observado o disposto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arts. 124 a 136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76EE5AAF">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ATRIBUIÇÕES DO GERENCIADOR DA ARP</w:t>
      </w:r>
    </w:p>
    <w:p w14:paraId="35A10FE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2768B539">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 ao setor ou servidor designado do ÓRGÃO GERENCIADOR, conforme regulamento operacional interno, as atribuições inerentes ao gerenciamento da presente ARP, particularmente quanto a(ao):</w:t>
      </w:r>
    </w:p>
    <w:p w14:paraId="2DA92BD5">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Providenciar a elaboração e publicação da presente ARP;</w:t>
      </w:r>
    </w:p>
    <w:p w14:paraId="44B492F9">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Encaminhar ao(s) órgão(s) e/ou entidade(s) participantes a presente ARP, como também suas eventuais e posteriores alterações, devidamente assinadas e publicadas;</w:t>
      </w:r>
    </w:p>
    <w:p w14:paraId="62704C4C">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Controlar, de forma permanente, a utilização da ARP para fins de contratações, durante toda sua vigência;</w:t>
      </w:r>
    </w:p>
    <w:p w14:paraId="182B8A38">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61EB205E">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70D6485">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Conduzir eventuais procedimentos de alterações dos preços registrados para fins de adequação às novas condições de mercado, observada a legislação vigente e jurisprudência do TCU;</w:t>
      </w:r>
    </w:p>
    <w:p w14:paraId="5A0DFDDD">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5068EDA4">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0CD23FCE">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A07D324">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Instruir os autos de gestão da presente ARP.</w:t>
      </w:r>
    </w:p>
    <w:p w14:paraId="32A4720B">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ATRIBUIÇÕES DO PARTICIPANTE</w:t>
      </w:r>
    </w:p>
    <w:p w14:paraId="00D65A61">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Ao órgão ou entidade PARTICIPANTE compete:</w:t>
      </w:r>
    </w:p>
    <w:p w14:paraId="014D1AB4">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Tomar conhecimento da ARP, incluindo eventuais alterações, cancelamentos e revogações, a fim de utilizá-la de forma correta;</w:t>
      </w:r>
    </w:p>
    <w:p w14:paraId="248265DE">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Verificar a conformidade das condições registradas na ARP junto ao mercado local, informando ao ÓRGÃO GERENCIADOR eventuais desvantagens verificadas para fins de renegociação ou cancelamento;</w:t>
      </w:r>
    </w:p>
    <w:p w14:paraId="2277E33C">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C9A592E">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Acompanhar e fiscalizar o fiel cumprimento das obrigações contidas no edital da licitação e na ARP, informando ao ÓRGÃO GERENCIADOR qualquer irregularidade ou inadimplemento do particular;</w:t>
      </w:r>
    </w:p>
    <w:p w14:paraId="3752BA31">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Aplicar, garantida a ampla defesa e o contraditório, as penalidades decorrentes do descumprimento das obrigações contratuais em relação às suas próprias contratações, informando as ocorrências ao ÓRGÃO GERENCIADOR.</w:t>
      </w:r>
    </w:p>
    <w:p w14:paraId="07A1BF2B">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OBRIGAÇÕES DO FORNECEDOR</w:t>
      </w:r>
    </w:p>
    <w:p w14:paraId="47849D10">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FORNECEDOR cujo preço conste registrado na presente ARP obriga-se a:</w:t>
      </w:r>
    </w:p>
    <w:p w14:paraId="710D3892">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Retirar a respectiva nota de empenho no prazo máximo de 5 (cinco) dias úteis, contados da convocação;</w:t>
      </w:r>
    </w:p>
    <w:p w14:paraId="61F9F7AB">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038AB7E4">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3E3CA24">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Respeitar as demais condições e obrigações contidas nesta ARP e no Edital e Anexos do  </w:t>
      </w:r>
      <w:r>
        <w:rPr>
          <w:rFonts w:cs="Times New Roman"/>
          <w:sz w:val="21"/>
          <w:szCs w:val="21"/>
          <w:lang w:eastAsia="pt-BR"/>
        </w:rPr>
        <w:t>Pregão Eletrônico</w:t>
      </w:r>
      <w:r>
        <w:rPr>
          <w:rFonts w:hint="default" w:cs="Times New Roman"/>
          <w:sz w:val="21"/>
          <w:szCs w:val="21"/>
          <w:lang w:val="en-US" w:eastAsia="pt-BR"/>
        </w:rPr>
        <w:t xml:space="preserve"> </w:t>
      </w:r>
      <w:r>
        <w:rPr>
          <w:rFonts w:cs="Times New Roman"/>
          <w:sz w:val="21"/>
          <w:szCs w:val="21"/>
          <w:lang w:eastAsia="pt-BR"/>
        </w:rPr>
        <w:t xml:space="preserve">nº </w:t>
      </w:r>
      <w:r>
        <w:rPr>
          <w:rFonts w:hint="default" w:cs="Times New Roman"/>
          <w:sz w:val="21"/>
          <w:szCs w:val="21"/>
          <w:lang w:val="en-US" w:eastAsia="pt-BR"/>
        </w:rPr>
        <w:t>19</w:t>
      </w:r>
      <w:r>
        <w:rPr>
          <w:rFonts w:cs="Times New Roman"/>
          <w:sz w:val="21"/>
          <w:szCs w:val="21"/>
          <w:lang w:eastAsia="pt-BR"/>
        </w:rPr>
        <w:t>/2024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ressalvada a ocorrência de fato(s) superveniente(s), comprovados(s) e aceito(s) pelo ÓRGÃO GERENCIADOR;</w:t>
      </w:r>
    </w:p>
    <w:p w14:paraId="5909148C">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Providenciar a imediata correção de deficiências, falhas ou irregularidades constatadas pela(s) CONTRATANTE(S) referentes às condições firmadas na presente ARP;</w:t>
      </w:r>
    </w:p>
    <w:p w14:paraId="5AEBAC7A">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Fornecer, sempre que solicitado, no prazo máximo de 5 (cinco) dias úteis, documentação de habilitação e qualificação cujas validades encontrem-se vencidas;</w:t>
      </w:r>
    </w:p>
    <w:p w14:paraId="2631D65D">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Prover condições que possibilitem o atendimento das obrigações firmadas a partir da data de homologação do procedimento licitatório;</w:t>
      </w:r>
    </w:p>
    <w:p w14:paraId="3680CBC2">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Ressarcir os eventuais prejuízos causados aos órgãos contratantes e/ou a terceiros, provocados por ineficiência ou irregularidades cometidas na execução das obrigações assumidas na ARP;</w:t>
      </w:r>
    </w:p>
    <w:p w14:paraId="2E460C53">
      <w:pPr>
        <w:pStyle w:val="68"/>
        <w:numPr>
          <w:ilvl w:val="2"/>
          <w:numId w:val="15"/>
        </w:numPr>
        <w:tabs>
          <w:tab w:val="left" w:pos="1276"/>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Responsabilizar-se pelos encargos trabalhistas, previdenciários, fiscais e comerciais resultantes da execução do contrato;</w:t>
      </w:r>
    </w:p>
    <w:p w14:paraId="2DE9D258">
      <w:pPr>
        <w:pStyle w:val="68"/>
        <w:numPr>
          <w:ilvl w:val="2"/>
          <w:numId w:val="15"/>
        </w:numPr>
        <w:tabs>
          <w:tab w:val="left" w:pos="1276"/>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Manter, durante a vigência da presente ata, em compatibilidade com as obrigações assumidas na proposta, todas as condições de participação e de habilitação exigidas na licitação.</w:t>
      </w:r>
    </w:p>
    <w:p w14:paraId="6DA9AE72">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CADASTRO RESERVA DE FORNECEDORES</w:t>
      </w:r>
    </w:p>
    <w:p w14:paraId="3926ED52">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VII, e § 5º, VI,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35D29A89">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formação de CADASTRO RESERVA vincula o(s) licitante(s) ao(s) preço(s) da proposta do titular, obrigando-se a assumir a titularidade em caso de cancelamento do registro do titular, observada a ORDEM DE CLASSIFICAÇÃO.</w:t>
      </w:r>
    </w:p>
    <w:p w14:paraId="431EAAD4">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CF5036">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Caberá ao agente de contratação responsável pelo julgamento do certame para seleção do titular da presente ARP realizar o procedimento de análise dos critérios indicados no item anterior.</w:t>
      </w:r>
    </w:p>
    <w:p w14:paraId="48624508">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Havendo alteração da titularidade do registro com base no CADASTRO RESERVA, deverá a ARP ser republicada para fins de eficácia.</w:t>
      </w:r>
    </w:p>
    <w:p w14:paraId="1D2730D2">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PUBLICIDADE E DIVULGAÇÃO</w:t>
      </w:r>
    </w:p>
    <w:p w14:paraId="72BF5243">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A formalização da ARP, como também suas possíveis alterações, prorrogações, cancelamento e rescisões, serão publicados e divulgados no PNCP - Portal Nacional de Contratações Públicas (</w:t>
      </w:r>
      <w:r>
        <w:rPr>
          <w:sz w:val="21"/>
          <w:szCs w:val="21"/>
        </w:rPr>
        <w:fldChar w:fldCharType="begin"/>
      </w:r>
      <w:r>
        <w:rPr>
          <w:sz w:val="21"/>
          <w:szCs w:val="21"/>
        </w:rPr>
        <w:instrText xml:space="preserve"> HYPERLINK "https://pncp.gov.br/" \h </w:instrText>
      </w:r>
      <w:r>
        <w:rPr>
          <w:sz w:val="21"/>
          <w:szCs w:val="21"/>
        </w:rPr>
        <w:fldChar w:fldCharType="separate"/>
      </w:r>
      <w:r>
        <w:rPr>
          <w:rStyle w:val="62"/>
          <w:rFonts w:ascii="Times New Roman" w:hAnsi="Times New Roman"/>
          <w:sz w:val="21"/>
          <w:szCs w:val="21"/>
          <w:lang w:eastAsia="pt-BR"/>
        </w:rPr>
        <w:t>https://pncp.gov.br/</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bem como, em forma de extrato,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rFonts w:ascii="Times New Roman" w:hAnsi="Times New Roman"/>
          <w:sz w:val="21"/>
          <w:szCs w:val="21"/>
          <w:lang w:eastAsia="pt-BR"/>
        </w:rPr>
        <w:t>Diário Oficial</w:t>
      </w:r>
      <w:r>
        <w:rPr>
          <w:rStyle w:val="62"/>
          <w:rFonts w:ascii="Times New Roman" w:hAnsi="Times New Roman"/>
          <w:sz w:val="21"/>
          <w:szCs w:val="21"/>
          <w:lang w:eastAsia="pt-BR"/>
        </w:rPr>
        <w:fldChar w:fldCharType="end"/>
      </w:r>
      <w:r>
        <w:rPr>
          <w:rFonts w:ascii="Times New Roman" w:hAnsi="Times New Roman" w:cs="Times New Roman"/>
          <w:sz w:val="21"/>
          <w:szCs w:val="21"/>
        </w:rPr>
        <w:t>.</w:t>
      </w:r>
    </w:p>
    <w:p w14:paraId="371A5324">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Todas as informações do presente registro de preço serão também disponibilizadas, durante sua vigência, no site do ÓRGÃO GERENCIADOR na Internet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rFonts w:ascii="Times New Roman" w:hAnsi="Times New Roman"/>
          <w:sz w:val="21"/>
          <w:szCs w:val="21"/>
        </w:rPr>
        <w:t>https://www.primaveradoleste.mt.leg.br/</w:t>
      </w:r>
      <w:r>
        <w:rPr>
          <w:rStyle w:val="62"/>
          <w:rFonts w:ascii="Times New Roman" w:hAnsi="Times New Roman"/>
          <w:sz w:val="21"/>
          <w:szCs w:val="21"/>
        </w:rPr>
        <w:fldChar w:fldCharType="end"/>
      </w:r>
      <w:r>
        <w:rPr>
          <w:rFonts w:ascii="Times New Roman" w:hAnsi="Times New Roman" w:cs="Times New Roman"/>
          <w:sz w:val="21"/>
          <w:szCs w:val="21"/>
        </w:rPr>
        <w:t>)</w:t>
      </w:r>
      <w:r>
        <w:rPr>
          <w:rFonts w:ascii="Times New Roman" w:hAnsi="Times New Roman" w:cs="Times New Roman"/>
          <w:sz w:val="21"/>
          <w:szCs w:val="21"/>
          <w:lang w:eastAsia="pt-BR"/>
        </w:rPr>
        <w:t>, inclusive com a íntegra da ARP e alterações posteriores.</w:t>
      </w:r>
    </w:p>
    <w:p w14:paraId="0514A810">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ALTERAÇÕES DOS PREÇOS REGISTRADOS</w:t>
      </w:r>
    </w:p>
    <w:p w14:paraId="62C0778C">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322A7E40">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PR = PI x IR</w:t>
      </w:r>
    </w:p>
    <w:p w14:paraId="1567AF77">
      <w:pPr>
        <w:pStyle w:val="50"/>
        <w:tabs>
          <w:tab w:val="left" w:pos="1134"/>
        </w:tabs>
        <w:spacing w:before="120" w:beforeAutospacing="0" w:after="120" w:afterAutospacing="0"/>
        <w:ind w:left="567"/>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Onde:</w:t>
      </w:r>
    </w:p>
    <w:p w14:paraId="3EFE88E8">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PR</w:t>
      </w:r>
      <w:r>
        <w:rPr>
          <w:color w:val="000000" w:themeColor="text1"/>
          <w:sz w:val="21"/>
          <w:szCs w:val="21"/>
          <w14:textFill>
            <w14:solidFill>
              <w14:schemeClr w14:val="tx1"/>
            </w14:solidFill>
          </w14:textFill>
        </w:rPr>
        <w:t xml:space="preserve"> = Preço reajustado </w:t>
      </w:r>
    </w:p>
    <w:p w14:paraId="6E06E87D">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PI</w:t>
      </w:r>
      <w:r>
        <w:rPr>
          <w:color w:val="000000" w:themeColor="text1"/>
          <w:sz w:val="21"/>
          <w:szCs w:val="21"/>
          <w14:textFill>
            <w14:solidFill>
              <w14:schemeClr w14:val="tx1"/>
            </w14:solidFill>
          </w14:textFill>
        </w:rPr>
        <w:t xml:space="preserve"> = Preço inicial da Ata de Registro de Preços</w:t>
      </w:r>
    </w:p>
    <w:p w14:paraId="3B9E1EF6">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 xml:space="preserve">IR </w:t>
      </w:r>
      <w:r>
        <w:rPr>
          <w:color w:val="000000" w:themeColor="text1"/>
          <w:sz w:val="21"/>
          <w:szCs w:val="21"/>
          <w14:textFill>
            <w14:solidFill>
              <w14:schemeClr w14:val="tx1"/>
            </w14:solidFill>
          </w14:textFill>
        </w:rPr>
        <w:t>= Índice de reajuste</w:t>
      </w:r>
    </w:p>
    <w:p w14:paraId="0EB106D8">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12368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6C2D9AA">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Do mesmo modo, à Administração pode solicitar a REVISÃO dos preços registrados em caso de desequilíbrio econômico-financeiro em seu desfavor.</w:t>
      </w:r>
    </w:p>
    <w:p w14:paraId="2EFE5859">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124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68214551">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124 da Lei Federal nº 14.133/2021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nos seguintes casos:</w:t>
      </w:r>
    </w:p>
    <w:p w14:paraId="263C1CB2">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ausência de comprovação da elevação dos encargos do particular;</w:t>
      </w:r>
    </w:p>
    <w:p w14:paraId="2031119E">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ocorrência de evento antes da formulação das propostas;</w:t>
      </w:r>
    </w:p>
    <w:p w14:paraId="05A30490">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ausência de vínculo de causalidade entre o evento ocorrido e a majoração dos encargos do fornecedor;</w:t>
      </w:r>
    </w:p>
    <w:p w14:paraId="368175C8">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culpa do fornecedor pela majoração dos seus encargos (o que inclui a previsibilidade da ocorrência do evento).</w:t>
      </w:r>
    </w:p>
    <w:p w14:paraId="024DB67C">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na legislação aplicável</w:t>
      </w:r>
      <w:bookmarkStart w:id="73" w:name="nao_comprovacao_majoracao_mercado"/>
      <w:bookmarkEnd w:id="73"/>
      <w:r>
        <w:rPr>
          <w:rFonts w:ascii="Times New Roman" w:hAnsi="Times New Roman" w:cs="Times New Roman"/>
          <w:sz w:val="21"/>
          <w:szCs w:val="21"/>
          <w:lang w:eastAsia="pt-BR"/>
        </w:rPr>
        <w:t>, mantendo-se hígidas e vigentes as contratações já formalizadas ou solicitadas, bem como os demais itens/grupos não afetados pelo requerido desequilíbrio de preços de mercado.</w:t>
      </w:r>
    </w:p>
    <w:p w14:paraId="1F7BEA7A">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785EAE3">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Toda alteração da presente ARP será publicada e divulgada, nos termos fixados no item 11 desta ARP.</w:t>
      </w:r>
    </w:p>
    <w:p w14:paraId="0F33586D">
      <w:pPr>
        <w:pStyle w:val="68"/>
        <w:numPr>
          <w:ilvl w:val="0"/>
          <w:numId w:val="15"/>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REMANEJAMENTO DAS QUANTIDADES REGISTRADAS NA ARP</w:t>
      </w:r>
    </w:p>
    <w:p w14:paraId="7EE4668C">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0EC59546">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 O remanejamento somente poderá ser feito:</w:t>
      </w:r>
    </w:p>
    <w:p w14:paraId="17699F66">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 órgão ou entidade participante para órgão ou entidade participante; ou</w:t>
      </w:r>
    </w:p>
    <w:p w14:paraId="460FDD9D">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 órgão ou entidade participante para órgão ou entidade não participante.</w:t>
      </w:r>
    </w:p>
    <w:p w14:paraId="158BF30E">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órgão gerenciador que tiver estimado as quantidades que pretende contratar será considerado participante para efeito do remanejamento.</w:t>
      </w:r>
      <w:bookmarkStart w:id="74" w:name="gerenciador_estimador_é_partic_em_remane"/>
      <w:bookmarkEnd w:id="74"/>
    </w:p>
    <w:p w14:paraId="6C9D0102">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shd w:val="clear" w:fill="auto"/>
          <w:lang w:eastAsia="pt-BR"/>
        </w:rPr>
        <w:t>Na hipótese de remanejamento de órgão ou entidade participante para órgão ou entidade não participante, serão observados os limites previstos nas Leis nº 14.133 de 2021 e nº 14.770 de 2023.</w:t>
      </w:r>
    </w:p>
    <w:p w14:paraId="2FE1E709">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shd w:val="clear" w:fill="auto"/>
          <w:lang w:eastAsia="pt-BR"/>
        </w:rPr>
        <w:t>Competirá</w:t>
      </w:r>
      <w:r>
        <w:rPr>
          <w:rFonts w:ascii="Times New Roman" w:hAnsi="Times New Roman" w:cs="Times New Roman"/>
          <w:sz w:val="21"/>
          <w:szCs w:val="21"/>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3D83EAA">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67F56C2D">
      <w:pPr>
        <w:pStyle w:val="68"/>
        <w:numPr>
          <w:ilvl w:val="0"/>
          <w:numId w:val="15"/>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CANCELAMENTO DO REGISTRO DO LICITANTE VENCEDOR E DOS PREÇOS REGISTRADOS</w:t>
      </w:r>
    </w:p>
    <w:p w14:paraId="576958C8">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registro do fornecedor será cancelado pelo gerenciador, quando o fornecedor:</w:t>
      </w:r>
      <w:bookmarkStart w:id="75" w:name="cancelamento_do_fornecedor"/>
      <w:bookmarkEnd w:id="75"/>
    </w:p>
    <w:p w14:paraId="75D9A6A7">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Descumprir as condições da ata de registro de preços, sem motivo justificado;</w:t>
      </w:r>
    </w:p>
    <w:p w14:paraId="045457C0">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retirar a nota de empenho, ou instrumento equivalente, no prazo estabelecido pela Administração sem justificativa razoável;</w:t>
      </w:r>
    </w:p>
    <w:p w14:paraId="76B56BF6">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aceitar manter seu preço registrado;</w:t>
      </w:r>
    </w:p>
    <w:p w14:paraId="2BB37EA9">
      <w:pPr>
        <w:pStyle w:val="68"/>
        <w:numPr>
          <w:ilvl w:val="2"/>
          <w:numId w:val="15"/>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 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 III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aplicada por qualquer órgão da União Federal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 4º,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ou</w:t>
      </w:r>
    </w:p>
    <w:p w14:paraId="55B13FE6">
      <w:pPr>
        <w:pStyle w:val="68"/>
        <w:numPr>
          <w:ilvl w:val="2"/>
          <w:numId w:val="15"/>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 IV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no caso de declaração de inidoneidade para contratar com a Administração Pública.</w:t>
      </w:r>
    </w:p>
    <w:p w14:paraId="7CFF6384">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aplicação de sanção prevista nos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incisos III ou IV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D977D">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 O cancelamento de registros será formalizado por despacho do órgão gerenciador, garantidos os princípios do contraditório e da ampla defesa.</w:t>
      </w:r>
    </w:p>
    <w:p w14:paraId="7139EBAF">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hipótese de cancelamento do registro do fornecedor, o órgão gerenciador poderá convocar os licitantes que compõem o cadastro de reserva, observada a ordem de classificação.</w:t>
      </w:r>
    </w:p>
    <w:p w14:paraId="5C31DB6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Pr>
          <w:rFonts w:ascii="Times New Roman" w:hAnsi="Times New Roman" w:cs="Times New Roman"/>
          <w:sz w:val="21"/>
          <w:szCs w:val="21"/>
          <w:lang w:eastAsia="pt-BR"/>
        </w:rPr>
        <w:t xml:space="preserve"> </w:t>
      </w:r>
    </w:p>
    <w:p w14:paraId="317FD035">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Por razão de interesse público;</w:t>
      </w:r>
    </w:p>
    <w:p w14:paraId="5B0CEAA0">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 pedido do fornecedor, decorrente de caso fortuito ou força maior; ou</w:t>
      </w:r>
    </w:p>
    <w:p w14:paraId="520C031D">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Se não houver êxito nas negociações, nas hipóteses em que o preço de mercado tornar-se superior ou inferior ao preço registrado. </w:t>
      </w:r>
    </w:p>
    <w:p w14:paraId="2A534F43">
      <w:pPr>
        <w:pStyle w:val="68"/>
        <w:numPr>
          <w:ilvl w:val="0"/>
          <w:numId w:val="15"/>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SANÇÕES ADMINISTRATIVAS POR DESCUMPRIMENTO DE OBRIGAÇÕES CONTIDAS NA ARP</w:t>
      </w:r>
    </w:p>
    <w:p w14:paraId="3A70F725">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As empresas com preços registrados nesta ARP e signatárias dos respectivos contratos estarão sujeitas às sanções administrativas previstas neste Edital de Licitação do  </w:t>
      </w:r>
      <w:r>
        <w:rPr>
          <w:rFonts w:cs="Times New Roman"/>
          <w:sz w:val="21"/>
          <w:szCs w:val="21"/>
          <w:lang w:eastAsia="pt-BR"/>
        </w:rPr>
        <w:t>Pregão</w:t>
      </w:r>
      <w:r>
        <w:rPr>
          <w:rFonts w:hint="default" w:cs="Times New Roman"/>
          <w:sz w:val="21"/>
          <w:szCs w:val="21"/>
          <w:lang w:val="en-US" w:eastAsia="pt-BR"/>
        </w:rPr>
        <w:t xml:space="preserve"> Eletrônico</w:t>
      </w:r>
      <w:r>
        <w:rPr>
          <w:rFonts w:cs="Times New Roman"/>
          <w:sz w:val="21"/>
          <w:szCs w:val="21"/>
          <w:lang w:eastAsia="pt-BR"/>
        </w:rPr>
        <w:t xml:space="preserve"> nº </w:t>
      </w:r>
      <w:r>
        <w:rPr>
          <w:rFonts w:hint="default" w:cs="Times New Roman"/>
          <w:sz w:val="21"/>
          <w:szCs w:val="21"/>
          <w:lang w:val="en-US" w:eastAsia="pt-BR"/>
        </w:rPr>
        <w:t>19</w:t>
      </w:r>
      <w:r>
        <w:rPr>
          <w:rFonts w:cs="Times New Roman"/>
          <w:sz w:val="21"/>
          <w:szCs w:val="21"/>
          <w:lang w:eastAsia="pt-BR"/>
        </w:rPr>
        <w:t>/2024</w:t>
      </w:r>
      <w:r>
        <w:rPr>
          <w:rFonts w:ascii="Times New Roman" w:hAnsi="Times New Roman" w:cs="Times New Roman"/>
          <w:color w:val="000000"/>
          <w:sz w:val="21"/>
          <w:szCs w:val="21"/>
          <w:shd w:val="clear" w:fill="auto"/>
          <w:lang w:eastAsia="pt-BR"/>
        </w:rPr>
        <w:t xml:space="preserve">, </w:t>
      </w:r>
      <w:r>
        <w:rPr>
          <w:rFonts w:ascii="Times New Roman" w:hAnsi="Times New Roman" w:cs="Times New Roman"/>
          <w:sz w:val="21"/>
          <w:szCs w:val="21"/>
          <w:lang w:eastAsia="pt-BR"/>
        </w:rPr>
        <w:t>sem prejuízo de outras previstas em legislação pertinente e da responsabilidade civil e criminal que seus atos ensejarem.</w:t>
      </w:r>
    </w:p>
    <w:p w14:paraId="5DD5DF1B">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7DCDFE4">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51B75289">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órgão ou entidade participante deverá comunicar ao órgão gerenciador qualquer das ocorrências passível de cancelamento do registro do fornecedor.</w:t>
      </w:r>
    </w:p>
    <w:p w14:paraId="186C1306">
      <w:pPr>
        <w:pStyle w:val="68"/>
        <w:numPr>
          <w:ilvl w:val="0"/>
          <w:numId w:val="15"/>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CANCELAMENTO E RESCISÃO DA ARP</w:t>
      </w:r>
    </w:p>
    <w:p w14:paraId="7AD4AD83">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registro de preços poderá ser CANCELADO/REVOGADO, </w:t>
      </w:r>
      <w:r>
        <w:rPr>
          <w:rFonts w:cs="Times New Roman"/>
          <w:sz w:val="21"/>
          <w:szCs w:val="21"/>
          <w:lang w:eastAsia="pt-BR"/>
        </w:rPr>
        <w:t>POR LOTE</w:t>
      </w:r>
      <w:r>
        <w:rPr>
          <w:rFonts w:ascii="Times New Roman" w:hAnsi="Times New Roman" w:cs="Times New Roman"/>
          <w:sz w:val="21"/>
          <w:szCs w:val="21"/>
          <w:lang w:eastAsia="pt-BR"/>
        </w:rPr>
        <w:t>/GRUPO, por iniciativa do ÓRGÃO GERENCIADOR, quando:</w:t>
      </w:r>
    </w:p>
    <w:p w14:paraId="18747934">
      <w:pPr>
        <w:pStyle w:val="68"/>
        <w:numPr>
          <w:ilvl w:val="2"/>
          <w:numId w:val="15"/>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1"/>
          <w:szCs w:val="21"/>
          <w:shd w:val="clear" w:fill="auto"/>
          <w:lang w:eastAsia="pt-BR"/>
        </w:rPr>
        <w:t xml:space="preserve"> item 12 </w:t>
      </w:r>
      <w:r>
        <w:rPr>
          <w:rFonts w:ascii="Times New Roman" w:hAnsi="Times New Roman" w:cs="Times New Roman"/>
          <w:sz w:val="21"/>
          <w:szCs w:val="21"/>
          <w:lang w:eastAsia="pt-BR"/>
        </w:rPr>
        <w:t xml:space="preserve">desta ARP,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rFonts w:ascii="Times New Roman" w:hAnsi="Times New Roman"/>
          <w:sz w:val="21"/>
          <w:szCs w:val="21"/>
          <w:lang w:eastAsia="pt-BR"/>
        </w:rPr>
        <w:t>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51149135">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46774DC8">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Presentes razões de conveniência e oportunidade ao interesse público, devidamente justificadas.</w:t>
      </w:r>
    </w:p>
    <w:p w14:paraId="314E6D55">
      <w:pPr>
        <w:pStyle w:val="68"/>
        <w:numPr>
          <w:ilvl w:val="1"/>
          <w:numId w:val="15"/>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registro de preços poderá ser RESCINDIDO, por iniciativa do ÓRGÃO GERENCIADOR, observada a gravidade da conduta e os reflexos em relação ao interesse público, quando o titular do registro:</w:t>
      </w:r>
    </w:p>
    <w:p w14:paraId="147993E0">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executar de forma total ou parcial qualificada as obrigações presentes nesta ARP;</w:t>
      </w:r>
    </w:p>
    <w:p w14:paraId="08E6D34F">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Recusar-se a retirar e assinar a nota de empenho ou instrumento contratual no prazo estabelecido, salvo por motivo devidamente justificado e aceito pelo órgão ou entidade Contratante;</w:t>
      </w:r>
    </w:p>
    <w:p w14:paraId="292EF6C0">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Der causa à rescisão administrativa de dois ou mais contratos firmados com base neste ARP;</w:t>
      </w:r>
    </w:p>
    <w:p w14:paraId="07D8F1DB">
      <w:pPr>
        <w:pStyle w:val="68"/>
        <w:numPr>
          <w:ilvl w:val="2"/>
          <w:numId w:val="15"/>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mantiver as condições de participação e de habilitação exigidas na licitação, salvo irregularidade temporária e sanável em até 30 (trinta) dias corridos; ou</w:t>
      </w:r>
    </w:p>
    <w:p w14:paraId="270768F7">
      <w:pPr>
        <w:pStyle w:val="68"/>
        <w:numPr>
          <w:ilvl w:val="2"/>
          <w:numId w:val="15"/>
        </w:numPr>
        <w:tabs>
          <w:tab w:val="left" w:pos="1276"/>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III ou IV,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ou no </w:t>
      </w:r>
      <w:r>
        <w:rPr>
          <w:sz w:val="21"/>
          <w:szCs w:val="21"/>
        </w:rPr>
        <w:fldChar w:fldCharType="begin"/>
      </w:r>
      <w:r>
        <w:rPr>
          <w:rStyle w:val="62"/>
          <w:rFonts w:ascii="Times New Roman" w:hAnsi="Times New Roman"/>
          <w:sz w:val="21"/>
          <w:szCs w:val="21"/>
          <w:lang w:eastAsia="pt-BR"/>
        </w:rPr>
        <w:instrText xml:space="preserve"> HYPERLINK "https://www.planalto.gov.br/ccivil_03/leis/l8666cons.htm" \l "art87"</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87, III ou IV, da Lei Federal nº 8.666, de 1993</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ou no </w:t>
      </w:r>
      <w:r>
        <w:rPr>
          <w:sz w:val="21"/>
          <w:szCs w:val="21"/>
        </w:rPr>
        <w:fldChar w:fldCharType="begin"/>
      </w:r>
      <w:r>
        <w:rPr>
          <w:rStyle w:val="62"/>
          <w:rFonts w:ascii="Times New Roman" w:hAnsi="Times New Roman"/>
          <w:sz w:val="21"/>
          <w:szCs w:val="21"/>
          <w:lang w:eastAsia="pt-BR"/>
        </w:rPr>
        <w:instrText xml:space="preserve"> HYPERLINK "http://www.planalto.gov.br/ccivil_03/leis/2002/l10520.htm" \l "art7"</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7º da Lei Federal nº 10.520, de 2002</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6363568E">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D56E600">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Havendo cancelamento/revogação do registro, não caberá a aplicação de qualquer espécie de sanção administrativa ao titular do registro.</w:t>
      </w:r>
    </w:p>
    <w:p w14:paraId="2C1EC499">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cancelamento/revogação do registro na hipótese do fornecedor recusar-se a retirar e assinar a nota de empenho ou instrumento contratual no prazo estabelecido, não poderá ser aceita em prejuízo ao interesse público.</w:t>
      </w:r>
    </w:p>
    <w:p w14:paraId="2139BA6B">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rescisão do registro de preços será determinada em decisão unilateral e fundamentada do ÓRGÃO GERENCIADOR, garantido o contraditório e a ampla defesa em processo administrativo.</w:t>
      </w:r>
    </w:p>
    <w:p w14:paraId="569FF86C">
      <w:pPr>
        <w:pStyle w:val="68"/>
        <w:numPr>
          <w:ilvl w:val="1"/>
          <w:numId w:val="15"/>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rescisão do registro de preços poderá ensejar a abertura de procedimento de apuração da responsabilidade e aplicação de sanções administrativas em face do titular do registro.</w:t>
      </w:r>
    </w:p>
    <w:p w14:paraId="6B901163">
      <w:pPr>
        <w:pStyle w:val="68"/>
        <w:numPr>
          <w:ilvl w:val="0"/>
          <w:numId w:val="15"/>
        </w:numPr>
        <w:tabs>
          <w:tab w:val="left" w:pos="3001"/>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DISPOSIÇÕES FINAIS</w:t>
      </w:r>
    </w:p>
    <w:p w14:paraId="317E002F">
      <w:pPr>
        <w:pStyle w:val="68"/>
        <w:numPr>
          <w:ilvl w:val="1"/>
          <w:numId w:val="15"/>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Os casos omissos desta ARP serão resolvidos de acordo com a legislação vigente, particularmente com 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rFonts w:ascii="Times New Roman" w:hAnsi="Times New Roman"/>
          <w:sz w:val="21"/>
          <w:szCs w:val="21"/>
          <w:lang w:eastAsia="pt-BR"/>
        </w:rPr>
        <w:t>Lei Federal nº 14.133, de 2021</w:t>
      </w:r>
      <w:r>
        <w:rPr>
          <w:rStyle w:val="62"/>
          <w:rFonts w:ascii="Times New Roman" w:hAnsi="Times New Roman"/>
          <w:sz w:val="21"/>
          <w:szCs w:val="21"/>
          <w:lang w:eastAsia="pt-BR"/>
        </w:rPr>
        <w:fldChar w:fldCharType="end"/>
      </w:r>
      <w:r>
        <w:rPr>
          <w:rStyle w:val="62"/>
          <w:rFonts w:ascii="Times New Roman" w:hAnsi="Times New Roman" w:cs="Times New Roman"/>
          <w:sz w:val="21"/>
          <w:szCs w:val="21"/>
          <w:lang w:eastAsia="pt-BR"/>
        </w:rPr>
        <w:t>.</w:t>
      </w:r>
    </w:p>
    <w:p w14:paraId="6895AD1F">
      <w:pPr>
        <w:tabs>
          <w:tab w:val="left" w:pos="1134"/>
          <w:tab w:val="left" w:pos="3001"/>
        </w:tabs>
        <w:spacing w:before="120" w:after="120" w:line="240" w:lineRule="auto"/>
        <w:jc w:val="both"/>
        <w:rPr>
          <w:rFonts w:ascii="Times New Roman" w:hAnsi="Times New Roman" w:cs="Times New Roman"/>
          <w:sz w:val="21"/>
          <w:szCs w:val="21"/>
          <w:lang w:eastAsia="pt-BR"/>
        </w:rPr>
      </w:pPr>
    </w:p>
    <w:p w14:paraId="7D3D396C">
      <w:pPr>
        <w:tabs>
          <w:tab w:val="left" w:pos="1134"/>
          <w:tab w:val="left" w:pos="3001"/>
        </w:tabs>
        <w:spacing w:before="120" w:after="120" w:line="240" w:lineRule="auto"/>
        <w:ind w:firstLine="567"/>
        <w:jc w:val="right"/>
        <w:rPr>
          <w:rFonts w:ascii="Times New Roman" w:hAnsi="Times New Roman"/>
          <w:sz w:val="21"/>
          <w:szCs w:val="21"/>
          <w:lang w:eastAsia="pt-BR"/>
        </w:rPr>
      </w:pPr>
      <w:r>
        <w:rPr>
          <w:rFonts w:ascii="Times New Roman" w:hAnsi="Times New Roman" w:cs="Times New Roman"/>
          <w:sz w:val="21"/>
          <w:szCs w:val="21"/>
          <w:lang w:eastAsia="pt-BR"/>
        </w:rPr>
        <w:t xml:space="preserve">Primavera do Leste - </w:t>
      </w:r>
      <w:r>
        <w:rPr>
          <w:rFonts w:ascii="Times New Roman" w:hAnsi="Times New Roman" w:cs="Times New Roman"/>
          <w:sz w:val="21"/>
          <w:szCs w:val="21"/>
          <w:shd w:val="clear" w:fill="auto"/>
          <w:lang w:eastAsia="pt-BR"/>
        </w:rPr>
        <w:t>MT, em ______, de  __________de ______.</w:t>
      </w:r>
    </w:p>
    <w:p w14:paraId="7C37F0E5">
      <w:pPr>
        <w:tabs>
          <w:tab w:val="left" w:pos="3001"/>
        </w:tabs>
        <w:rPr>
          <w:rFonts w:ascii="Times New Roman" w:hAnsi="Times New Roman"/>
          <w:sz w:val="21"/>
          <w:szCs w:val="21"/>
          <w:lang w:eastAsia="pt-BR"/>
        </w:rPr>
      </w:pPr>
    </w:p>
    <w:tbl>
      <w:tblPr>
        <w:tblStyle w:val="4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218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38980FD5">
            <w:pPr>
              <w:widowControl/>
              <w:tabs>
                <w:tab w:val="left" w:pos="3001"/>
              </w:tabs>
              <w:suppressAutoHyphens/>
              <w:spacing w:before="0" w:after="0" w:line="240" w:lineRule="auto"/>
              <w:jc w:val="left"/>
              <w:rPr>
                <w:rFonts w:ascii="Times New Roman" w:hAnsi="Times New Roman"/>
                <w:sz w:val="21"/>
                <w:szCs w:val="21"/>
              </w:rPr>
            </w:pPr>
            <w:r>
              <w:rPr>
                <w:rFonts w:ascii="Times New Roman" w:hAnsi="Times New Roman" w:eastAsia="Calibri" w:cs="Times New Roman"/>
                <w:kern w:val="0"/>
                <w:sz w:val="21"/>
                <w:szCs w:val="21"/>
                <w:lang w:val="pt-BR" w:eastAsia="pt-BR" w:bidi="ar-SA"/>
              </w:rPr>
              <w:t>Assinatura de Representante da Câmara</w:t>
            </w:r>
          </w:p>
        </w:tc>
        <w:tc>
          <w:tcPr>
            <w:tcW w:w="4465" w:type="dxa"/>
            <w:tcBorders>
              <w:top w:val="nil"/>
              <w:left w:val="nil"/>
              <w:bottom w:val="nil"/>
              <w:right w:val="nil"/>
            </w:tcBorders>
          </w:tcPr>
          <w:p w14:paraId="08ADB018">
            <w:pPr>
              <w:widowControl/>
              <w:tabs>
                <w:tab w:val="left" w:pos="3001"/>
              </w:tabs>
              <w:suppressAutoHyphens/>
              <w:spacing w:before="0" w:after="0" w:line="240" w:lineRule="auto"/>
              <w:jc w:val="left"/>
              <w:rPr>
                <w:rFonts w:ascii="Times New Roman" w:hAnsi="Times New Roman"/>
                <w:sz w:val="21"/>
                <w:szCs w:val="21"/>
              </w:rPr>
            </w:pPr>
            <w:r>
              <w:rPr>
                <w:rFonts w:ascii="Times New Roman" w:hAnsi="Times New Roman" w:eastAsia="Calibri" w:cs="Times New Roman"/>
                <w:kern w:val="0"/>
                <w:sz w:val="21"/>
                <w:szCs w:val="21"/>
                <w:lang w:val="pt-BR" w:eastAsia="pt-BR" w:bidi="ar-SA"/>
              </w:rPr>
              <w:t>Assinatura de Representante do Fornecedor</w:t>
            </w:r>
          </w:p>
        </w:tc>
      </w:tr>
    </w:tbl>
    <w:p w14:paraId="6F8609EB">
      <w:pPr>
        <w:tabs>
          <w:tab w:val="left" w:pos="3001"/>
        </w:tabs>
        <w:rPr>
          <w:rFonts w:ascii="Times New Roman" w:hAnsi="Times New Roman"/>
          <w:sz w:val="21"/>
          <w:szCs w:val="21"/>
          <w:lang w:eastAsia="pt-BR"/>
        </w:rPr>
      </w:pPr>
    </w:p>
    <w:p w14:paraId="33A50D22">
      <w:pPr>
        <w:rPr>
          <w:rFonts w:ascii="Times New Roman" w:hAnsi="Times New Roman"/>
          <w:sz w:val="21"/>
          <w:szCs w:val="21"/>
          <w:lang w:eastAsia="pt-BR"/>
        </w:rPr>
      </w:pPr>
      <w:r>
        <w:rPr>
          <w:sz w:val="21"/>
          <w:szCs w:val="21"/>
        </w:rPr>
        <w:br w:type="page"/>
      </w:r>
    </w:p>
    <w:p w14:paraId="534F9757">
      <w:pPr>
        <w:tabs>
          <w:tab w:val="left" w:pos="3001"/>
        </w:tabs>
        <w:spacing w:before="0" w:after="120" w:line="240" w:lineRule="auto"/>
        <w:jc w:val="center"/>
        <w:rPr>
          <w:rFonts w:ascii="Times New Roman" w:hAnsi="Times New Roman"/>
          <w:sz w:val="21"/>
          <w:szCs w:val="21"/>
        </w:rPr>
      </w:pPr>
      <w:r>
        <w:rPr>
          <w:rFonts w:ascii="Times New Roman" w:hAnsi="Times New Roman" w:cs="Times New Roman"/>
          <w:b/>
          <w:bCs/>
          <w:sz w:val="21"/>
          <w:szCs w:val="21"/>
          <w:u w:val="single"/>
          <w:lang w:eastAsia="pt-BR"/>
        </w:rPr>
        <w:t>ANEXO A - CADASTRO DE RESERVA</w:t>
      </w:r>
    </w:p>
    <w:p w14:paraId="0D27F557">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u w:val="single"/>
          <w:lang w:eastAsia="pt-BR"/>
        </w:rPr>
        <w:t>2ª</w:t>
      </w:r>
      <w:r>
        <w:rPr>
          <w:rFonts w:ascii="Times New Roman" w:hAnsi="Times New Roman" w:cs="Times New Roman"/>
          <w:b/>
          <w:bCs/>
          <w:sz w:val="21"/>
          <w:szCs w:val="21"/>
          <w:highlight w:val="none"/>
          <w:u w:val="single"/>
          <w:lang w:eastAsia="pt-BR"/>
        </w:rPr>
        <w:t xml:space="preserve"> Classificada</w:t>
      </w:r>
      <w:r>
        <w:rPr>
          <w:rFonts w:ascii="Times New Roman" w:hAnsi="Times New Roman" w:cs="Times New Roman"/>
          <w:b/>
          <w:bCs/>
          <w:sz w:val="21"/>
          <w:szCs w:val="21"/>
          <w:highlight w:val="none"/>
          <w:lang w:eastAsia="pt-BR"/>
        </w:rPr>
        <w:t>:</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7D2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139DE9D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050F50F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1BFD1E30">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0BFC76D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2C8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2E759F0">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Item</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T.R.</w:t>
            </w:r>
          </w:p>
        </w:tc>
        <w:tc>
          <w:tcPr>
            <w:tcW w:w="2560" w:type="dxa"/>
            <w:shd w:val="clear" w:color="auto" w:fill="D8D8D8" w:themeFill="background1" w:themeFillShade="D9"/>
            <w:vAlign w:val="center"/>
          </w:tcPr>
          <w:p w14:paraId="7EC450AC">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Especificação</w:t>
            </w:r>
          </w:p>
        </w:tc>
        <w:tc>
          <w:tcPr>
            <w:tcW w:w="1134" w:type="dxa"/>
            <w:shd w:val="clear" w:color="auto" w:fill="D8D8D8" w:themeFill="background1" w:themeFillShade="D9"/>
            <w:vAlign w:val="center"/>
          </w:tcPr>
          <w:p w14:paraId="28D880DF">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Marca</w:t>
            </w:r>
          </w:p>
        </w:tc>
        <w:tc>
          <w:tcPr>
            <w:tcW w:w="1418" w:type="dxa"/>
            <w:shd w:val="clear" w:color="auto" w:fill="D8D8D8" w:themeFill="background1" w:themeFillShade="D9"/>
            <w:vAlign w:val="center"/>
          </w:tcPr>
          <w:p w14:paraId="3A01A541">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Modelo</w:t>
            </w:r>
          </w:p>
        </w:tc>
        <w:tc>
          <w:tcPr>
            <w:tcW w:w="851" w:type="dxa"/>
            <w:shd w:val="clear" w:color="auto" w:fill="D8D8D8" w:themeFill="background1" w:themeFillShade="D9"/>
            <w:vAlign w:val="center"/>
          </w:tcPr>
          <w:p w14:paraId="4B8FAB2D">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Unidade</w:t>
            </w:r>
          </w:p>
        </w:tc>
        <w:tc>
          <w:tcPr>
            <w:tcW w:w="850" w:type="dxa"/>
            <w:shd w:val="clear" w:color="auto" w:fill="D8D8D8" w:themeFill="background1" w:themeFillShade="D9"/>
            <w:vAlign w:val="center"/>
          </w:tcPr>
          <w:p w14:paraId="32FF4952">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Máxima</w:t>
            </w:r>
          </w:p>
        </w:tc>
        <w:tc>
          <w:tcPr>
            <w:tcW w:w="855" w:type="dxa"/>
            <w:shd w:val="clear" w:color="auto" w:fill="D8D8D8" w:themeFill="background1" w:themeFillShade="D9"/>
            <w:vAlign w:val="center"/>
          </w:tcPr>
          <w:p w14:paraId="3BD49169">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Mínima</w:t>
            </w:r>
          </w:p>
        </w:tc>
        <w:tc>
          <w:tcPr>
            <w:tcW w:w="845" w:type="dxa"/>
            <w:shd w:val="clear" w:color="auto" w:fill="D8D8D8" w:themeFill="background1" w:themeFillShade="D9"/>
            <w:vAlign w:val="center"/>
          </w:tcPr>
          <w:p w14:paraId="67286FCE">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Valor</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Unitário</w:t>
            </w:r>
          </w:p>
        </w:tc>
      </w:tr>
      <w:tr w14:paraId="48F7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20E5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07CD18B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11F9B163">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1FDD225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53DDC6D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7506C4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220CED2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220FB81E">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r w14:paraId="52C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17DD2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2E98C487">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2C0BB27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37938DE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74357BA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2F0C8B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1AF06286">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4E1546C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bl>
    <w:p w14:paraId="27303347">
      <w:pPr>
        <w:tabs>
          <w:tab w:val="left" w:pos="3001"/>
        </w:tabs>
        <w:rPr>
          <w:rFonts w:ascii="Times New Roman" w:hAnsi="Times New Roman" w:cs="Times New Roman"/>
          <w:sz w:val="21"/>
          <w:szCs w:val="21"/>
          <w:highlight w:val="none"/>
          <w:lang w:eastAsia="pt-BR"/>
        </w:rPr>
      </w:pPr>
    </w:p>
    <w:p w14:paraId="23AB6C58">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highlight w:val="none"/>
          <w:u w:val="single"/>
          <w:lang w:eastAsia="pt-BR"/>
        </w:rPr>
        <w:t>3ª Classificada</w:t>
      </w:r>
      <w:r>
        <w:rPr>
          <w:rFonts w:ascii="Times New Roman" w:hAnsi="Times New Roman" w:cs="Times New Roman"/>
          <w:b/>
          <w:bCs/>
          <w:sz w:val="21"/>
          <w:szCs w:val="21"/>
          <w:highlight w:val="none"/>
          <w:lang w:eastAsia="pt-BR"/>
        </w:rPr>
        <w:t>:</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78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2348356">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6F410EF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4CF1174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6717EF6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48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D1BC793">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Item</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T.R.</w:t>
            </w:r>
          </w:p>
        </w:tc>
        <w:tc>
          <w:tcPr>
            <w:tcW w:w="2560" w:type="dxa"/>
            <w:shd w:val="clear" w:color="auto" w:fill="D8D8D8" w:themeFill="background1" w:themeFillShade="D9"/>
            <w:vAlign w:val="center"/>
          </w:tcPr>
          <w:p w14:paraId="43C22CD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Especificação</w:t>
            </w:r>
          </w:p>
        </w:tc>
        <w:tc>
          <w:tcPr>
            <w:tcW w:w="1134" w:type="dxa"/>
            <w:shd w:val="clear" w:color="auto" w:fill="D8D8D8" w:themeFill="background1" w:themeFillShade="D9"/>
            <w:vAlign w:val="center"/>
          </w:tcPr>
          <w:p w14:paraId="0D0ECD05">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Marca</w:t>
            </w:r>
          </w:p>
        </w:tc>
        <w:tc>
          <w:tcPr>
            <w:tcW w:w="1418" w:type="dxa"/>
            <w:shd w:val="clear" w:color="auto" w:fill="D8D8D8" w:themeFill="background1" w:themeFillShade="D9"/>
            <w:vAlign w:val="center"/>
          </w:tcPr>
          <w:p w14:paraId="302C23E7">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Modelo</w:t>
            </w:r>
          </w:p>
        </w:tc>
        <w:tc>
          <w:tcPr>
            <w:tcW w:w="851" w:type="dxa"/>
            <w:shd w:val="clear" w:color="auto" w:fill="D8D8D8" w:themeFill="background1" w:themeFillShade="D9"/>
            <w:vAlign w:val="center"/>
          </w:tcPr>
          <w:p w14:paraId="2BF5FA4B">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Unidade</w:t>
            </w:r>
          </w:p>
        </w:tc>
        <w:tc>
          <w:tcPr>
            <w:tcW w:w="850" w:type="dxa"/>
            <w:shd w:val="clear" w:color="auto" w:fill="D8D8D8" w:themeFill="background1" w:themeFillShade="D9"/>
            <w:vAlign w:val="center"/>
          </w:tcPr>
          <w:p w14:paraId="0AE0368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Máxima</w:t>
            </w:r>
          </w:p>
        </w:tc>
        <w:tc>
          <w:tcPr>
            <w:tcW w:w="855" w:type="dxa"/>
            <w:shd w:val="clear" w:color="auto" w:fill="D8D8D8" w:themeFill="background1" w:themeFillShade="D9"/>
            <w:vAlign w:val="center"/>
          </w:tcPr>
          <w:p w14:paraId="7CE64D28">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Mínima</w:t>
            </w:r>
          </w:p>
        </w:tc>
        <w:tc>
          <w:tcPr>
            <w:tcW w:w="845" w:type="dxa"/>
            <w:shd w:val="clear" w:color="auto" w:fill="D8D8D8" w:themeFill="background1" w:themeFillShade="D9"/>
            <w:vAlign w:val="center"/>
          </w:tcPr>
          <w:p w14:paraId="24EF603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Valor</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Unitário</w:t>
            </w:r>
          </w:p>
        </w:tc>
      </w:tr>
      <w:tr w14:paraId="47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EF18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7C6F054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71717EF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3B793F6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62A9E2B1">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3683F71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75210F50">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2D4BCC9C">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r w14:paraId="4C9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31397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31A247C3">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0F5F15BE">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7479B2EA">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1569A7C2">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1177A3B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4778699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3F27DEAF">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bl>
    <w:p w14:paraId="4CE7E038">
      <w:pPr>
        <w:tabs>
          <w:tab w:val="left" w:pos="3001"/>
        </w:tabs>
        <w:rPr>
          <w:rFonts w:ascii="Times New Roman" w:hAnsi="Times New Roman" w:cs="Times New Roman"/>
          <w:sz w:val="21"/>
          <w:szCs w:val="21"/>
          <w:lang w:eastAsia="pt-BR"/>
        </w:rPr>
      </w:pPr>
    </w:p>
    <w:p w14:paraId="45B47A55">
      <w:pPr>
        <w:rPr>
          <w:rFonts w:ascii="Times New Roman" w:hAnsi="Times New Roman" w:cs="Times New Roman"/>
          <w:sz w:val="21"/>
          <w:szCs w:val="21"/>
          <w:lang w:eastAsia="pt-BR"/>
        </w:rPr>
      </w:pPr>
      <w:r>
        <w:rPr>
          <w:sz w:val="21"/>
          <w:szCs w:val="21"/>
        </w:rPr>
        <w:br w:type="page"/>
      </w:r>
    </w:p>
    <w:p w14:paraId="0412369D">
      <w:pPr>
        <w:pStyle w:val="2"/>
        <w:numPr>
          <w:ilvl w:val="0"/>
          <w:numId w:val="0"/>
        </w:numPr>
        <w:spacing w:before="0" w:after="120"/>
        <w:ind w:left="0" w:firstLine="0"/>
        <w:jc w:val="center"/>
        <w:rPr>
          <w:rFonts w:hint="default" w:ascii="Times New Roman" w:hAnsi="Times New Roman"/>
          <w:sz w:val="22"/>
          <w:szCs w:val="22"/>
          <w:lang w:val="pt-BR"/>
        </w:rPr>
      </w:pPr>
      <w:bookmarkStart w:id="77" w:name="_Toc149517470"/>
      <w:r>
        <w:rPr>
          <w:sz w:val="22"/>
          <w:szCs w:val="22"/>
        </w:rPr>
        <w:t>ANEXO V</w:t>
      </w:r>
      <w:r>
        <w:rPr>
          <w:rFonts w:hint="default"/>
          <w:sz w:val="22"/>
          <w:szCs w:val="22"/>
          <w:lang w:val="pt-BR"/>
        </w:rPr>
        <w:t>II</w:t>
      </w:r>
      <w:r>
        <w:rPr>
          <w:sz w:val="22"/>
          <w:szCs w:val="22"/>
        </w:rPr>
        <w:t xml:space="preserve"> – MINUTA DO INSTRUMENTO DE CONTRATO</w:t>
      </w:r>
      <w:bookmarkEnd w:id="77"/>
      <w:r>
        <w:rPr>
          <w:rFonts w:hint="default"/>
          <w:sz w:val="22"/>
          <w:szCs w:val="22"/>
          <w:lang w:val="pt-BR"/>
        </w:rPr>
        <w:t xml:space="preserve"> Nº _____/2024</w:t>
      </w:r>
    </w:p>
    <w:p w14:paraId="4FB2C5D1">
      <w:pPr>
        <w:pStyle w:val="132"/>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Style w:val="53"/>
          <w:rFonts w:hint="default" w:ascii="Times New Roman" w:hAnsi="Times New Roman" w:cs="Times New Roman"/>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rStyle w:val="49"/>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49/2024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37F48EF">
      <w:pPr>
        <w:spacing w:before="120" w:after="120"/>
        <w:ind w:firstLine="1134"/>
        <w:jc w:val="both"/>
        <w:rPr>
          <w:sz w:val="22"/>
          <w:szCs w:val="22"/>
        </w:rPr>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 xml:space="preserve">Processo Administrativo nº </w:t>
      </w:r>
      <w:r>
        <w:rPr>
          <w:rFonts w:hint="default" w:eastAsia="Arial" w:cs="Times New Roman"/>
          <w:sz w:val="22"/>
          <w:szCs w:val="22"/>
          <w:lang w:val="pt-BR"/>
        </w:rPr>
        <w:t>49</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rFonts w:ascii="Times New Roman" w:hAnsi="Times New Roman" w:eastAsia="Arial"/>
          <w:sz w:val="22"/>
          <w:szCs w:val="22"/>
        </w:rPr>
        <w:t>Lei Federal nº 14.133, de 2021</w:t>
      </w:r>
      <w:r>
        <w:rPr>
          <w:rStyle w:val="62"/>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eastAsia="Arial" w:cs="Times New Roman"/>
          <w:sz w:val="22"/>
          <w:szCs w:val="22"/>
          <w:lang w:val="pt-BR"/>
        </w:rPr>
        <w:t xml:space="preserve"> Pregão Eletrônico nº 19/2024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5355FB3B">
      <w:pPr>
        <w:pStyle w:val="33"/>
        <w:numPr>
          <w:ilvl w:val="0"/>
          <w:numId w:val="16"/>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OBJETO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 e II</w:t>
      </w:r>
      <w:r>
        <w:rPr>
          <w:rStyle w:val="62"/>
          <w:sz w:val="22"/>
          <w:szCs w:val="22"/>
        </w:rPr>
        <w:fldChar w:fldCharType="end"/>
      </w:r>
      <w:r>
        <w:rPr>
          <w:rStyle w:val="62"/>
          <w:sz w:val="22"/>
          <w:szCs w:val="22"/>
        </w:rPr>
        <w:t>, da Lei Federal nº 14.133, de 2021</w:t>
      </w:r>
      <w:r>
        <w:rPr>
          <w:sz w:val="22"/>
          <w:szCs w:val="22"/>
        </w:rPr>
        <w:t>)</w:t>
      </w:r>
    </w:p>
    <w:p w14:paraId="7FA07A93">
      <w:pPr>
        <w:pStyle w:val="33"/>
        <w:numPr>
          <w:ilvl w:val="1"/>
          <w:numId w:val="16"/>
        </w:numPr>
        <w:tabs>
          <w:tab w:val="left" w:pos="993"/>
        </w:tabs>
        <w:spacing w:before="0" w:beforeAutospacing="0" w:after="120" w:afterAutospacing="0"/>
        <w:ind w:left="0" w:firstLine="567"/>
        <w:jc w:val="both"/>
        <w:rPr>
          <w:rFonts w:ascii="Times New Roman" w:hAnsi="Times New Roman"/>
          <w:sz w:val="22"/>
          <w:szCs w:val="22"/>
        </w:rPr>
      </w:pPr>
      <w:r>
        <w:rPr>
          <w:sz w:val="22"/>
          <w:szCs w:val="22"/>
        </w:rPr>
        <w:t xml:space="preserve">O objeto do presente instrumento é </w:t>
      </w:r>
      <w:r>
        <w:rPr>
          <w:rFonts w:hint="default"/>
          <w:sz w:val="22"/>
          <w:szCs w:val="22"/>
          <w:lang w:val="pt-BR"/>
        </w:rPr>
        <w:t xml:space="preserve">o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e com Registro em Conselho para Elaboração e Adequação de Projetos de Engenharia, Laudo Técnico, Planilha Orçamentária e Acompanhamento da execução dos mesmos, conforme condições estabelecidas em Termo de Referência</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2D39C687">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979030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603AED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8237C9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30765F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6D2C32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7364F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481223D">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7BA8C204">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F5A7A3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3DB3776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03866F4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1B91DC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53207D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76C4FA5B">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3EB1116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38FD97B">
      <w:pPr>
        <w:pStyle w:val="33"/>
        <w:numPr>
          <w:ilvl w:val="1"/>
          <w:numId w:val="16"/>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002B4C3C">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6312FC7B">
      <w:pPr>
        <w:pStyle w:val="33"/>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428B21A6">
      <w:pPr>
        <w:pStyle w:val="33"/>
        <w:numPr>
          <w:ilvl w:val="2"/>
          <w:numId w:val="16"/>
        </w:numPr>
        <w:tabs>
          <w:tab w:val="left" w:pos="993"/>
        </w:tabs>
        <w:spacing w:before="0" w:beforeAutospacing="0" w:after="0" w:afterAutospacing="0"/>
        <w:ind w:left="1077" w:hanging="357"/>
        <w:jc w:val="both"/>
        <w:rPr>
          <w:sz w:val="22"/>
          <w:szCs w:val="22"/>
        </w:rPr>
      </w:pPr>
      <w:r>
        <w:rPr>
          <w:sz w:val="22"/>
          <w:szCs w:val="22"/>
        </w:rPr>
        <w:t xml:space="preserve">O </w:t>
      </w:r>
      <w:r>
        <w:rPr>
          <w:rStyle w:val="53"/>
          <w:color w:val="000000"/>
          <w:sz w:val="22"/>
          <w:szCs w:val="22"/>
        </w:rPr>
        <w:t>Termo de Referência</w:t>
      </w:r>
      <w:r>
        <w:rPr>
          <w:sz w:val="22"/>
          <w:szCs w:val="22"/>
        </w:rPr>
        <w:t>;</w:t>
      </w:r>
    </w:p>
    <w:p w14:paraId="0B87C178">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Eletrônico nº 19/2024</w:t>
      </w:r>
      <w:r>
        <w:rPr>
          <w:rFonts w:eastAsiaTheme="minorHAnsi" w:cstheme="minorBidi"/>
          <w:color w:val="000000"/>
          <w:sz w:val="22"/>
          <w:szCs w:val="22"/>
          <w:shd w:val="clear" w:fill="auto"/>
        </w:rPr>
        <w:t>;</w:t>
      </w:r>
    </w:p>
    <w:p w14:paraId="5E257C2D">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FF0D4B7">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66DE840E">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4D3F8089">
      <w:pPr>
        <w:pStyle w:val="33"/>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6E9D02AF">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VIGÊNCIA E PRORROGAÇÃO</w:t>
      </w:r>
    </w:p>
    <w:p w14:paraId="4CAD7B4E">
      <w:pPr>
        <w:pStyle w:val="33"/>
        <w:numPr>
          <w:ilvl w:val="1"/>
          <w:numId w:val="16"/>
        </w:numPr>
        <w:tabs>
          <w:tab w:val="left" w:pos="993"/>
        </w:tabs>
        <w:spacing w:before="0" w:beforeAutospacing="0" w:after="0" w:afterAutospacing="0"/>
        <w:ind w:left="0" w:firstLine="567"/>
        <w:jc w:val="both"/>
        <w:rPr>
          <w:sz w:val="22"/>
          <w:szCs w:val="22"/>
        </w:rPr>
      </w:pPr>
      <w:r>
        <w:rPr>
          <w:sz w:val="22"/>
          <w:szCs w:val="22"/>
        </w:rPr>
        <w:t>O prazo de vigência da contratação é de 1 (um) ano contado da contratação, sendo automaticamente prorrogado, independentemente de termo aditivo, quando o objeto não for concluído no período firmado acima (</w:t>
      </w:r>
      <w:r>
        <w:rPr>
          <w:sz w:val="22"/>
          <w:szCs w:val="22"/>
        </w:rPr>
        <w:fldChar w:fldCharType="begin"/>
      </w:r>
      <w:r>
        <w:rPr>
          <w:rStyle w:val="62"/>
          <w:sz w:val="22"/>
          <w:szCs w:val="22"/>
        </w:rPr>
        <w:instrText xml:space="preserve"> HYPERLINK "http://www.planalto.gov.br/ccivil_03/_ato2019-2022/2021/lei/L14133.htm" \l "art111"</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 ressalvadas as providências cabíveis no caso de culpa da Contratada, previstas neste instrumento.</w:t>
      </w:r>
    </w:p>
    <w:p w14:paraId="09377A13">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665C80D6">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33AC0EEC">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9C5203">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646E7AC">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851190B">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bookmarkStart w:id="78" w:name="_Hlk114497502"/>
      <w:bookmarkEnd w:id="78"/>
      <w:bookmarkStart w:id="79" w:name="_Hlk114497577"/>
      <w:bookmarkEnd w:id="79"/>
      <w:r>
        <w:rPr>
          <w:rStyle w:val="16"/>
          <w:color w:val="000000"/>
          <w:sz w:val="22"/>
          <w:szCs w:val="22"/>
        </w:rPr>
        <w:t>LEGISLAÇÃO APLICÁVEL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 da Lei Federal nº 14.133, de 2021)</w:t>
      </w:r>
      <w:r>
        <w:rPr>
          <w:rStyle w:val="62"/>
          <w:sz w:val="22"/>
          <w:szCs w:val="22"/>
        </w:rPr>
        <w:fldChar w:fldCharType="end"/>
      </w:r>
    </w:p>
    <w:p w14:paraId="5783F689">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 presente Termo de Contrato se vincula à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e, subsidiariamente, às seguintes leis:</w:t>
      </w:r>
    </w:p>
    <w:p w14:paraId="3267DFEF">
      <w:pPr>
        <w:pStyle w:val="33"/>
        <w:numPr>
          <w:ilvl w:val="2"/>
          <w:numId w:val="16"/>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sz w:val="22"/>
          <w:szCs w:val="22"/>
        </w:rPr>
        <w:t xml:space="preserve"> (Estatuto Nacional da Microempresa e Pequena Empresa);</w:t>
      </w:r>
    </w:p>
    <w:p w14:paraId="643C040F">
      <w:pPr>
        <w:pStyle w:val="33"/>
        <w:numPr>
          <w:ilvl w:val="2"/>
          <w:numId w:val="16"/>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Lei Federal nº 10.406, de 2002</w:t>
      </w:r>
      <w:r>
        <w:rPr>
          <w:rStyle w:val="62"/>
          <w:sz w:val="22"/>
          <w:szCs w:val="22"/>
        </w:rPr>
        <w:fldChar w:fldCharType="end"/>
      </w:r>
      <w:r>
        <w:rPr>
          <w:sz w:val="22"/>
          <w:szCs w:val="22"/>
        </w:rPr>
        <w:t xml:space="preserve"> (Código Civil);</w:t>
      </w:r>
    </w:p>
    <w:p w14:paraId="2A04ACA4">
      <w:pPr>
        <w:pStyle w:val="33"/>
        <w:numPr>
          <w:ilvl w:val="2"/>
          <w:numId w:val="16"/>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w:t>
      </w:r>
      <w:r>
        <w:rPr>
          <w:rStyle w:val="62"/>
          <w:sz w:val="22"/>
          <w:szCs w:val="22"/>
        </w:rPr>
        <w:fldChar w:fldCharType="end"/>
      </w:r>
      <w:r>
        <w:rPr>
          <w:sz w:val="22"/>
          <w:szCs w:val="22"/>
        </w:rPr>
        <w:t xml:space="preserve"> (Código de Defesa do Consumidor);</w:t>
      </w:r>
    </w:p>
    <w:p w14:paraId="7A67C57A">
      <w:pPr>
        <w:pStyle w:val="33"/>
        <w:numPr>
          <w:ilvl w:val="2"/>
          <w:numId w:val="16"/>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29EB4602">
      <w:pPr>
        <w:pStyle w:val="33"/>
        <w:numPr>
          <w:ilvl w:val="2"/>
          <w:numId w:val="16"/>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2"/>
          <w:sz w:val="22"/>
          <w:szCs w:val="22"/>
        </w:rPr>
        <w:t>Lei Federal nº 12.527, de 2011</w:t>
      </w:r>
      <w:r>
        <w:rPr>
          <w:rStyle w:val="62"/>
          <w:sz w:val="22"/>
          <w:szCs w:val="22"/>
        </w:rPr>
        <w:fldChar w:fldCharType="end"/>
      </w:r>
      <w:r>
        <w:rPr>
          <w:sz w:val="22"/>
          <w:szCs w:val="22"/>
        </w:rPr>
        <w:t xml:space="preserve"> (Lei de Acesso à Informação);</w:t>
      </w:r>
    </w:p>
    <w:p w14:paraId="47CE38FF">
      <w:pPr>
        <w:pStyle w:val="33"/>
        <w:numPr>
          <w:ilvl w:val="2"/>
          <w:numId w:val="16"/>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(Lei Geral de Proteção de Dados - LGPD).</w:t>
      </w:r>
    </w:p>
    <w:p w14:paraId="4A7CF1D0">
      <w:pPr>
        <w:pStyle w:val="33"/>
        <w:numPr>
          <w:ilvl w:val="0"/>
          <w:numId w:val="0"/>
        </w:numPr>
        <w:tabs>
          <w:tab w:val="left" w:pos="993"/>
        </w:tabs>
        <w:spacing w:before="0" w:beforeAutospacing="0" w:after="0" w:afterAutospacing="0"/>
        <w:ind w:left="720" w:leftChars="0"/>
        <w:jc w:val="both"/>
        <w:rPr>
          <w:sz w:val="22"/>
          <w:szCs w:val="22"/>
        </w:rPr>
      </w:pPr>
    </w:p>
    <w:p w14:paraId="3732142A">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REGIME DE EXECUÇÃO </w:t>
      </w:r>
      <w:r>
        <w:rPr>
          <w:sz w:val="22"/>
          <w:szCs w:val="22"/>
        </w:rPr>
        <w:t>(</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IV, da Lei Federal nº 14.133, de 2021</w:t>
      </w:r>
      <w:r>
        <w:rPr>
          <w:rStyle w:val="62"/>
          <w:sz w:val="22"/>
          <w:szCs w:val="22"/>
        </w:rPr>
        <w:fldChar w:fldCharType="end"/>
      </w:r>
      <w:r>
        <w:rPr>
          <w:sz w:val="22"/>
          <w:szCs w:val="22"/>
        </w:rPr>
        <w:t>)</w:t>
      </w:r>
    </w:p>
    <w:p w14:paraId="4E4F8B6D">
      <w:pPr>
        <w:pStyle w:val="33"/>
        <w:numPr>
          <w:ilvl w:val="1"/>
          <w:numId w:val="16"/>
        </w:numPr>
        <w:tabs>
          <w:tab w:val="left" w:pos="993"/>
        </w:tabs>
        <w:spacing w:before="0" w:beforeAutospacing="0" w:after="0" w:afterAutospacing="0"/>
        <w:ind w:left="0" w:firstLine="567"/>
        <w:jc w:val="both"/>
        <w:rPr>
          <w:sz w:val="22"/>
          <w:szCs w:val="22"/>
        </w:rPr>
      </w:pPr>
      <w:r>
        <w:rPr>
          <w:sz w:val="22"/>
          <w:szCs w:val="22"/>
        </w:rPr>
        <w:t>O regime de execução é o de empreitada por preço global (</w:t>
      </w:r>
      <w:r>
        <w:rPr>
          <w:sz w:val="22"/>
          <w:szCs w:val="22"/>
        </w:rPr>
        <w:fldChar w:fldCharType="begin"/>
      </w:r>
      <w:r>
        <w:rPr>
          <w:rStyle w:val="62"/>
          <w:sz w:val="22"/>
          <w:szCs w:val="22"/>
        </w:rPr>
        <w:instrText xml:space="preserve"> HYPERLINK "http://www.planalto.gov.br/ccivil_03/_ato2019-2022/2021/lei/L14133.htm" \l "art46"</w:instrText>
      </w:r>
      <w:r>
        <w:rPr>
          <w:rStyle w:val="62"/>
          <w:sz w:val="22"/>
          <w:szCs w:val="22"/>
        </w:rPr>
        <w:fldChar w:fldCharType="separate"/>
      </w:r>
      <w:r>
        <w:rPr>
          <w:rStyle w:val="62"/>
          <w:sz w:val="22"/>
          <w:szCs w:val="22"/>
        </w:rPr>
        <w:t>art. 46, II, da Lei Federal nº 14.133, de 2021</w:t>
      </w:r>
      <w:r>
        <w:rPr>
          <w:rStyle w:val="62"/>
          <w:sz w:val="22"/>
          <w:szCs w:val="22"/>
        </w:rPr>
        <w:fldChar w:fldCharType="end"/>
      </w:r>
      <w:r>
        <w:rPr>
          <w:sz w:val="22"/>
          <w:szCs w:val="22"/>
        </w:rPr>
        <w:t>).</w:t>
      </w:r>
    </w:p>
    <w:p w14:paraId="368E3839">
      <w:pPr>
        <w:pStyle w:val="33"/>
        <w:numPr>
          <w:ilvl w:val="0"/>
          <w:numId w:val="0"/>
        </w:numPr>
        <w:tabs>
          <w:tab w:val="left" w:pos="993"/>
        </w:tabs>
        <w:spacing w:before="0" w:beforeAutospacing="0" w:after="0" w:afterAutospacing="0"/>
        <w:ind w:left="567" w:leftChars="0"/>
        <w:jc w:val="both"/>
        <w:rPr>
          <w:sz w:val="22"/>
          <w:szCs w:val="22"/>
        </w:rPr>
      </w:pPr>
    </w:p>
    <w:p w14:paraId="3E94B7A5">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SUBCONTRATAÇÃO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"art122"</w:instrText>
      </w:r>
      <w:r>
        <w:rPr>
          <w:rStyle w:val="62"/>
          <w:sz w:val="22"/>
          <w:szCs w:val="22"/>
        </w:rPr>
        <w:fldChar w:fldCharType="separate"/>
      </w:r>
      <w:r>
        <w:rPr>
          <w:rStyle w:val="62"/>
          <w:sz w:val="22"/>
          <w:szCs w:val="22"/>
        </w:rPr>
        <w:t>art. 122 da Lei Federal nº 14.133, de 2021</w:t>
      </w:r>
      <w:r>
        <w:rPr>
          <w:rStyle w:val="62"/>
          <w:sz w:val="22"/>
          <w:szCs w:val="22"/>
        </w:rPr>
        <w:fldChar w:fldCharType="end"/>
      </w:r>
      <w:r>
        <w:rPr>
          <w:rStyle w:val="16"/>
          <w:b w:val="0"/>
          <w:bCs w:val="0"/>
          <w:color w:val="000000"/>
          <w:sz w:val="22"/>
          <w:szCs w:val="22"/>
        </w:rPr>
        <w:t>)</w:t>
      </w:r>
    </w:p>
    <w:p w14:paraId="7029F944">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5C76D77B">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4EEACF4">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DO CONTRATANTE</w:t>
      </w:r>
      <w:r>
        <w:rPr>
          <w:sz w:val="22"/>
          <w:szCs w:val="22"/>
        </w:rPr>
        <w:t xml:space="preserve">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X, XI e XIV, da Lei Federal nº 14.133, de 2021</w:t>
      </w:r>
      <w:r>
        <w:rPr>
          <w:rStyle w:val="62"/>
          <w:sz w:val="22"/>
          <w:szCs w:val="22"/>
        </w:rPr>
        <w:fldChar w:fldCharType="end"/>
      </w:r>
      <w:r>
        <w:rPr>
          <w:sz w:val="22"/>
          <w:szCs w:val="22"/>
        </w:rPr>
        <w:t>)</w:t>
      </w:r>
    </w:p>
    <w:p w14:paraId="04F238D1">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4C92C4EA">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796C7815">
      <w:pPr>
        <w:pStyle w:val="33"/>
        <w:numPr>
          <w:ilvl w:val="2"/>
          <w:numId w:val="16"/>
        </w:numPr>
        <w:tabs>
          <w:tab w:val="left" w:pos="993"/>
        </w:tabs>
        <w:spacing w:before="0" w:beforeAutospacing="0" w:after="0" w:afterAutospacing="0"/>
        <w:jc w:val="both"/>
        <w:rPr>
          <w:sz w:val="22"/>
          <w:szCs w:val="22"/>
        </w:rPr>
      </w:pPr>
      <w:r>
        <w:rPr>
          <w:color w:val="000000"/>
          <w:sz w:val="22"/>
          <w:szCs w:val="22"/>
        </w:rPr>
        <w:t xml:space="preserve">Não exigir da Contratada, serviços estranhos às atividades especificadas no </w:t>
      </w:r>
      <w:r>
        <w:rPr>
          <w:rStyle w:val="53"/>
          <w:color w:val="000000"/>
          <w:sz w:val="22"/>
          <w:szCs w:val="22"/>
        </w:rPr>
        <w:t>Termo de Referência</w:t>
      </w:r>
      <w:r>
        <w:rPr>
          <w:color w:val="000000"/>
          <w:sz w:val="22"/>
          <w:szCs w:val="22"/>
        </w:rPr>
        <w:t>;</w:t>
      </w:r>
    </w:p>
    <w:p w14:paraId="0A826F49">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08DCCE60">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234B36C">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5450C847">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CC5252A">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21DE05A0">
      <w:pPr>
        <w:pStyle w:val="33"/>
        <w:numPr>
          <w:ilvl w:val="2"/>
          <w:numId w:val="16"/>
        </w:numPr>
        <w:tabs>
          <w:tab w:val="left" w:pos="993"/>
        </w:tabs>
        <w:spacing w:before="0" w:beforeAutospacing="0" w:after="0" w:afterAutospacing="0"/>
        <w:jc w:val="both"/>
        <w:rPr>
          <w:sz w:val="22"/>
          <w:szCs w:val="22"/>
        </w:rPr>
      </w:pPr>
      <w:r>
        <w:rPr>
          <w:sz w:val="22"/>
          <w:szCs w:val="22"/>
        </w:rPr>
        <w:t xml:space="preserve">receber o objeto no prazo e condições estabelecidas no </w:t>
      </w:r>
      <w:r>
        <w:rPr>
          <w:rStyle w:val="53"/>
          <w:color w:val="000000"/>
          <w:sz w:val="22"/>
          <w:szCs w:val="22"/>
        </w:rPr>
        <w:t>Termo de Referência</w:t>
      </w:r>
      <w:r>
        <w:rPr>
          <w:sz w:val="22"/>
          <w:szCs w:val="22"/>
        </w:rPr>
        <w:t>;</w:t>
      </w:r>
    </w:p>
    <w:p w14:paraId="5B1C2759">
      <w:pPr>
        <w:pStyle w:val="33"/>
        <w:numPr>
          <w:ilvl w:val="2"/>
          <w:numId w:val="16"/>
        </w:numPr>
        <w:tabs>
          <w:tab w:val="left" w:pos="993"/>
        </w:tabs>
        <w:spacing w:before="0" w:beforeAutospacing="0" w:after="0" w:afterAutospacing="0"/>
        <w:jc w:val="both"/>
        <w:rPr>
          <w:sz w:val="22"/>
          <w:szCs w:val="22"/>
        </w:rPr>
      </w:pPr>
      <w:r>
        <w:rPr>
          <w:sz w:val="22"/>
          <w:szCs w:val="22"/>
        </w:rPr>
        <w:t xml:space="preserve">efetuar o pagamento à Contratada do valor correspondente à execução do objeto, no prazo, forma e condições estabelecidos no presente Contrato e no </w:t>
      </w:r>
      <w:r>
        <w:rPr>
          <w:rStyle w:val="53"/>
          <w:color w:val="000000"/>
          <w:sz w:val="22"/>
          <w:szCs w:val="22"/>
        </w:rPr>
        <w:t>Termo de Referência</w:t>
      </w:r>
      <w:r>
        <w:rPr>
          <w:sz w:val="22"/>
          <w:szCs w:val="22"/>
        </w:rPr>
        <w:t>, salvo no caso de parcela onde houver controvérsia.</w:t>
      </w:r>
    </w:p>
    <w:p w14:paraId="4C4A53FD">
      <w:pPr>
        <w:pStyle w:val="33"/>
        <w:numPr>
          <w:ilvl w:val="1"/>
          <w:numId w:val="16"/>
        </w:numPr>
        <w:tabs>
          <w:tab w:val="left" w:pos="993"/>
        </w:tabs>
        <w:spacing w:before="0" w:beforeAutospacing="0" w:after="0" w:afterAutospacing="0"/>
        <w:ind w:left="0" w:firstLine="567"/>
        <w:jc w:val="both"/>
        <w:rPr>
          <w:sz w:val="22"/>
          <w:szCs w:val="22"/>
        </w:rPr>
      </w:pPr>
      <w:bookmarkStart w:id="80" w:name="_Hlk114499841"/>
      <w:bookmarkEnd w:id="80"/>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rPr>
          <w:sz w:val="22"/>
          <w:szCs w:val="22"/>
        </w:rPr>
        <w:fldChar w:fldCharType="begin"/>
      </w:r>
      <w:r>
        <w:rPr>
          <w:rStyle w:val="62"/>
          <w:sz w:val="22"/>
          <w:szCs w:val="22"/>
        </w:rPr>
        <w:instrText xml:space="preserve"> HYPERLINK "https://www.planalto.gov.br/ccivil_03/_ato2019-2022/2021/lei/l14133.htm" \l "art123"</w:instrText>
      </w:r>
      <w:r>
        <w:rPr>
          <w:rStyle w:val="62"/>
          <w:sz w:val="22"/>
          <w:szCs w:val="22"/>
        </w:rPr>
        <w:fldChar w:fldCharType="separate"/>
      </w:r>
      <w:r>
        <w:rPr>
          <w:rStyle w:val="62"/>
          <w:sz w:val="22"/>
          <w:szCs w:val="22"/>
        </w:rPr>
        <w:t>art. 123 da Lei Federal nº 14.133, de 2021</w:t>
      </w:r>
      <w:r>
        <w:rPr>
          <w:rStyle w:val="62"/>
          <w:sz w:val="22"/>
          <w:szCs w:val="22"/>
        </w:rPr>
        <w:fldChar w:fldCharType="end"/>
      </w:r>
      <w:r>
        <w:rPr>
          <w:color w:val="000000"/>
          <w:sz w:val="22"/>
          <w:szCs w:val="22"/>
        </w:rPr>
        <w:t>)</w:t>
      </w:r>
    </w:p>
    <w:p w14:paraId="2D5D895A">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5DA2E858">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CDA7756">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DA CONTRATADA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 XVI e XVII</w:t>
      </w:r>
      <w:r>
        <w:rPr>
          <w:rStyle w:val="62"/>
          <w:sz w:val="22"/>
          <w:szCs w:val="22"/>
        </w:rPr>
        <w:fldChar w:fldCharType="end"/>
      </w:r>
      <w:r>
        <w:rPr>
          <w:rStyle w:val="62"/>
          <w:sz w:val="22"/>
          <w:szCs w:val="22"/>
        </w:rPr>
        <w:t>, da Lei Federal nº 14.133, de 2021</w:t>
      </w:r>
      <w:r>
        <w:rPr>
          <w:sz w:val="22"/>
          <w:szCs w:val="22"/>
        </w:rPr>
        <w:t>)</w:t>
      </w:r>
    </w:p>
    <w:p w14:paraId="3BE188B6">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58BE6FC1">
      <w:pPr>
        <w:pStyle w:val="33"/>
        <w:numPr>
          <w:ilvl w:val="2"/>
          <w:numId w:val="16"/>
        </w:numPr>
        <w:tabs>
          <w:tab w:val="left" w:pos="993"/>
        </w:tabs>
        <w:spacing w:before="0" w:beforeAutospacing="0" w:after="0" w:afterAutospacing="0"/>
        <w:jc w:val="both"/>
        <w:rPr>
          <w:sz w:val="22"/>
          <w:szCs w:val="22"/>
        </w:rPr>
      </w:pPr>
      <w:r>
        <w:rPr>
          <w:sz w:val="22"/>
          <w:szCs w:val="22"/>
        </w:rPr>
        <w:t>manter preposto aceito pela Administração no local do serviço para representá-lo na execução do contrato (</w:t>
      </w:r>
      <w:r>
        <w:rPr>
          <w:sz w:val="22"/>
          <w:szCs w:val="22"/>
        </w:rPr>
        <w:fldChar w:fldCharType="begin"/>
      </w:r>
      <w:r>
        <w:rPr>
          <w:rStyle w:val="62"/>
          <w:sz w:val="22"/>
          <w:szCs w:val="22"/>
        </w:rPr>
        <w:instrText xml:space="preserve"> HYPERLINK "https://www.planalto.gov.br/ccivil_03/_ato2019-2022/2021/lei/l14133.htm" \l "art118"</w:instrText>
      </w:r>
      <w:r>
        <w:rPr>
          <w:rStyle w:val="62"/>
          <w:sz w:val="22"/>
          <w:szCs w:val="22"/>
        </w:rPr>
        <w:fldChar w:fldCharType="separate"/>
      </w:r>
      <w:r>
        <w:rPr>
          <w:rStyle w:val="62"/>
          <w:sz w:val="22"/>
          <w:szCs w:val="22"/>
        </w:rPr>
        <w:t>art. 118 da Lei Federal nº 14.133, de 2021</w:t>
      </w:r>
      <w:r>
        <w:rPr>
          <w:rStyle w:val="62"/>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383F2C6">
      <w:pPr>
        <w:pStyle w:val="33"/>
        <w:numPr>
          <w:ilvl w:val="2"/>
          <w:numId w:val="16"/>
        </w:numPr>
        <w:tabs>
          <w:tab w:val="left" w:pos="993"/>
        </w:tabs>
        <w:spacing w:before="0" w:beforeAutospacing="0" w:after="0" w:afterAutospacing="0"/>
        <w:jc w:val="both"/>
        <w:rPr>
          <w:sz w:val="22"/>
          <w:szCs w:val="22"/>
        </w:rPr>
      </w:pPr>
      <w:r>
        <w:rPr>
          <w:sz w:val="22"/>
          <w:szCs w:val="22"/>
        </w:rPr>
        <w:t>atender às determinações regulares emitidas pelo(a) fiscal do contrato ou autoridade superior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w:t>
      </w:r>
      <w:r>
        <w:rPr>
          <w:rStyle w:val="62"/>
          <w:sz w:val="22"/>
          <w:szCs w:val="22"/>
        </w:rPr>
        <w:fldChar w:fldCharType="end"/>
      </w:r>
      <w:r>
        <w:rPr>
          <w:rStyle w:val="62"/>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09B18466">
      <w:pPr>
        <w:pStyle w:val="33"/>
        <w:numPr>
          <w:ilvl w:val="2"/>
          <w:numId w:val="16"/>
        </w:numPr>
        <w:tabs>
          <w:tab w:val="left" w:pos="993"/>
        </w:tabs>
        <w:spacing w:before="0" w:beforeAutospacing="0" w:after="0" w:afterAutospacing="0"/>
        <w:jc w:val="both"/>
        <w:rPr>
          <w:sz w:val="22"/>
          <w:szCs w:val="22"/>
        </w:rPr>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3"/>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1C6483E">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EDC01B0">
      <w:pPr>
        <w:pStyle w:val="33"/>
        <w:numPr>
          <w:ilvl w:val="2"/>
          <w:numId w:val="16"/>
        </w:numPr>
        <w:tabs>
          <w:tab w:val="left" w:pos="993"/>
        </w:tabs>
        <w:spacing w:before="0" w:beforeAutospacing="0" w:after="0" w:afterAutospacing="0"/>
        <w:jc w:val="both"/>
        <w:rPr>
          <w:sz w:val="22"/>
          <w:szCs w:val="22"/>
        </w:rPr>
      </w:pPr>
      <w:r>
        <w:rPr>
          <w:sz w:val="22"/>
          <w:szCs w:val="22"/>
        </w:rPr>
        <w:t xml:space="preserve">responsabilizar-se pelos vícios e danos decorrentes da execução do objeto, de acordo com o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Código de Defesa do Consumidor (Lei Federal nº 8.078, de 1990</w:t>
      </w:r>
      <w:r>
        <w:rPr>
          <w:rStyle w:val="62"/>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5681911">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6DB66692">
      <w:pPr>
        <w:pStyle w:val="33"/>
        <w:numPr>
          <w:ilvl w:val="2"/>
          <w:numId w:val="16"/>
        </w:numPr>
        <w:tabs>
          <w:tab w:val="left" w:pos="993"/>
        </w:tabs>
        <w:spacing w:before="0" w:beforeAutospacing="0" w:after="0" w:afterAutospacing="0"/>
        <w:jc w:val="both"/>
        <w:rPr>
          <w:sz w:val="22"/>
          <w:szCs w:val="22"/>
        </w:rPr>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rPr>
          <w:sz w:val="22"/>
          <w:szCs w:val="22"/>
        </w:rPr>
        <w:fldChar w:fldCharType="begin"/>
      </w:r>
      <w:r>
        <w:rPr>
          <w:rStyle w:val="62"/>
          <w:sz w:val="22"/>
          <w:szCs w:val="22"/>
        </w:rPr>
        <w:instrText xml:space="preserve"> HYPERLINK "http://www.planalto.gov.br/ccivil_03/_ato2019-2022/2021/lei/L14133.htm" \l "art48"</w:instrText>
      </w:r>
      <w:r>
        <w:rPr>
          <w:rStyle w:val="62"/>
          <w:sz w:val="22"/>
          <w:szCs w:val="22"/>
        </w:rPr>
        <w:fldChar w:fldCharType="separate"/>
      </w:r>
      <w:r>
        <w:rPr>
          <w:rStyle w:val="62"/>
          <w:sz w:val="22"/>
          <w:szCs w:val="22"/>
        </w:rPr>
        <w:t>artigo 48, parágrafo único, da Lei Federal nº 14.133, de 2021</w:t>
      </w:r>
      <w:r>
        <w:rPr>
          <w:rStyle w:val="62"/>
          <w:sz w:val="22"/>
          <w:szCs w:val="22"/>
        </w:rPr>
        <w:fldChar w:fldCharType="end"/>
      </w:r>
      <w:r>
        <w:rPr>
          <w:sz w:val="22"/>
          <w:szCs w:val="22"/>
        </w:rPr>
        <w:t>;</w:t>
      </w:r>
    </w:p>
    <w:p w14:paraId="7E7837DD">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2973714E">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80D8B2E">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AF2A677">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57B261FA">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2F58AE75">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0E509C71">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7B641529">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FE1B91">
      <w:pPr>
        <w:pStyle w:val="33"/>
        <w:numPr>
          <w:ilvl w:val="2"/>
          <w:numId w:val="16"/>
        </w:numPr>
        <w:tabs>
          <w:tab w:val="left" w:pos="993"/>
        </w:tabs>
        <w:spacing w:before="0" w:beforeAutospacing="0" w:after="0" w:afterAutospacing="0"/>
        <w:jc w:val="both"/>
        <w:rPr>
          <w:sz w:val="22"/>
          <w:szCs w:val="22"/>
        </w:rPr>
      </w:pPr>
      <w:r>
        <w:rPr>
          <w:sz w:val="22"/>
          <w:szCs w:val="22"/>
        </w:rPr>
        <w:t xml:space="preserve">cumprir, durante todo o período de execução do contrato, a reserva de cargos prevista no </w:t>
      </w:r>
      <w:r>
        <w:rPr>
          <w:sz w:val="22"/>
          <w:szCs w:val="22"/>
        </w:rP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sz w:val="22"/>
          <w:szCs w:val="22"/>
        </w:rPr>
        <w:t>, para pessoa com deficiência, para reabilitado da Previdência Social e para aprendiz, bem como as reservas de cargos previstas na legislação (</w:t>
      </w:r>
      <w:r>
        <w:rPr>
          <w:sz w:val="22"/>
          <w:szCs w:val="22"/>
        </w:rPr>
        <w:fldChar w:fldCharType="begin"/>
      </w:r>
      <w:r>
        <w:rPr>
          <w:rStyle w:val="62"/>
          <w:sz w:val="22"/>
          <w:szCs w:val="22"/>
        </w:rPr>
        <w:instrText xml:space="preserve"> HYPERLINK "http://www.planalto.gov.br/ccivil_03/_ato2019-2022/2021/lei/L14133.htm" \l "art116"</w:instrText>
      </w:r>
      <w:r>
        <w:rPr>
          <w:rStyle w:val="62"/>
          <w:sz w:val="22"/>
          <w:szCs w:val="22"/>
        </w:rPr>
        <w:fldChar w:fldCharType="separate"/>
      </w:r>
      <w:r>
        <w:rPr>
          <w:rStyle w:val="62"/>
          <w:sz w:val="22"/>
          <w:szCs w:val="22"/>
        </w:rPr>
        <w:t>art. 116</w:t>
      </w:r>
      <w:r>
        <w:rPr>
          <w:rStyle w:val="62"/>
          <w:sz w:val="22"/>
          <w:szCs w:val="22"/>
        </w:rPr>
        <w:fldChar w:fldCharType="end"/>
      </w:r>
      <w:r>
        <w:rPr>
          <w:rStyle w:val="62"/>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78443E2C">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D14026E">
      <w:pPr>
        <w:pStyle w:val="33"/>
        <w:numPr>
          <w:ilvl w:val="2"/>
          <w:numId w:val="16"/>
        </w:numPr>
        <w:tabs>
          <w:tab w:val="left" w:pos="993"/>
        </w:tabs>
        <w:spacing w:before="0" w:beforeAutospacing="0" w:after="0" w:afterAutospacing="0"/>
        <w:jc w:val="both"/>
        <w:rPr>
          <w:sz w:val="22"/>
          <w:szCs w:val="22"/>
        </w:rPr>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 124, II, d, da Lei Federal nº 14.133, de 2021</w:t>
      </w:r>
      <w:r>
        <w:rPr>
          <w:rStyle w:val="62"/>
          <w:sz w:val="22"/>
          <w:szCs w:val="22"/>
        </w:rPr>
        <w:fldChar w:fldCharType="end"/>
      </w:r>
      <w:r>
        <w:rPr>
          <w:sz w:val="22"/>
          <w:szCs w:val="22"/>
        </w:rPr>
        <w:t>;</w:t>
      </w:r>
    </w:p>
    <w:p w14:paraId="58761B56">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4C3F6E4F">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5DD13E7B">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5BC4140D">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155129FE">
      <w:pPr>
        <w:pStyle w:val="33"/>
        <w:numPr>
          <w:ilvl w:val="2"/>
          <w:numId w:val="16"/>
        </w:numPr>
        <w:tabs>
          <w:tab w:val="left" w:pos="993"/>
        </w:tabs>
        <w:spacing w:before="0" w:beforeAutospacing="0" w:after="0" w:afterAutospacing="0"/>
        <w:jc w:val="both"/>
        <w:rPr>
          <w:sz w:val="22"/>
          <w:szCs w:val="22"/>
        </w:rPr>
      </w:pPr>
      <w:r>
        <w:rPr>
          <w:sz w:val="22"/>
          <w:szCs w:val="22"/>
        </w:rPr>
        <w:t>atender</w:t>
      </w:r>
      <w:r>
        <w:rPr>
          <w:color w:val="000000"/>
          <w:sz w:val="22"/>
          <w:szCs w:val="22"/>
        </w:rPr>
        <w:t xml:space="preserve"> às determinações regulares emitidas pelo(a) fiscal ou gestor(a) do contrato ou autoridade superior (</w:t>
      </w:r>
      <w:r>
        <w:rPr>
          <w:sz w:val="22"/>
          <w:szCs w:val="22"/>
        </w:rPr>
        <w:fldChar w:fldCharType="begin"/>
      </w:r>
      <w:r>
        <w:rPr>
          <w:rStyle w:val="62"/>
          <w:sz w:val="22"/>
          <w:szCs w:val="22"/>
        </w:rPr>
        <w:instrText xml:space="preserve"> HYPERLINK "https://www.planalto.gov.br/ccivil_03/_ato2019-2022/2021/lei/l14133.htm" \l "art137"</w:instrText>
      </w:r>
      <w:r>
        <w:rPr>
          <w:rStyle w:val="62"/>
          <w:sz w:val="22"/>
          <w:szCs w:val="22"/>
        </w:rPr>
        <w:fldChar w:fldCharType="separate"/>
      </w:r>
      <w:r>
        <w:rPr>
          <w:rStyle w:val="62"/>
          <w:sz w:val="22"/>
          <w:szCs w:val="22"/>
        </w:rPr>
        <w:t>art. 137, II, da Lei Federal nº 14.133, de 2021</w:t>
      </w:r>
      <w:r>
        <w:rPr>
          <w:rStyle w:val="62"/>
          <w:sz w:val="22"/>
          <w:szCs w:val="22"/>
        </w:rPr>
        <w:fldChar w:fldCharType="end"/>
      </w:r>
      <w:r>
        <w:rPr>
          <w:color w:val="000000"/>
          <w:sz w:val="22"/>
          <w:szCs w:val="22"/>
        </w:rPr>
        <w:t>) e prestar todo esclarecimento ou informação por eles solicitados;</w:t>
      </w:r>
    </w:p>
    <w:p w14:paraId="22572419">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9BA2E9">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615EAE8C">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B646BB">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4A1FDC8">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4A3A6518">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7760F029">
      <w:pPr>
        <w:pStyle w:val="33"/>
        <w:numPr>
          <w:ilvl w:val="2"/>
          <w:numId w:val="16"/>
        </w:numPr>
        <w:tabs>
          <w:tab w:val="left" w:pos="993"/>
        </w:tabs>
        <w:spacing w:before="0" w:beforeAutospacing="0" w:after="0" w:afterAutospacing="0"/>
        <w:jc w:val="both"/>
        <w:rPr>
          <w:rFonts w:ascii="Times New Roman" w:hAnsi="Times New Roman"/>
          <w:sz w:val="22"/>
          <w:szCs w:val="22"/>
        </w:rPr>
      </w:pPr>
      <w:bookmarkStart w:id="81"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1"/>
    </w:p>
    <w:p w14:paraId="7D3DD470">
      <w:pPr>
        <w:pStyle w:val="33"/>
        <w:numPr>
          <w:ilvl w:val="2"/>
          <w:numId w:val="16"/>
        </w:numPr>
        <w:tabs>
          <w:tab w:val="left" w:pos="993"/>
        </w:tabs>
        <w:spacing w:before="0" w:beforeAutospacing="0" w:after="0" w:afterAutospacing="0"/>
        <w:jc w:val="both"/>
        <w:rPr>
          <w:sz w:val="22"/>
          <w:szCs w:val="22"/>
        </w:rPr>
      </w:pPr>
      <w:r>
        <w:rPr>
          <w:color w:val="000000"/>
          <w:sz w:val="22"/>
          <w:szCs w:val="22"/>
        </w:rPr>
        <w:t xml:space="preserve">orientar e treinar seus empregados sobre os deveres previstos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color w:val="000000"/>
          <w:sz w:val="22"/>
          <w:szCs w:val="22"/>
        </w:rPr>
        <w:t>, adotando medidas eficazes para proteção de dados pessoais a que tenha acesso por força da execução deste contrato;</w:t>
      </w:r>
    </w:p>
    <w:p w14:paraId="0485D2FC">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E467F40">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048BA832">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188512D8">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C1670B3">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75799C7D">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0F22A870">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FA2A4D">
      <w:pPr>
        <w:pStyle w:val="33"/>
        <w:numPr>
          <w:ilvl w:val="2"/>
          <w:numId w:val="16"/>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07CE0203">
      <w:pPr>
        <w:pStyle w:val="33"/>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7439CF8E">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OBRIGAÇÕES PERTINENTES À LGPD </w:t>
      </w:r>
      <w:r>
        <w:rPr>
          <w:rStyle w:val="16"/>
          <w:b w:val="0"/>
          <w:bCs w:val="0"/>
          <w:color w:val="000000"/>
          <w:sz w:val="22"/>
          <w:szCs w:val="22"/>
        </w:rPr>
        <w:t>(</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rStyle w:val="16"/>
          <w:b w:val="0"/>
          <w:bCs w:val="0"/>
          <w:color w:val="000000"/>
          <w:sz w:val="22"/>
          <w:szCs w:val="22"/>
        </w:rPr>
        <w:t>)</w:t>
      </w:r>
    </w:p>
    <w:p w14:paraId="7516A166">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As partes deverão cumprir 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 (LGPD)</w:t>
      </w:r>
      <w:r>
        <w:rPr>
          <w:rStyle w:val="62"/>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54EBCD">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Os dados obtidos somente poderão ser utilizados para as finalidades que justificaram seu acesso e de acordo com a boa-fé e com os princípios do </w:t>
      </w:r>
      <w:r>
        <w:rPr>
          <w:sz w:val="22"/>
          <w:szCs w:val="22"/>
        </w:rPr>
        <w:fldChar w:fldCharType="begin"/>
      </w:r>
      <w:r>
        <w:rPr>
          <w:rStyle w:val="62"/>
          <w:sz w:val="22"/>
          <w:szCs w:val="22"/>
        </w:rPr>
        <w:instrText xml:space="preserve"> HYPERLINK "https://www.planalto.gov.br/ccivil_03/_ato2015-2018/2018/lei/l13709.htm" \l "art6"</w:instrText>
      </w:r>
      <w:r>
        <w:rPr>
          <w:rStyle w:val="62"/>
          <w:sz w:val="22"/>
          <w:szCs w:val="22"/>
        </w:rPr>
        <w:fldChar w:fldCharType="separate"/>
      </w:r>
      <w:r>
        <w:rPr>
          <w:rStyle w:val="62"/>
          <w:sz w:val="22"/>
          <w:szCs w:val="22"/>
        </w:rPr>
        <w:t>art. 6º da Lei Federal nº 13.709, de 2018</w:t>
      </w:r>
      <w:r>
        <w:rPr>
          <w:rStyle w:val="62"/>
          <w:sz w:val="22"/>
          <w:szCs w:val="22"/>
        </w:rPr>
        <w:fldChar w:fldCharType="end"/>
      </w:r>
      <w:r>
        <w:rPr>
          <w:sz w:val="22"/>
          <w:szCs w:val="22"/>
        </w:rPr>
        <w:t>.</w:t>
      </w:r>
    </w:p>
    <w:p w14:paraId="0B7BFF16">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3DACFE94">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6BD7814">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Terminado o tratamento dos dados nos termos do </w:t>
      </w:r>
      <w:r>
        <w:rPr>
          <w:sz w:val="22"/>
          <w:szCs w:val="22"/>
        </w:rPr>
        <w:fldChar w:fldCharType="begin"/>
      </w:r>
      <w:r>
        <w:rPr>
          <w:rStyle w:val="62"/>
          <w:sz w:val="22"/>
          <w:szCs w:val="22"/>
        </w:rPr>
        <w:instrText xml:space="preserve"> HYPERLINK "https://www.planalto.gov.br/ccivil_03/_ato2015-2018/2018/lei/l13709.htm" \l "art15"</w:instrText>
      </w:r>
      <w:r>
        <w:rPr>
          <w:rStyle w:val="62"/>
          <w:sz w:val="22"/>
          <w:szCs w:val="22"/>
        </w:rPr>
        <w:fldChar w:fldCharType="separate"/>
      </w:r>
      <w:r>
        <w:rPr>
          <w:rStyle w:val="62"/>
          <w:sz w:val="22"/>
          <w:szCs w:val="22"/>
        </w:rPr>
        <w:t>art. 15 da Lei Federal nº 13.709, de 2018</w:t>
      </w:r>
      <w:r>
        <w:rPr>
          <w:rStyle w:val="62"/>
          <w:sz w:val="22"/>
          <w:szCs w:val="22"/>
        </w:rPr>
        <w:fldChar w:fldCharType="end"/>
      </w:r>
      <w:r>
        <w:rPr>
          <w:sz w:val="22"/>
          <w:szCs w:val="22"/>
        </w:rPr>
        <w:t xml:space="preserve">, é dever da Contratada eliminá-los, com exceção das hipóteses do </w:t>
      </w:r>
      <w:r>
        <w:rPr>
          <w:sz w:val="22"/>
          <w:szCs w:val="22"/>
        </w:rPr>
        <w:fldChar w:fldCharType="begin"/>
      </w:r>
      <w:r>
        <w:rPr>
          <w:rStyle w:val="62"/>
          <w:sz w:val="22"/>
          <w:szCs w:val="22"/>
        </w:rPr>
        <w:instrText xml:space="preserve"> HYPERLINK "https://www.planalto.gov.br/ccivil_03/_ato2015-2018/2018/lei/l13709.htm" \l "art16"</w:instrText>
      </w:r>
      <w:r>
        <w:rPr>
          <w:rStyle w:val="62"/>
          <w:sz w:val="22"/>
          <w:szCs w:val="22"/>
        </w:rPr>
        <w:fldChar w:fldCharType="separate"/>
      </w:r>
      <w:r>
        <w:rPr>
          <w:rStyle w:val="62"/>
          <w:sz w:val="22"/>
          <w:szCs w:val="22"/>
        </w:rPr>
        <w:t>art. 16 da Lei Federal nº 13.709, de 2018</w:t>
      </w:r>
      <w:r>
        <w:rPr>
          <w:rStyle w:val="62"/>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54B25E79">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É dever da Contratada orientar e treinar seus empregados sobre os deveres, requisitos e responsabilidades decorrentes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w:t>
      </w:r>
    </w:p>
    <w:p w14:paraId="68BBAEB8">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13DF84F">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AA4F9E6">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A Contratada deverá prestar, no prazo fixado pelo Contratante, prorrogável justificadamente, quaisquer informações acerca dos dados pessoais para cumprimento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inclusive quanto a eventual descarte realizado. </w:t>
      </w:r>
    </w:p>
    <w:p w14:paraId="092F9CED">
      <w:pPr>
        <w:pStyle w:val="33"/>
        <w:numPr>
          <w:ilvl w:val="1"/>
          <w:numId w:val="16"/>
        </w:numPr>
        <w:tabs>
          <w:tab w:val="left" w:pos="993"/>
        </w:tabs>
        <w:spacing w:before="0" w:beforeAutospacing="0" w:after="0" w:afterAutospacing="0"/>
        <w:ind w:left="0" w:firstLine="567"/>
        <w:jc w:val="both"/>
        <w:rPr>
          <w:sz w:val="22"/>
          <w:szCs w:val="22"/>
        </w:rPr>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art. 37 da Lei Federal nº 13.709, de 2018</w:t>
      </w:r>
      <w:r>
        <w:rPr>
          <w:rStyle w:val="62"/>
          <w:sz w:val="22"/>
          <w:szCs w:val="22"/>
        </w:rPr>
        <w:fldChar w:fldCharType="end"/>
      </w:r>
      <w:r>
        <w:rPr>
          <w:sz w:val="22"/>
          <w:szCs w:val="22"/>
        </w:rPr>
        <w:t>), com cada acesso, data, horário e registro da finalidade, para efeito de responsabilização, em caso de eventuais omissões, desvios ou abusos.</w:t>
      </w:r>
    </w:p>
    <w:p w14:paraId="2A7EC43E">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Os referidos bancos de dados devem ser desenvolvidos em formato interoperável, a fim de garantir a reutilização desses dados pela Administração nas hipóteses previstas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4E416892">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62E254CB">
      <w:pPr>
        <w:pStyle w:val="33"/>
        <w:numPr>
          <w:ilvl w:val="0"/>
          <w:numId w:val="0"/>
        </w:numPr>
        <w:tabs>
          <w:tab w:val="left" w:pos="993"/>
        </w:tabs>
        <w:spacing w:before="0" w:beforeAutospacing="0" w:after="0" w:afterAutospacing="0"/>
        <w:ind w:left="567" w:leftChars="0"/>
        <w:jc w:val="both"/>
        <w:rPr>
          <w:sz w:val="22"/>
          <w:szCs w:val="22"/>
        </w:rPr>
      </w:pPr>
    </w:p>
    <w:p w14:paraId="59BD39D4">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PRAZOS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 da Lei Federal nº 14.133, de 2021</w:t>
      </w:r>
      <w:r>
        <w:rPr>
          <w:rStyle w:val="62"/>
          <w:sz w:val="22"/>
          <w:szCs w:val="22"/>
        </w:rPr>
        <w:fldChar w:fldCharType="end"/>
      </w:r>
      <w:r>
        <w:rPr>
          <w:rStyle w:val="16"/>
          <w:b w:val="0"/>
          <w:bCs w:val="0"/>
          <w:color w:val="000000"/>
          <w:sz w:val="22"/>
          <w:szCs w:val="22"/>
        </w:rPr>
        <w:t>)</w:t>
      </w:r>
    </w:p>
    <w:p w14:paraId="5C25A4A0">
      <w:pPr>
        <w:pStyle w:val="33"/>
        <w:keepNext w:val="0"/>
        <w:keepLines w:val="0"/>
        <w:widowControl/>
        <w:suppressLineNumbers w:val="0"/>
        <w:spacing w:before="0" w:beforeAutospacing="1" w:after="0" w:afterAutospacing="0" w:line="240" w:lineRule="auto"/>
        <w:ind w:left="0" w:right="0" w:firstLine="708" w:firstLineChars="0"/>
        <w:jc w:val="both"/>
        <w:rPr>
          <w:sz w:val="22"/>
          <w:szCs w:val="22"/>
        </w:rPr>
      </w:pPr>
      <w:r>
        <w:rPr>
          <w:rFonts w:hint="default"/>
          <w:b/>
          <w:bCs/>
          <w:color w:val="000000"/>
          <w:sz w:val="22"/>
          <w:szCs w:val="22"/>
          <w:lang w:val="pt-BR"/>
        </w:rPr>
        <w:t xml:space="preserve">9.1. </w:t>
      </w:r>
      <w:r>
        <w:rPr>
          <w:rFonts w:hint="default"/>
          <w:b w:val="0"/>
          <w:bCs w:val="0"/>
          <w:color w:val="000000"/>
          <w:sz w:val="22"/>
          <w:szCs w:val="22"/>
          <w:lang w:val="pt-BR"/>
        </w:rPr>
        <w:t xml:space="preserve">O </w:t>
      </w:r>
      <w:r>
        <w:rPr>
          <w:rFonts w:hint="default" w:ascii="Times New Roman" w:hAnsi="Times New Roman" w:cs="Times New Roman"/>
          <w:kern w:val="0"/>
          <w:sz w:val="24"/>
          <w:szCs w:val="24"/>
          <w:lang w:val="pt-BR" w:eastAsia="zh-CN" w:bidi="ar"/>
        </w:rPr>
        <w:t xml:space="preserve">prazo para entrega e instalação das estruturas deve ser de até </w:t>
      </w:r>
      <w:r>
        <w:rPr>
          <w:rFonts w:hint="default" w:cs="Times New Roman"/>
          <w:kern w:val="0"/>
          <w:sz w:val="24"/>
          <w:szCs w:val="24"/>
          <w:lang w:val="pt-BR" w:eastAsia="zh-CN" w:bidi="ar"/>
        </w:rPr>
        <w:t>30</w:t>
      </w:r>
      <w:r>
        <w:rPr>
          <w:rFonts w:hint="default" w:ascii="Times New Roman" w:hAnsi="Times New Roman" w:cs="Times New Roman"/>
          <w:kern w:val="0"/>
          <w:sz w:val="24"/>
          <w:szCs w:val="24"/>
          <w:lang w:val="pt-BR" w:eastAsia="zh-CN" w:bidi="ar"/>
        </w:rPr>
        <w:t xml:space="preserve"> (</w:t>
      </w:r>
      <w:r>
        <w:rPr>
          <w:rFonts w:hint="default" w:cs="Times New Roman"/>
          <w:kern w:val="0"/>
          <w:sz w:val="24"/>
          <w:szCs w:val="24"/>
          <w:lang w:val="pt-BR" w:eastAsia="zh-CN" w:bidi="ar"/>
        </w:rPr>
        <w:t>trinta</w:t>
      </w:r>
      <w:r>
        <w:rPr>
          <w:rFonts w:hint="default" w:ascii="Times New Roman" w:hAnsi="Times New Roman" w:cs="Times New Roman"/>
          <w:kern w:val="0"/>
          <w:sz w:val="24"/>
          <w:szCs w:val="24"/>
          <w:lang w:val="pt-BR" w:eastAsia="zh-CN" w:bidi="ar"/>
        </w:rPr>
        <w:t xml:space="preserve">) dias, a partir da solicitação da Câmara Municipal de Primavera do Leste Estado de Mato Grosso, podendo este prazo ser dobrado a critério da contratante, e devendo ser entregue e instalado na Câmara Municipal de Primavera do Leste – AV. Primavera n. 300 Bairro Primavera II, CEP. 78.850-000 – Estado de Mato Grosso, observando-se o horário de expediente, das 07h00minàs 13h00min, conforme consta no </w:t>
      </w:r>
      <w:r>
        <w:rPr>
          <w:rFonts w:hint="default" w:ascii="Times New Roman" w:hAnsi="Times New Roman" w:cs="Times New Roman"/>
          <w:b/>
          <w:bCs/>
          <w:kern w:val="0"/>
          <w:sz w:val="24"/>
          <w:szCs w:val="24"/>
          <w:lang w:val="pt-BR" w:eastAsia="zh-CN" w:bidi="ar"/>
        </w:rPr>
        <w:t>Termo de Referencia nº 4</w:t>
      </w:r>
      <w:r>
        <w:rPr>
          <w:rFonts w:hint="default" w:cs="Times New Roman"/>
          <w:b/>
          <w:bCs/>
          <w:kern w:val="0"/>
          <w:sz w:val="24"/>
          <w:szCs w:val="24"/>
          <w:lang w:val="pt-BR" w:eastAsia="zh-CN" w:bidi="ar"/>
        </w:rPr>
        <w:t xml:space="preserve">0 </w:t>
      </w:r>
      <w:r>
        <w:rPr>
          <w:rFonts w:hint="default" w:ascii="Times New Roman" w:hAnsi="Times New Roman" w:cs="Times New Roman"/>
          <w:b/>
          <w:bCs/>
          <w:kern w:val="0"/>
          <w:sz w:val="24"/>
          <w:szCs w:val="24"/>
          <w:lang w:val="pt-BR" w:eastAsia="zh-CN" w:bidi="ar"/>
        </w:rPr>
        <w:t>- 2024</w:t>
      </w:r>
      <w:r>
        <w:rPr>
          <w:rFonts w:hint="default" w:ascii="Times New Roman" w:hAnsi="Times New Roman" w:cs="Times New Roman"/>
          <w:kern w:val="0"/>
          <w:sz w:val="24"/>
          <w:szCs w:val="24"/>
          <w:lang w:val="pt-BR" w:eastAsia="zh-CN" w:bidi="ar"/>
        </w:rPr>
        <w:t xml:space="preserve"> em seu “</w:t>
      </w:r>
      <w:r>
        <w:rPr>
          <w:rFonts w:hint="default" w:ascii="Times New Roman" w:hAnsi="Times New Roman" w:cs="Times New Roman"/>
          <w:b/>
          <w:bCs/>
          <w:kern w:val="0"/>
          <w:sz w:val="24"/>
          <w:szCs w:val="24"/>
          <w:lang w:val="pt-BR" w:eastAsia="zh-CN" w:bidi="ar"/>
        </w:rPr>
        <w:t xml:space="preserve">item </w:t>
      </w:r>
      <w:r>
        <w:rPr>
          <w:rFonts w:hint="default" w:cs="Times New Roman"/>
          <w:b/>
          <w:bCs/>
          <w:kern w:val="0"/>
          <w:sz w:val="24"/>
          <w:szCs w:val="24"/>
          <w:lang w:val="pt-BR" w:eastAsia="zh-CN" w:bidi="ar"/>
        </w:rPr>
        <w:t>4</w:t>
      </w:r>
      <w:r>
        <w:rPr>
          <w:rFonts w:hint="default" w:ascii="Times New Roman" w:hAnsi="Times New Roman" w:cs="Times New Roman"/>
          <w:b/>
          <w:bCs/>
          <w:kern w:val="0"/>
          <w:sz w:val="24"/>
          <w:szCs w:val="24"/>
          <w:lang w:val="pt-BR" w:eastAsia="zh-CN" w:bidi="ar"/>
        </w:rPr>
        <w:t>.</w:t>
      </w:r>
      <w:r>
        <w:rPr>
          <w:rFonts w:hint="default" w:cs="Times New Roman"/>
          <w:b/>
          <w:bCs/>
          <w:kern w:val="0"/>
          <w:sz w:val="24"/>
          <w:szCs w:val="24"/>
          <w:lang w:val="pt-BR" w:eastAsia="zh-CN" w:bidi="ar"/>
        </w:rPr>
        <w:t>2</w:t>
      </w:r>
      <w:r>
        <w:rPr>
          <w:rFonts w:hint="default" w:ascii="Times New Roman" w:hAnsi="Times New Roman" w:cs="Times New Roman"/>
          <w:b/>
          <w:bCs/>
          <w:kern w:val="0"/>
          <w:sz w:val="24"/>
          <w:szCs w:val="24"/>
          <w:lang w:val="pt-BR" w:eastAsia="zh-CN" w:bidi="ar"/>
        </w:rPr>
        <w:t>.</w:t>
      </w:r>
      <w:r>
        <w:rPr>
          <w:rFonts w:hint="default" w:ascii="Times New Roman" w:hAnsi="Times New Roman" w:cs="Times New Roman"/>
          <w:kern w:val="0"/>
          <w:sz w:val="24"/>
          <w:szCs w:val="24"/>
          <w:lang w:val="pt-BR" w:eastAsia="zh-CN" w:bidi="ar"/>
        </w:rPr>
        <w:t>”,</w:t>
      </w:r>
      <w:r>
        <w:rPr>
          <w:rFonts w:hint="default" w:cs="Times New Roman"/>
          <w:kern w:val="0"/>
          <w:sz w:val="24"/>
          <w:szCs w:val="24"/>
          <w:lang w:val="pt-BR" w:eastAsia="zh-CN" w:bidi="ar"/>
        </w:rPr>
        <w:t xml:space="preserve"> </w:t>
      </w:r>
      <w:r>
        <w:rPr>
          <w:color w:val="000000"/>
          <w:sz w:val="22"/>
          <w:szCs w:val="22"/>
        </w:rPr>
        <w:t>salvo em caso fortuito ou de força maior (</w:t>
      </w: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art. 393 da Lei Federal nº 10.406, de 2002</w:t>
      </w:r>
      <w:r>
        <w:rPr>
          <w:rStyle w:val="62"/>
          <w:sz w:val="22"/>
          <w:szCs w:val="22"/>
        </w:rPr>
        <w:fldChar w:fldCharType="end"/>
      </w:r>
      <w:r>
        <w:rPr>
          <w:color w:val="000000"/>
          <w:sz w:val="22"/>
          <w:szCs w:val="22"/>
        </w:rPr>
        <w:t>).</w:t>
      </w:r>
    </w:p>
    <w:p w14:paraId="68A467A0">
      <w:pPr>
        <w:pStyle w:val="33"/>
        <w:numPr>
          <w:ilvl w:val="0"/>
          <w:numId w:val="0"/>
        </w:numPr>
        <w:tabs>
          <w:tab w:val="left" w:pos="993"/>
        </w:tabs>
        <w:spacing w:before="0" w:beforeAutospacing="0" w:after="0" w:afterAutospacing="0"/>
        <w:ind w:left="567" w:leftChars="0"/>
        <w:jc w:val="both"/>
        <w:rPr>
          <w:sz w:val="22"/>
          <w:szCs w:val="22"/>
        </w:rPr>
      </w:pPr>
    </w:p>
    <w:p w14:paraId="5D92AEB2">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RECEBIMENTO DO OBJETO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rStyle w:val="16"/>
          <w:b w:val="0"/>
          <w:bCs w:val="0"/>
          <w:color w:val="000000"/>
          <w:sz w:val="22"/>
          <w:szCs w:val="22"/>
        </w:rPr>
        <w:t>)</w:t>
      </w:r>
    </w:p>
    <w:p w14:paraId="0E83BA01">
      <w:pPr>
        <w:pStyle w:val="33"/>
        <w:numPr>
          <w:ilvl w:val="1"/>
          <w:numId w:val="16"/>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3"/>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3"/>
          <w:color w:val="000000"/>
          <w:sz w:val="22"/>
          <w:szCs w:val="22"/>
        </w:rPr>
        <w:t>Termo de Referência</w:t>
      </w:r>
      <w:r>
        <w:rPr>
          <w:color w:val="000000"/>
          <w:sz w:val="22"/>
          <w:szCs w:val="22"/>
        </w:rPr>
        <w:t>.</w:t>
      </w:r>
    </w:p>
    <w:p w14:paraId="0EB7912E">
      <w:pPr>
        <w:pStyle w:val="33"/>
        <w:keepNext w:val="0"/>
        <w:keepLines w:val="0"/>
        <w:pageBreakBefore w:val="0"/>
        <w:widowControl/>
        <w:numPr>
          <w:ilvl w:val="1"/>
          <w:numId w:val="16"/>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717CA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B15D3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A0E7540">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5EEFE73E">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1F2DEFB8">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7D7BF141">
      <w:pPr>
        <w:pStyle w:val="33"/>
        <w:numPr>
          <w:ilvl w:val="1"/>
          <w:numId w:val="16"/>
        </w:numPr>
        <w:tabs>
          <w:tab w:val="left" w:pos="993"/>
        </w:tabs>
        <w:spacing w:before="120" w:beforeAutospacing="0" w:after="0" w:afterAutospacing="0"/>
        <w:ind w:left="0" w:firstLine="567"/>
        <w:jc w:val="both"/>
        <w:rPr>
          <w:sz w:val="22"/>
          <w:szCs w:val="22"/>
        </w:rPr>
      </w:pPr>
      <w:r>
        <w:rPr>
          <w:color w:val="000000"/>
          <w:sz w:val="22"/>
          <w:szCs w:val="22"/>
        </w:rPr>
        <w:t xml:space="preserve">O prazo de entrega será conforme cronograma indicado anteriormente, salvo se prazo maior houver sido previsto no </w:t>
      </w:r>
      <w:r>
        <w:rPr>
          <w:rStyle w:val="53"/>
          <w:color w:val="000000"/>
          <w:sz w:val="22"/>
          <w:szCs w:val="22"/>
        </w:rPr>
        <w:t>Termo de Referência</w:t>
      </w:r>
      <w:r>
        <w:rPr>
          <w:color w:val="000000"/>
          <w:sz w:val="22"/>
          <w:szCs w:val="22"/>
        </w:rPr>
        <w:t>.</w:t>
      </w:r>
    </w:p>
    <w:p w14:paraId="495BCD42">
      <w:pPr>
        <w:pStyle w:val="33"/>
        <w:numPr>
          <w:ilvl w:val="1"/>
          <w:numId w:val="16"/>
        </w:numPr>
        <w:tabs>
          <w:tab w:val="left" w:pos="993"/>
        </w:tabs>
        <w:spacing w:before="0" w:beforeAutospacing="0" w:after="120" w:afterAutospacing="0"/>
        <w:ind w:left="0" w:firstLine="567"/>
        <w:jc w:val="both"/>
        <w:rPr>
          <w:sz w:val="22"/>
          <w:szCs w:val="22"/>
        </w:rPr>
      </w:pPr>
      <w:r>
        <w:rPr>
          <w:color w:val="000000"/>
          <w:sz w:val="22"/>
          <w:szCs w:val="22"/>
        </w:rPr>
        <w:t>Após a execução, o objeto do contrato será recebido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color w:val="000000"/>
          <w:sz w:val="22"/>
          <w:szCs w:val="22"/>
        </w:rPr>
        <w:t>):</w:t>
      </w:r>
    </w:p>
    <w:p w14:paraId="1D7739DF">
      <w:pPr>
        <w:pStyle w:val="50"/>
        <w:numPr>
          <w:ilvl w:val="2"/>
          <w:numId w:val="17"/>
        </w:numPr>
        <w:tabs>
          <w:tab w:val="left" w:pos="0"/>
          <w:tab w:val="left" w:pos="1134"/>
        </w:tabs>
        <w:spacing w:before="120" w:beforeAutospacing="0" w:after="120" w:afterAutospacing="0"/>
        <w:jc w:val="both"/>
        <w:textAlignment w:val="baseline"/>
        <w:rPr>
          <w:sz w:val="22"/>
          <w:szCs w:val="22"/>
        </w:rPr>
      </w:pPr>
      <w:r>
        <w:rPr>
          <w:color w:val="000000"/>
          <w:sz w:val="22"/>
          <w:szCs w:val="22"/>
        </w:rPr>
        <w:t>provisoriamente, pelo responsável por seu acompanhamento e fiscalização, mediante termo detalhado, quando verificado o cumprimento das exigências de caráter técnico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xml:space="preserve">); e </w:t>
      </w:r>
    </w:p>
    <w:p w14:paraId="5CAC29FE">
      <w:pPr>
        <w:pStyle w:val="50"/>
        <w:numPr>
          <w:ilvl w:val="2"/>
          <w:numId w:val="1"/>
        </w:numPr>
        <w:tabs>
          <w:tab w:val="left" w:pos="1134"/>
        </w:tabs>
        <w:spacing w:before="120" w:beforeAutospacing="0" w:after="120" w:afterAutospacing="0"/>
        <w:jc w:val="both"/>
        <w:textAlignment w:val="baseline"/>
        <w:rPr>
          <w:sz w:val="22"/>
          <w:szCs w:val="22"/>
        </w:rPr>
      </w:pPr>
      <w:r>
        <w:rPr>
          <w:color w:val="000000"/>
          <w:sz w:val="22"/>
          <w:szCs w:val="22"/>
        </w:rPr>
        <w:t>definitivamente, por servidor ou comissão designada pela autoridade competente, mediante termo detalhado que comprove o atendimento das exigências contratuais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4EC02BB3">
      <w:pPr>
        <w:pStyle w:val="33"/>
        <w:numPr>
          <w:ilvl w:val="0"/>
          <w:numId w:val="16"/>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DOTAÇÃO ORÇAMENTÁRIA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VIII</w:t>
      </w:r>
      <w:r>
        <w:rPr>
          <w:rStyle w:val="62"/>
          <w:sz w:val="22"/>
          <w:szCs w:val="22"/>
        </w:rPr>
        <w:fldChar w:fldCharType="end"/>
      </w:r>
      <w:r>
        <w:rPr>
          <w:rStyle w:val="62"/>
          <w:sz w:val="22"/>
          <w:szCs w:val="22"/>
        </w:rPr>
        <w:t>, da Lei Federal nº 14.133, de 2021</w:t>
      </w:r>
      <w:r>
        <w:rPr>
          <w:sz w:val="22"/>
          <w:szCs w:val="22"/>
        </w:rPr>
        <w:t>)</w:t>
      </w:r>
    </w:p>
    <w:p w14:paraId="72766D11">
      <w:pPr>
        <w:pStyle w:val="33"/>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4B5387AE">
      <w:pPr>
        <w:pStyle w:val="50"/>
        <w:numPr>
          <w:ilvl w:val="0"/>
          <w:numId w:val="0"/>
        </w:numPr>
        <w:tabs>
          <w:tab w:val="left" w:pos="1134"/>
        </w:tabs>
        <w:spacing w:before="120" w:beforeAutospacing="0" w:after="0" w:afterAutospacing="0"/>
        <w:jc w:val="both"/>
        <w:textAlignment w:val="baseline"/>
        <w:rPr>
          <w:rFonts w:hint="default" w:ascii="Times New Roman" w:hAnsi="Times New Roman" w:cs="Times New Roman"/>
          <w:sz w:val="22"/>
          <w:szCs w:val="22"/>
        </w:rPr>
      </w:pPr>
    </w:p>
    <w:tbl>
      <w:tblPr>
        <w:tblStyle w:val="14"/>
        <w:tblW w:w="0" w:type="auto"/>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60"/>
        <w:gridCol w:w="2657"/>
        <w:gridCol w:w="4256"/>
      </w:tblGrid>
      <w:tr w14:paraId="002C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194431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l2br w:val="nil"/>
              <w:tr2bl w:val="nil"/>
            </w:tcBorders>
            <w:shd w:val="clear" w:color="auto" w:fill="auto"/>
            <w:noWrap w:val="0"/>
            <w:vAlign w:val="top"/>
          </w:tcPr>
          <w:p w14:paraId="229D1A3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l2br w:val="nil"/>
              <w:tr2bl w:val="nil"/>
            </w:tcBorders>
            <w:shd w:val="clear" w:color="auto" w:fill="auto"/>
            <w:noWrap w:val="0"/>
            <w:vAlign w:val="top"/>
          </w:tcPr>
          <w:p w14:paraId="4D9D8B06">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346C4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389301A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tl2br w:val="nil"/>
              <w:tr2bl w:val="nil"/>
            </w:tcBorders>
            <w:shd w:val="clear" w:color="auto" w:fill="auto"/>
            <w:noWrap w:val="0"/>
            <w:vAlign w:val="top"/>
          </w:tcPr>
          <w:p w14:paraId="0781163B">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tl2br w:val="nil"/>
              <w:tr2bl w:val="nil"/>
            </w:tcBorders>
            <w:shd w:val="clear" w:color="auto" w:fill="auto"/>
            <w:noWrap w:val="0"/>
            <w:vAlign w:val="top"/>
          </w:tcPr>
          <w:p w14:paraId="590D8E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30E7E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17961E5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tl2br w:val="nil"/>
              <w:tr2bl w:val="nil"/>
            </w:tcBorders>
            <w:shd w:val="clear" w:color="auto" w:fill="auto"/>
            <w:noWrap w:val="0"/>
            <w:vAlign w:val="top"/>
          </w:tcPr>
          <w:p w14:paraId="695E79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tl2br w:val="nil"/>
              <w:tr2bl w:val="nil"/>
            </w:tcBorders>
            <w:shd w:val="clear" w:color="auto" w:fill="auto"/>
            <w:noWrap w:val="0"/>
            <w:vAlign w:val="top"/>
          </w:tcPr>
          <w:p w14:paraId="172A76F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838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22699E04">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tl2br w:val="nil"/>
              <w:tr2bl w:val="nil"/>
            </w:tcBorders>
            <w:shd w:val="clear" w:color="auto" w:fill="auto"/>
            <w:noWrap w:val="0"/>
            <w:vAlign w:val="top"/>
          </w:tcPr>
          <w:p w14:paraId="56E1BB9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tl2br w:val="nil"/>
              <w:tr2bl w:val="nil"/>
            </w:tcBorders>
            <w:shd w:val="clear" w:color="auto" w:fill="auto"/>
            <w:noWrap w:val="0"/>
            <w:vAlign w:val="top"/>
          </w:tcPr>
          <w:p w14:paraId="4CBEB663">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5AC37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32D85F92">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tl2br w:val="nil"/>
              <w:tr2bl w:val="nil"/>
            </w:tcBorders>
            <w:shd w:val="clear" w:color="auto" w:fill="auto"/>
            <w:noWrap w:val="0"/>
            <w:vAlign w:val="top"/>
          </w:tcPr>
          <w:p w14:paraId="697731EC">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tl2br w:val="nil"/>
              <w:tr2bl w:val="nil"/>
            </w:tcBorders>
            <w:shd w:val="clear" w:color="auto" w:fill="auto"/>
            <w:noWrap w:val="0"/>
            <w:vAlign w:val="top"/>
          </w:tcPr>
          <w:p w14:paraId="1A241A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78F34256">
      <w:pPr>
        <w:pStyle w:val="33"/>
        <w:keepNext w:val="0"/>
        <w:keepLines w:val="0"/>
        <w:widowControl/>
        <w:suppressLineNumbers w:val="0"/>
        <w:spacing w:before="0" w:beforeAutospacing="1" w:after="0" w:afterAutospacing="0" w:line="240" w:lineRule="auto"/>
        <w:ind w:left="0" w:right="0"/>
        <w:jc w:val="both"/>
        <w:rPr>
          <w:rFonts w:hint="default" w:ascii="Times New Roman" w:hAnsi="Times New Roman" w:cs="Times New Roman"/>
          <w:sz w:val="22"/>
          <w:szCs w:val="22"/>
        </w:rPr>
      </w:pPr>
    </w:p>
    <w:tbl>
      <w:tblPr>
        <w:tblStyle w:val="14"/>
        <w:tblW w:w="901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410"/>
        <w:gridCol w:w="2301"/>
        <w:gridCol w:w="4304"/>
      </w:tblGrid>
      <w:tr w14:paraId="025D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96CDDBB">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b/>
                <w:bCs/>
                <w:sz w:val="22"/>
                <w:szCs w:val="22"/>
              </w:rPr>
              <w:t>Órgão</w:t>
            </w:r>
          </w:p>
        </w:tc>
        <w:tc>
          <w:tcPr>
            <w:tcW w:w="22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72FB630">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b/>
                <w:bCs/>
                <w:sz w:val="22"/>
                <w:szCs w:val="22"/>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E48BC4">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b/>
                <w:bCs/>
                <w:sz w:val="22"/>
                <w:szCs w:val="22"/>
              </w:rPr>
              <w:t>CÂMARA MUNICIPAL</w:t>
            </w:r>
          </w:p>
        </w:tc>
      </w:tr>
      <w:tr w14:paraId="5817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E04E6D0">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Unidade Orçamentária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B6F75D1">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EAF75D">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604C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233CBEC">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4241A40">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DD660">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0838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1E452FF">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7F06736">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01.031.001-2.001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C0FDE8">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MANUTENÇÃO DEPARTAMENTO ADMINISTRATIVO DA CÂMARA MUNICIPAL</w:t>
            </w:r>
          </w:p>
        </w:tc>
      </w:tr>
      <w:tr w14:paraId="0B3B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01CF4E7">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55A3AA8">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0009.3.3.90.30.00-1500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3A4A5B">
            <w:pPr>
              <w:pStyle w:val="3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14:paraId="5469DAC1">
      <w:pPr>
        <w:pStyle w:val="33"/>
        <w:tabs>
          <w:tab w:val="left" w:pos="993"/>
        </w:tabs>
        <w:spacing w:before="0" w:beforeAutospacing="0" w:after="0" w:afterAutospacing="0"/>
        <w:ind w:left="0" w:firstLine="0"/>
        <w:jc w:val="both"/>
        <w:rPr>
          <w:rFonts w:cs="Arial"/>
          <w:color w:val="000000"/>
          <w:sz w:val="22"/>
          <w:szCs w:val="22"/>
        </w:rPr>
      </w:pPr>
    </w:p>
    <w:p w14:paraId="3A6471CF">
      <w:pPr>
        <w:pStyle w:val="33"/>
        <w:tabs>
          <w:tab w:val="left" w:pos="993"/>
        </w:tabs>
        <w:spacing w:before="0" w:beforeAutospacing="0" w:after="0" w:afterAutospacing="0"/>
        <w:ind w:left="0" w:firstLine="0"/>
        <w:jc w:val="both"/>
        <w:rPr>
          <w:rFonts w:ascii="Times New Roman" w:hAnsi="Times New Roman"/>
          <w:sz w:val="22"/>
          <w:szCs w:val="22"/>
        </w:rPr>
      </w:pPr>
    </w:p>
    <w:p w14:paraId="0C3A5278">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PREÇO </w:t>
      </w:r>
      <w:r>
        <w:rPr>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2D77C788">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3"/>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3"/>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3268090">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13F91D">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01864213">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11E6456">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CONDIÇÕES DE PAGAMENTO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5FF0CE5B">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Para que a Nota Fiscal seja encaminhada para liquidação e pagamento será feito o recebimento provisório pelo responsável por seu acompanhamento e fiscalização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e o recebimento definitivo por servidor ou comissão designada pela autoridade competente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32CADFE6">
      <w:pPr>
        <w:pStyle w:val="33"/>
        <w:numPr>
          <w:ilvl w:val="0"/>
          <w:numId w:val="0"/>
        </w:numPr>
        <w:tabs>
          <w:tab w:val="left" w:pos="993"/>
        </w:tabs>
        <w:spacing w:before="0" w:beforeAutospacing="0" w:after="0" w:afterAutospacing="0"/>
        <w:ind w:left="567" w:leftChars="0"/>
        <w:jc w:val="both"/>
        <w:rPr>
          <w:sz w:val="22"/>
          <w:szCs w:val="22"/>
        </w:rPr>
      </w:pPr>
    </w:p>
    <w:p w14:paraId="21421E49">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LIQUIDAÇÃO E PAGAMENTO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"art143"</w:instrText>
      </w:r>
      <w:r>
        <w:rPr>
          <w:rStyle w:val="62"/>
          <w:sz w:val="22"/>
          <w:szCs w:val="22"/>
        </w:rPr>
        <w:fldChar w:fldCharType="separate"/>
      </w:r>
      <w:r>
        <w:rPr>
          <w:rStyle w:val="62"/>
          <w:sz w:val="22"/>
          <w:szCs w:val="22"/>
        </w:rPr>
        <w:t>art. 143 e 146 da Lei Federal nº 14.133, de 2021</w:t>
      </w:r>
      <w:r>
        <w:rPr>
          <w:rStyle w:val="62"/>
          <w:sz w:val="22"/>
          <w:szCs w:val="22"/>
        </w:rPr>
        <w:fldChar w:fldCharType="end"/>
      </w:r>
      <w:r>
        <w:rPr>
          <w:rStyle w:val="16"/>
          <w:b w:val="0"/>
          <w:bCs w:val="0"/>
          <w:color w:val="000000"/>
          <w:sz w:val="22"/>
          <w:szCs w:val="22"/>
        </w:rPr>
        <w:t xml:space="preserve"> e Resolução 50 de 2023.)</w:t>
      </w:r>
    </w:p>
    <w:p w14:paraId="696D3785">
      <w:pPr>
        <w:pStyle w:val="33"/>
        <w:numPr>
          <w:ilvl w:val="1"/>
          <w:numId w:val="16"/>
        </w:numPr>
        <w:tabs>
          <w:tab w:val="left" w:pos="993"/>
        </w:tabs>
        <w:spacing w:before="0" w:beforeAutospacing="0" w:after="0" w:afterAutospacing="0"/>
        <w:ind w:left="0" w:firstLine="567"/>
        <w:jc w:val="both"/>
        <w:rPr>
          <w:sz w:val="22"/>
          <w:szCs w:val="22"/>
        </w:rPr>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3"/>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 da Lei Federal nº 14.133, de 2021</w:t>
      </w:r>
      <w:r>
        <w:rPr>
          <w:rStyle w:val="62"/>
          <w:sz w:val="22"/>
          <w:szCs w:val="22"/>
        </w:rPr>
        <w:fldChar w:fldCharType="end"/>
      </w:r>
      <w:r>
        <w:rPr>
          <w:color w:val="000000" w:themeColor="text1"/>
          <w:sz w:val="22"/>
          <w:szCs w:val="22"/>
          <w14:textFill>
            <w14:solidFill>
              <w14:schemeClr w14:val="tx1"/>
            </w14:solidFill>
          </w14:textFill>
        </w:rPr>
        <w:t>.</w:t>
      </w:r>
    </w:p>
    <w:p w14:paraId="34244ED8">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28A2A629">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rPr>
          <w:sz w:val="22"/>
          <w:szCs w:val="22"/>
        </w:rPr>
        <w:fldChar w:fldCharType="begin"/>
      </w:r>
      <w:r>
        <w:rPr>
          <w:rStyle w:val="62"/>
          <w:sz w:val="22"/>
          <w:szCs w:val="22"/>
        </w:rPr>
        <w:instrText xml:space="preserve"> HYPERLINK "https://www.planalto.gov.br/ccivil_03/_ato2019-2022/2021/lei/l14133.htm" \l "art141"</w:instrText>
      </w:r>
      <w:r>
        <w:rPr>
          <w:rStyle w:val="62"/>
          <w:sz w:val="22"/>
          <w:szCs w:val="22"/>
        </w:rPr>
        <w:fldChar w:fldCharType="separate"/>
      </w:r>
      <w:r>
        <w:rPr>
          <w:rStyle w:val="62"/>
          <w:sz w:val="22"/>
          <w:szCs w:val="22"/>
        </w:rPr>
        <w:t>art. 141 da Lei Federal nº 14.133, de 2021</w:t>
      </w:r>
      <w:r>
        <w:rPr>
          <w:rStyle w:val="62"/>
          <w:sz w:val="22"/>
          <w:szCs w:val="22"/>
        </w:rPr>
        <w:fldChar w:fldCharType="end"/>
      </w:r>
      <w:r>
        <w:rPr>
          <w:rStyle w:val="62"/>
          <w:sz w:val="22"/>
          <w:szCs w:val="22"/>
        </w:rPr>
        <w:t>.</w:t>
      </w:r>
    </w:p>
    <w:p w14:paraId="1B178BB4">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rPr>
          <w:sz w:val="22"/>
          <w:szCs w:val="22"/>
        </w:rPr>
        <w:fldChar w:fldCharType="begin"/>
      </w:r>
      <w:r>
        <w:rPr>
          <w:rStyle w:val="62"/>
          <w:sz w:val="22"/>
          <w:szCs w:val="22"/>
        </w:rPr>
        <w:instrText xml:space="preserve"> HYPERLINK "http://www.planalto.gov.br/ccivil_03/_ato2019-2022/2021/lei/L14133.htm" \l "art143"</w:instrText>
      </w:r>
      <w:r>
        <w:rPr>
          <w:rStyle w:val="62"/>
          <w:sz w:val="22"/>
          <w:szCs w:val="22"/>
        </w:rPr>
        <w:fldChar w:fldCharType="separate"/>
      </w:r>
      <w:r>
        <w:rPr>
          <w:rStyle w:val="62"/>
          <w:sz w:val="22"/>
          <w:szCs w:val="22"/>
        </w:rPr>
        <w:t>art. 143 da Lei Federal nº 14.133, de 2021</w:t>
      </w:r>
      <w:r>
        <w:rPr>
          <w:rStyle w:val="62"/>
          <w:sz w:val="22"/>
          <w:szCs w:val="22"/>
        </w:rPr>
        <w:fldChar w:fldCharType="end"/>
      </w:r>
      <w:r>
        <w:rPr>
          <w:color w:val="000000"/>
          <w:sz w:val="22"/>
          <w:szCs w:val="22"/>
        </w:rPr>
        <w:t>)</w:t>
      </w:r>
    </w:p>
    <w:p w14:paraId="29BB072A">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9891ACC">
      <w:pPr>
        <w:pStyle w:val="33"/>
        <w:numPr>
          <w:ilvl w:val="1"/>
          <w:numId w:val="16"/>
        </w:numPr>
        <w:tabs>
          <w:tab w:val="left" w:pos="993"/>
        </w:tabs>
        <w:spacing w:before="0" w:beforeAutospacing="0" w:after="120" w:afterAutospacing="0"/>
        <w:ind w:left="0" w:firstLine="567"/>
        <w:jc w:val="both"/>
        <w:rPr>
          <w:sz w:val="22"/>
          <w:szCs w:val="22"/>
        </w:rPr>
      </w:pPr>
      <w:r>
        <w:rPr>
          <w:color w:val="000000" w:themeColor="text1"/>
          <w:sz w:val="22"/>
          <w:szCs w:val="22"/>
          <w14:textFill>
            <w14:solidFill>
              <w14:schemeClr w14:val="tx1"/>
            </w14:solidFill>
          </w14:textFill>
        </w:rPr>
        <w:t xml:space="preserve">Nos termos do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V, da Lei Federal nº 14.133, de 2021</w:t>
      </w:r>
      <w:r>
        <w:rPr>
          <w:rStyle w:val="62"/>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117E47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4FD70F90">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1EDEAE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B66BAB">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0C154DF6">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65F59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441B8A25">
      <w:pPr>
        <w:pStyle w:val="33"/>
        <w:numPr>
          <w:ilvl w:val="0"/>
          <w:numId w:val="16"/>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bookmarkStart w:id="82" w:name="_REAJUSTE_(art._92,"/>
      <w:bookmarkEnd w:id="82"/>
      <w:r>
        <w:rPr>
          <w:rStyle w:val="16"/>
          <w:color w:val="000000"/>
          <w:sz w:val="22"/>
          <w:szCs w:val="22"/>
        </w:rPr>
        <w:t>GARANTIA DE EXECUÇÃO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XII</w:t>
      </w:r>
      <w:r>
        <w:rPr>
          <w:rStyle w:val="62"/>
          <w:sz w:val="22"/>
          <w:szCs w:val="22"/>
        </w:rPr>
        <w:fldChar w:fldCharType="end"/>
      </w:r>
      <w:r>
        <w:rPr>
          <w:rStyle w:val="62"/>
          <w:sz w:val="22"/>
          <w:szCs w:val="22"/>
        </w:rPr>
        <w:t xml:space="preserve"> e XIII, da Lei Federal nº 14.133, de 2021</w:t>
      </w:r>
      <w:r>
        <w:rPr>
          <w:sz w:val="22"/>
          <w:szCs w:val="22"/>
        </w:rPr>
        <w:t>)</w:t>
      </w:r>
    </w:p>
    <w:p w14:paraId="43AC7E4D">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A garantia legal de adequação do serviço independe de termo expresso, vedada a exoneração contratual do fornecedor. (</w:t>
      </w:r>
      <w:r>
        <w:rPr>
          <w:sz w:val="22"/>
          <w:szCs w:val="22"/>
        </w:rPr>
        <w:fldChar w:fldCharType="begin"/>
      </w:r>
      <w:r>
        <w:rPr>
          <w:rStyle w:val="62"/>
          <w:sz w:val="22"/>
          <w:szCs w:val="22"/>
        </w:rPr>
        <w:instrText xml:space="preserve"> HYPERLINK "https://www.planalto.gov.br/ccivil_03/leis/l8078compilado.htm" \l "art24"</w:instrText>
      </w:r>
      <w:r>
        <w:rPr>
          <w:rStyle w:val="62"/>
          <w:sz w:val="22"/>
          <w:szCs w:val="22"/>
        </w:rPr>
        <w:fldChar w:fldCharType="separate"/>
      </w:r>
      <w:r>
        <w:rPr>
          <w:rStyle w:val="62"/>
          <w:sz w:val="22"/>
          <w:szCs w:val="22"/>
        </w:rPr>
        <w:t>art. 24 da Lei Federal nº 8.078, de 1990</w:t>
      </w:r>
      <w:r>
        <w:rPr>
          <w:rStyle w:val="62"/>
          <w:sz w:val="22"/>
          <w:szCs w:val="22"/>
        </w:rPr>
        <w:fldChar w:fldCharType="end"/>
      </w:r>
      <w:r>
        <w:rPr>
          <w:color w:val="000000"/>
          <w:sz w:val="22"/>
          <w:szCs w:val="22"/>
        </w:rPr>
        <w:t>)</w:t>
      </w:r>
    </w:p>
    <w:p w14:paraId="7392F74C">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A garantia contratual é complementar à legal. (</w:t>
      </w:r>
      <w:r>
        <w:rPr>
          <w:sz w:val="22"/>
          <w:szCs w:val="22"/>
        </w:rPr>
        <w:fldChar w:fldCharType="begin"/>
      </w:r>
      <w:r>
        <w:rPr>
          <w:rStyle w:val="62"/>
          <w:sz w:val="22"/>
          <w:szCs w:val="22"/>
        </w:rPr>
        <w:instrText xml:space="preserve"> HYPERLINK "https://www.planalto.gov.br/ccivil_03/leis/l8078compilado.htm" \l "art50"</w:instrText>
      </w:r>
      <w:r>
        <w:rPr>
          <w:rStyle w:val="62"/>
          <w:sz w:val="22"/>
          <w:szCs w:val="22"/>
        </w:rPr>
        <w:fldChar w:fldCharType="separate"/>
      </w:r>
      <w:r>
        <w:rPr>
          <w:rStyle w:val="62"/>
          <w:sz w:val="22"/>
          <w:szCs w:val="22"/>
        </w:rPr>
        <w:t>art. 50 da Lei Federal nº 8.078, de 1990</w:t>
      </w:r>
      <w:r>
        <w:rPr>
          <w:rStyle w:val="62"/>
          <w:sz w:val="22"/>
          <w:szCs w:val="22"/>
        </w:rPr>
        <w:fldChar w:fldCharType="end"/>
      </w:r>
      <w:r>
        <w:rPr>
          <w:color w:val="000000"/>
          <w:sz w:val="22"/>
          <w:szCs w:val="22"/>
        </w:rPr>
        <w:t>)</w:t>
      </w:r>
      <w:r>
        <w:rPr>
          <w:rFonts w:hint="default"/>
          <w:color w:val="000000"/>
          <w:sz w:val="22"/>
          <w:szCs w:val="22"/>
          <w:lang w:val="pt-BR"/>
        </w:rPr>
        <w:t>.</w:t>
      </w:r>
    </w:p>
    <w:p w14:paraId="011CD1F6">
      <w:pPr>
        <w:pStyle w:val="33"/>
        <w:numPr>
          <w:ilvl w:val="0"/>
          <w:numId w:val="0"/>
        </w:numPr>
        <w:tabs>
          <w:tab w:val="left" w:pos="993"/>
        </w:tabs>
        <w:spacing w:before="0" w:beforeAutospacing="0" w:after="0" w:afterAutospacing="0"/>
        <w:ind w:left="567" w:leftChars="0"/>
        <w:jc w:val="both"/>
        <w:rPr>
          <w:sz w:val="22"/>
          <w:szCs w:val="22"/>
        </w:rPr>
      </w:pPr>
    </w:p>
    <w:p w14:paraId="6C19D7C3">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REAJUSTE</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 3º, da Lei Federal nº 14.133, de 2021</w:t>
      </w:r>
      <w:r>
        <w:rPr>
          <w:rStyle w:val="62"/>
          <w:sz w:val="22"/>
          <w:szCs w:val="22"/>
        </w:rPr>
        <w:fldChar w:fldCharType="end"/>
      </w:r>
      <w:r>
        <w:rPr>
          <w:sz w:val="22"/>
          <w:szCs w:val="22"/>
        </w:rPr>
        <w:t>)</w:t>
      </w:r>
    </w:p>
    <w:p w14:paraId="6AA513FE">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C2D1563">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20B99E9">
      <w:pPr>
        <w:pStyle w:val="33"/>
        <w:numPr>
          <w:ilvl w:val="1"/>
          <w:numId w:val="16"/>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3A2F678F">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47EB9CA6">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1926D92">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6A6F9F4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098B266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192AAF29">
      <w:pPr>
        <w:pStyle w:val="33"/>
        <w:numPr>
          <w:ilvl w:val="1"/>
          <w:numId w:val="16"/>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CCD7DC0">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6D95F28C">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147CF3CC">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473A0BC5">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E43AFAB">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67CD065">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3C83B5B1">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9D6EF1F">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SANÇÕES ADMINISTRATIVAS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w:t>
      </w:r>
      <w:r>
        <w:rPr>
          <w:rStyle w:val="62"/>
          <w:sz w:val="22"/>
          <w:szCs w:val="22"/>
        </w:rPr>
        <w:fldChar w:fldCharType="end"/>
      </w:r>
      <w:r>
        <w:rPr>
          <w:rStyle w:val="62"/>
          <w:sz w:val="22"/>
          <w:szCs w:val="22"/>
        </w:rPr>
        <w:t>, da Lei Federal nº 14.133, de 2021</w:t>
      </w:r>
      <w:r>
        <w:rPr>
          <w:sz w:val="22"/>
          <w:szCs w:val="22"/>
        </w:rPr>
        <w:t>)</w:t>
      </w:r>
    </w:p>
    <w:p w14:paraId="773AC992">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da Lei Federal nº 14.133, de 2021</w:t>
      </w:r>
      <w:r>
        <w:rPr>
          <w:rStyle w:val="62"/>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color w:val="000000"/>
          <w:sz w:val="22"/>
          <w:szCs w:val="22"/>
        </w:rPr>
        <w:t>, garantido o direito à ampla defesa e contraditório.</w:t>
      </w:r>
    </w:p>
    <w:p w14:paraId="110B663C">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 xml:space="preserve">Em caso de atraso na execução dos serviços, será aplicada multa de mora, correspondente a 2% </w:t>
      </w:r>
      <w:r>
        <w:rPr>
          <w:rFonts w:hint="default"/>
          <w:color w:val="000000"/>
          <w:sz w:val="22"/>
          <w:szCs w:val="22"/>
          <w:lang w:val="pt-BR"/>
        </w:rPr>
        <w:t>(dois</w:t>
      </w:r>
      <w:r>
        <w:rPr>
          <w:color w:val="000000"/>
          <w:sz w:val="22"/>
          <w:szCs w:val="22"/>
        </w:rPr>
        <w:t xml:space="preserve">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98BDC83">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 xml:space="preserve">Na </w:t>
      </w:r>
      <w:r>
        <w:rPr>
          <w:sz w:val="22"/>
          <w:szCs w:val="22"/>
        </w:rPr>
        <w:t>aplicação</w:t>
      </w:r>
      <w:r>
        <w:rPr>
          <w:color w:val="000000"/>
          <w:sz w:val="22"/>
          <w:szCs w:val="22"/>
        </w:rPr>
        <w:t xml:space="preserve"> das sanções serão considerados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 1º, da Lei Federal nº 14.133, de 2021</w:t>
      </w:r>
      <w:r>
        <w:rPr>
          <w:rStyle w:val="62"/>
          <w:sz w:val="22"/>
          <w:szCs w:val="22"/>
        </w:rPr>
        <w:fldChar w:fldCharType="end"/>
      </w:r>
      <w:r>
        <w:rPr>
          <w:color w:val="000000"/>
          <w:sz w:val="22"/>
          <w:szCs w:val="22"/>
        </w:rPr>
        <w:t>):</w:t>
      </w:r>
    </w:p>
    <w:p w14:paraId="4D98FE6A">
      <w:pPr>
        <w:pStyle w:val="50"/>
        <w:numPr>
          <w:ilvl w:val="2"/>
          <w:numId w:val="1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5379A46E">
      <w:pPr>
        <w:pStyle w:val="50"/>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4846197">
      <w:pPr>
        <w:pStyle w:val="50"/>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7E83719E">
      <w:pPr>
        <w:pStyle w:val="50"/>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81BD413">
      <w:pPr>
        <w:pStyle w:val="50"/>
        <w:numPr>
          <w:ilvl w:val="2"/>
          <w:numId w:val="1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5CBC8D80">
      <w:pPr>
        <w:pStyle w:val="33"/>
        <w:numPr>
          <w:ilvl w:val="1"/>
          <w:numId w:val="16"/>
        </w:numPr>
        <w:tabs>
          <w:tab w:val="left" w:pos="993"/>
        </w:tabs>
        <w:spacing w:before="120" w:beforeAutospacing="0" w:after="0" w:afterAutospacing="0"/>
        <w:ind w:left="0" w:firstLine="567"/>
        <w:jc w:val="both"/>
        <w:rPr>
          <w:sz w:val="22"/>
          <w:szCs w:val="22"/>
        </w:rPr>
      </w:pPr>
      <w:r>
        <w:rPr>
          <w:sz w:val="22"/>
          <w:szCs w:val="22"/>
        </w:rPr>
        <w:t>As sanções de advertência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 da Lei Federal nº 14.133, de 2021</w:t>
      </w:r>
      <w:r>
        <w:rPr>
          <w:rStyle w:val="62"/>
          <w:sz w:val="22"/>
          <w:szCs w:val="22"/>
        </w:rPr>
        <w:fldChar w:fldCharType="end"/>
      </w:r>
      <w:r>
        <w:rPr>
          <w:sz w:val="22"/>
          <w:szCs w:val="22"/>
        </w:rPr>
        <w:t>), impedimento de licitar e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III, da Lei Federal nº 14.133, de 2021</w:t>
      </w:r>
      <w:r>
        <w:rPr>
          <w:rStyle w:val="62"/>
          <w:sz w:val="22"/>
          <w:szCs w:val="22"/>
        </w:rPr>
        <w:fldChar w:fldCharType="end"/>
      </w:r>
      <w:r>
        <w:rPr>
          <w:sz w:val="22"/>
          <w:szCs w:val="22"/>
        </w:rPr>
        <w:t>) e declaração de inidoneidade para licitar ou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IV, da Lei Federal nº 14.133, de 2021</w:t>
      </w:r>
      <w:r>
        <w:rPr>
          <w:rStyle w:val="62"/>
          <w:sz w:val="22"/>
          <w:szCs w:val="22"/>
        </w:rPr>
        <w:fldChar w:fldCharType="end"/>
      </w:r>
      <w:r>
        <w:rPr>
          <w:sz w:val="22"/>
          <w:szCs w:val="22"/>
        </w:rPr>
        <w:t>) poderão ser aplicadas, cumulativamente ou não, à penalidade de multa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 da Lei Federal nº 14.133, de 2021</w:t>
      </w:r>
      <w:r>
        <w:rPr>
          <w:rStyle w:val="62"/>
          <w:sz w:val="22"/>
          <w:szCs w:val="22"/>
        </w:rPr>
        <w:fldChar w:fldCharType="end"/>
      </w:r>
      <w:r>
        <w:rPr>
          <w:sz w:val="22"/>
          <w:szCs w:val="22"/>
        </w:rPr>
        <w:t>).</w:t>
      </w:r>
    </w:p>
    <w:p w14:paraId="6DFEE2C6">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w:t>
      </w:r>
    </w:p>
    <w:p w14:paraId="037EF4B9">
      <w:pPr>
        <w:pStyle w:val="33"/>
        <w:numPr>
          <w:ilvl w:val="1"/>
          <w:numId w:val="16"/>
        </w:numPr>
        <w:tabs>
          <w:tab w:val="left" w:pos="993"/>
        </w:tabs>
        <w:spacing w:before="0" w:beforeAutospacing="0" w:after="0" w:afterAutospacing="0"/>
        <w:ind w:left="0" w:firstLine="567"/>
        <w:jc w:val="both"/>
        <w:rPr>
          <w:sz w:val="22"/>
          <w:szCs w:val="22"/>
        </w:rPr>
      </w:pPr>
      <w:r>
        <w:rPr>
          <w:sz w:val="22"/>
          <w:szCs w:val="22"/>
        </w:rPr>
        <w:t>A aplicação das sanções previstas neste Contrato não exclui, em hipótese alguma, a obrigação de reparação integral do dano causado ao Contratante (</w:t>
      </w:r>
      <w:r>
        <w:rPr>
          <w:sz w:val="22"/>
          <w:szCs w:val="22"/>
        </w:rPr>
        <w:fldChar w:fldCharType="begin"/>
      </w:r>
      <w:r>
        <w:rPr>
          <w:rStyle w:val="62"/>
          <w:sz w:val="22"/>
          <w:szCs w:val="22"/>
        </w:rPr>
        <w:instrText xml:space="preserve"> HYPERLINK "http://www.planalto.gov.br/ccivil_03/_ato2019-2022/2021/lei/L14133.htm" \l "art156§9"</w:instrText>
      </w:r>
      <w:r>
        <w:rPr>
          <w:rStyle w:val="62"/>
          <w:sz w:val="22"/>
          <w:szCs w:val="22"/>
        </w:rPr>
        <w:fldChar w:fldCharType="separate"/>
      </w:r>
      <w:r>
        <w:rPr>
          <w:rStyle w:val="62"/>
          <w:sz w:val="22"/>
          <w:szCs w:val="22"/>
        </w:rPr>
        <w:t>art. 156, §9º, da Lei Federal nº 14.133, de 2021</w:t>
      </w:r>
      <w:r>
        <w:rPr>
          <w:rStyle w:val="62"/>
          <w:sz w:val="22"/>
          <w:szCs w:val="22"/>
        </w:rPr>
        <w:fldChar w:fldCharType="end"/>
      </w:r>
      <w:r>
        <w:rPr>
          <w:sz w:val="22"/>
          <w:szCs w:val="22"/>
        </w:rPr>
        <w:t>)</w:t>
      </w:r>
    </w:p>
    <w:p w14:paraId="1FB67240">
      <w:pPr>
        <w:pStyle w:val="33"/>
        <w:numPr>
          <w:ilvl w:val="1"/>
          <w:numId w:val="16"/>
        </w:numPr>
        <w:tabs>
          <w:tab w:val="left" w:pos="993"/>
        </w:tabs>
        <w:spacing w:before="0" w:beforeAutospacing="0" w:after="0" w:afterAutospacing="0"/>
        <w:ind w:left="0" w:firstLine="567"/>
        <w:jc w:val="both"/>
        <w:rPr>
          <w:sz w:val="22"/>
          <w:szCs w:val="22"/>
        </w:rPr>
      </w:pPr>
      <w:r>
        <w:rPr>
          <w:sz w:val="22"/>
          <w:szCs w:val="22"/>
        </w:rPr>
        <w:t>Se a multa aplicada e as indenizações cabíveis forem superiores ao valor do pagamento eventualmente devido pelo Contratante à Contratada, além da perda desse valor, a diferença será cobrada judicialmente (</w:t>
      </w:r>
      <w:r>
        <w:rPr>
          <w:sz w:val="22"/>
          <w:szCs w:val="22"/>
        </w:rPr>
        <w:fldChar w:fldCharType="begin"/>
      </w:r>
      <w:r>
        <w:rPr>
          <w:rStyle w:val="62"/>
          <w:sz w:val="22"/>
          <w:szCs w:val="22"/>
        </w:rPr>
        <w:instrText xml:space="preserve"> HYPERLINK "http://www.planalto.gov.br/ccivil_03/_ato2019-2022/2021/lei/L14133.htm" \l "art156§8"</w:instrText>
      </w:r>
      <w:r>
        <w:rPr>
          <w:rStyle w:val="62"/>
          <w:sz w:val="22"/>
          <w:szCs w:val="22"/>
        </w:rPr>
        <w:fldChar w:fldCharType="separate"/>
      </w:r>
      <w:r>
        <w:rPr>
          <w:rStyle w:val="62"/>
          <w:sz w:val="22"/>
          <w:szCs w:val="22"/>
        </w:rPr>
        <w:t>art. 156, §8º, da Lei Federal nº 14.133, de 2021</w:t>
      </w:r>
      <w:r>
        <w:rPr>
          <w:rStyle w:val="62"/>
          <w:sz w:val="22"/>
          <w:szCs w:val="22"/>
        </w:rPr>
        <w:fldChar w:fldCharType="end"/>
      </w:r>
      <w:r>
        <w:rPr>
          <w:sz w:val="22"/>
          <w:szCs w:val="22"/>
        </w:rPr>
        <w:t>).</w:t>
      </w:r>
    </w:p>
    <w:p w14:paraId="17D7DB3A">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3" w:name="_Hlk78351618"/>
      <w:bookmarkEnd w:id="83"/>
    </w:p>
    <w:p w14:paraId="33B709A4">
      <w:pPr>
        <w:pStyle w:val="33"/>
        <w:numPr>
          <w:ilvl w:val="1"/>
          <w:numId w:val="16"/>
        </w:numPr>
        <w:tabs>
          <w:tab w:val="left" w:pos="993"/>
        </w:tabs>
        <w:spacing w:before="0" w:beforeAutospacing="0" w:after="0" w:afterAutospacing="0"/>
        <w:ind w:left="0" w:firstLine="567"/>
        <w:jc w:val="both"/>
        <w:rPr>
          <w:sz w:val="22"/>
          <w:szCs w:val="22"/>
        </w:rPr>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2"/>
          <w:sz w:val="22"/>
          <w:szCs w:val="22"/>
        </w:rPr>
        <w:instrText xml:space="preserve"> HYPERLINK "https://www.planalto.gov.br/ccivil_03/_ato2019-2022/2021/lei/l14133.htm" \l "art161"</w:instrText>
      </w:r>
      <w:r>
        <w:rPr>
          <w:rStyle w:val="62"/>
          <w:sz w:val="22"/>
          <w:szCs w:val="22"/>
        </w:rPr>
        <w:fldChar w:fldCharType="separate"/>
      </w:r>
      <w:r>
        <w:rPr>
          <w:rStyle w:val="62"/>
          <w:sz w:val="22"/>
          <w:szCs w:val="22"/>
        </w:rPr>
        <w:t>art. 161 da Lei Federal nº 14.133, de 2021</w:t>
      </w:r>
      <w:r>
        <w:rPr>
          <w:rStyle w:val="62"/>
          <w:sz w:val="22"/>
          <w:szCs w:val="22"/>
        </w:rPr>
        <w:fldChar w:fldCharType="end"/>
      </w:r>
      <w:r>
        <w:rPr>
          <w:color w:val="000000"/>
          <w:sz w:val="22"/>
          <w:szCs w:val="22"/>
        </w:rPr>
        <w:t>.</w:t>
      </w:r>
    </w:p>
    <w:p w14:paraId="0E4E83A7">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Os atos previstos como infrações administrativas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ou em outras leis de licitações e contratos da Administração Pública que também sejam tipificados como atos lesivos na </w:t>
      </w: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serão apurados e julgados conjuntamente, nos mesmos autos, observados o rito procedimental e autoridade competente definidos. (</w:t>
      </w:r>
      <w:r>
        <w:rPr>
          <w:sz w:val="22"/>
          <w:szCs w:val="22"/>
        </w:rPr>
        <w:fldChar w:fldCharType="begin"/>
      </w:r>
      <w:r>
        <w:rPr>
          <w:rStyle w:val="62"/>
          <w:sz w:val="22"/>
          <w:szCs w:val="22"/>
        </w:rPr>
        <w:instrText xml:space="preserve"> HYPERLINK "http://www.planalto.gov.br/ccivil_03/_ato2019-2022/2021/lei/L14133.htm" \l "art159"</w:instrText>
      </w:r>
      <w:r>
        <w:rPr>
          <w:rStyle w:val="62"/>
          <w:sz w:val="22"/>
          <w:szCs w:val="22"/>
        </w:rPr>
        <w:fldChar w:fldCharType="separate"/>
      </w:r>
      <w:r>
        <w:rPr>
          <w:rStyle w:val="62"/>
          <w:sz w:val="22"/>
          <w:szCs w:val="22"/>
        </w:rPr>
        <w:t>art. 159 da Lei Federal nº 14.133, de 2021</w:t>
      </w:r>
      <w:r>
        <w:rPr>
          <w:rStyle w:val="62"/>
          <w:sz w:val="22"/>
          <w:szCs w:val="22"/>
        </w:rPr>
        <w:fldChar w:fldCharType="end"/>
      </w:r>
      <w:r>
        <w:rPr>
          <w:sz w:val="22"/>
          <w:szCs w:val="22"/>
        </w:rPr>
        <w:t>).</w:t>
      </w:r>
    </w:p>
    <w:p w14:paraId="739FA989">
      <w:pPr>
        <w:pStyle w:val="33"/>
        <w:numPr>
          <w:ilvl w:val="1"/>
          <w:numId w:val="16"/>
        </w:numPr>
        <w:tabs>
          <w:tab w:val="left" w:pos="993"/>
        </w:tabs>
        <w:spacing w:before="0" w:beforeAutospacing="0" w:after="0" w:afterAutospacing="0"/>
        <w:ind w:left="0" w:firstLine="567"/>
        <w:jc w:val="both"/>
        <w:rPr>
          <w:sz w:val="22"/>
          <w:szCs w:val="22"/>
        </w:rPr>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rPr>
          <w:sz w:val="22"/>
          <w:szCs w:val="22"/>
        </w:rPr>
        <w:fldChar w:fldCharType="begin"/>
      </w:r>
      <w:r>
        <w:rPr>
          <w:rStyle w:val="62"/>
          <w:sz w:val="22"/>
          <w:szCs w:val="22"/>
        </w:rPr>
        <w:instrText xml:space="preserve"> HYPERLINK "http://www.planalto.gov.br/ccivil_03/_ato2019-2022/2021/lei/L14133.htm" \l "art160"</w:instrText>
      </w:r>
      <w:r>
        <w:rPr>
          <w:rStyle w:val="62"/>
          <w:sz w:val="22"/>
          <w:szCs w:val="22"/>
        </w:rPr>
        <w:fldChar w:fldCharType="separate"/>
      </w:r>
      <w:r>
        <w:rPr>
          <w:rStyle w:val="62"/>
          <w:sz w:val="22"/>
          <w:szCs w:val="22"/>
        </w:rPr>
        <w:t>art. 160, da Lei Federal nº 14.133, de 2021</w:t>
      </w:r>
      <w:r>
        <w:rPr>
          <w:rStyle w:val="62"/>
          <w:sz w:val="22"/>
          <w:szCs w:val="22"/>
        </w:rPr>
        <w:fldChar w:fldCharType="end"/>
      </w:r>
      <w:r>
        <w:rPr>
          <w:sz w:val="22"/>
          <w:szCs w:val="22"/>
        </w:rPr>
        <w:t>)</w:t>
      </w:r>
    </w:p>
    <w:p w14:paraId="4803DD3D">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As sanções de impedimento de licitar e contratar e declaração de inidoneidade para licitar ou contratar são passíveis de reabilitação na forma do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163 da Lei Federal nº 14.133, de 2021.</w:t>
      </w:r>
      <w:r>
        <w:rPr>
          <w:rStyle w:val="62"/>
          <w:sz w:val="22"/>
          <w:szCs w:val="22"/>
        </w:rPr>
        <w:fldChar w:fldCharType="end"/>
      </w:r>
    </w:p>
    <w:p w14:paraId="12D9FB62">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rPr>
          <w:sz w:val="22"/>
          <w:szCs w:val="22"/>
        </w:rPr>
        <w:fldChar w:fldCharType="begin"/>
      </w:r>
      <w:r>
        <w:rPr>
          <w:sz w:val="22"/>
          <w:szCs w:val="22"/>
        </w:rPr>
        <w:instrText xml:space="preserve"> HYPERLINK "https://www.gov.br/compras/pt-br/acesso-a-informacao/legislacao/instrucoes-normativas/instrucao-normativa-seges-me-no-26-de-13-de-abril-de-2022" \h </w:instrText>
      </w:r>
      <w:r>
        <w:rPr>
          <w:sz w:val="22"/>
          <w:szCs w:val="22"/>
        </w:rPr>
        <w:fldChar w:fldCharType="separate"/>
      </w:r>
      <w:r>
        <w:rPr>
          <w:rStyle w:val="62"/>
          <w:sz w:val="22"/>
          <w:szCs w:val="22"/>
        </w:rPr>
        <w:t>Instrução Normativa SEGES/ME nº 26, de 13 de abril de 2022</w:t>
      </w:r>
      <w:r>
        <w:rPr>
          <w:rStyle w:val="62"/>
          <w:sz w:val="22"/>
          <w:szCs w:val="22"/>
        </w:rPr>
        <w:fldChar w:fldCharType="end"/>
      </w:r>
      <w:r>
        <w:rPr>
          <w:sz w:val="22"/>
          <w:szCs w:val="22"/>
        </w:rPr>
        <w:t xml:space="preserve">. </w:t>
      </w:r>
    </w:p>
    <w:p w14:paraId="6FCFB32E">
      <w:pPr>
        <w:pStyle w:val="33"/>
        <w:numPr>
          <w:ilvl w:val="1"/>
          <w:numId w:val="16"/>
        </w:numPr>
        <w:tabs>
          <w:tab w:val="left" w:pos="993"/>
        </w:tabs>
        <w:spacing w:before="0" w:beforeAutospacing="0" w:after="0" w:afterAutospacing="0"/>
        <w:ind w:left="0" w:firstLine="567"/>
        <w:jc w:val="both"/>
        <w:rPr>
          <w:sz w:val="22"/>
          <w:szCs w:val="22"/>
        </w:rPr>
      </w:pPr>
    </w:p>
    <w:p w14:paraId="52072B19">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ALTERAÇÕES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rStyle w:val="16"/>
          <w:b w:val="0"/>
          <w:bCs w:val="0"/>
          <w:color w:val="000000"/>
          <w:sz w:val="22"/>
          <w:szCs w:val="22"/>
        </w:rPr>
        <w:t>)</w:t>
      </w:r>
    </w:p>
    <w:p w14:paraId="6DD330AD">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Eventuais alterações contratuais reger-se-ão pela disciplina dos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sz w:val="22"/>
          <w:szCs w:val="22"/>
        </w:rPr>
        <w:t>.</w:t>
      </w:r>
    </w:p>
    <w:p w14:paraId="1B2838D6">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689DB1A3">
      <w:pPr>
        <w:pStyle w:val="33"/>
        <w:numPr>
          <w:ilvl w:val="1"/>
          <w:numId w:val="16"/>
        </w:numPr>
        <w:tabs>
          <w:tab w:val="left" w:pos="993"/>
        </w:tabs>
        <w:spacing w:before="0" w:beforeAutospacing="0" w:after="0" w:afterAutospacing="0"/>
        <w:ind w:left="0" w:firstLine="567"/>
        <w:jc w:val="both"/>
        <w:rPr>
          <w:sz w:val="22"/>
          <w:szCs w:val="22"/>
        </w:rPr>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sz w:val="22"/>
          <w:szCs w:val="22"/>
        </w:rPr>
        <w:fldChar w:fldCharType="begin"/>
      </w:r>
      <w:r>
        <w:rPr>
          <w:rStyle w:val="62"/>
          <w:sz w:val="22"/>
          <w:szCs w:val="22"/>
        </w:rPr>
        <w:instrText xml:space="preserve"> HYPERLINK "http://www.planalto.gov.br/ccivil_03/_ato2019-2022/2021/lei/L14133.htm" \l "art132"</w:instrText>
      </w:r>
      <w:r>
        <w:rPr>
          <w:rStyle w:val="62"/>
          <w:sz w:val="22"/>
          <w:szCs w:val="22"/>
        </w:rPr>
        <w:fldChar w:fldCharType="separate"/>
      </w:r>
      <w:r>
        <w:rPr>
          <w:rStyle w:val="62"/>
          <w:sz w:val="22"/>
          <w:szCs w:val="22"/>
        </w:rPr>
        <w:t>art. 132 da Lei Federal nº 14.133, de 2021</w:t>
      </w:r>
      <w:r>
        <w:rPr>
          <w:rStyle w:val="62"/>
          <w:sz w:val="22"/>
          <w:szCs w:val="22"/>
        </w:rPr>
        <w:fldChar w:fldCharType="end"/>
      </w:r>
      <w:r>
        <w:rPr>
          <w:sz w:val="22"/>
          <w:szCs w:val="22"/>
        </w:rPr>
        <w:t>).</w:t>
      </w:r>
    </w:p>
    <w:p w14:paraId="41F377DE">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Registros que não caracterizam alteração do contrato podem ser realizados por simples apostila, dispensada a celebração de termo aditivo, na forma do </w:t>
      </w:r>
      <w:r>
        <w:rPr>
          <w:sz w:val="22"/>
          <w:szCs w:val="22"/>
        </w:rPr>
        <w:fldChar w:fldCharType="begin"/>
      </w:r>
      <w:r>
        <w:rPr>
          <w:rStyle w:val="62"/>
          <w:sz w:val="22"/>
          <w:szCs w:val="22"/>
        </w:rPr>
        <w:instrText xml:space="preserve"> HYPERLINK "http://www.planalto.gov.br/ccivil_03/_ato2019-2022/2021/lei/L14133.htm" \l "art136"</w:instrText>
      </w:r>
      <w:r>
        <w:rPr>
          <w:rStyle w:val="62"/>
          <w:sz w:val="22"/>
          <w:szCs w:val="22"/>
        </w:rPr>
        <w:fldChar w:fldCharType="separate"/>
      </w:r>
      <w:r>
        <w:rPr>
          <w:rStyle w:val="62"/>
          <w:sz w:val="22"/>
          <w:szCs w:val="22"/>
        </w:rPr>
        <w:t>art. 136 da Lei Federal nº 14.133, de 2021</w:t>
      </w:r>
      <w:r>
        <w:rPr>
          <w:rStyle w:val="62"/>
          <w:sz w:val="22"/>
          <w:szCs w:val="22"/>
        </w:rPr>
        <w:fldChar w:fldCharType="end"/>
      </w:r>
      <w:r>
        <w:rPr>
          <w:sz w:val="22"/>
          <w:szCs w:val="22"/>
        </w:rPr>
        <w:t>.</w:t>
      </w:r>
    </w:p>
    <w:p w14:paraId="73EA0A94">
      <w:pPr>
        <w:pStyle w:val="33"/>
        <w:numPr>
          <w:ilvl w:val="1"/>
          <w:numId w:val="16"/>
        </w:numPr>
        <w:tabs>
          <w:tab w:val="left" w:pos="993"/>
        </w:tabs>
        <w:spacing w:before="0" w:beforeAutospacing="0" w:after="0" w:afterAutospacing="0"/>
        <w:ind w:left="0" w:firstLine="567"/>
        <w:jc w:val="both"/>
        <w:rPr>
          <w:sz w:val="22"/>
          <w:szCs w:val="22"/>
        </w:rPr>
      </w:pPr>
    </w:p>
    <w:p w14:paraId="3F0C0E30">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DA EXTINÇÃO CONTRATUAL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XIX</w:t>
      </w:r>
      <w:r>
        <w:rPr>
          <w:rStyle w:val="62"/>
          <w:sz w:val="22"/>
          <w:szCs w:val="22"/>
        </w:rPr>
        <w:fldChar w:fldCharType="end"/>
      </w:r>
      <w:r>
        <w:rPr>
          <w:rStyle w:val="62"/>
          <w:sz w:val="22"/>
          <w:szCs w:val="22"/>
        </w:rPr>
        <w:t>, da Lei Federal nº 14.133, de 2021</w:t>
      </w:r>
      <w:r>
        <w:rPr>
          <w:sz w:val="22"/>
          <w:szCs w:val="22"/>
        </w:rPr>
        <w:t>)</w:t>
      </w:r>
    </w:p>
    <w:p w14:paraId="057673BC">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60D714D9">
      <w:pPr>
        <w:pStyle w:val="33"/>
        <w:numPr>
          <w:ilvl w:val="1"/>
          <w:numId w:val="16"/>
        </w:numPr>
        <w:tabs>
          <w:tab w:val="left" w:pos="993"/>
        </w:tabs>
        <w:spacing w:before="0" w:beforeAutospacing="0" w:after="0" w:afterAutospacing="0"/>
        <w:ind w:left="0" w:firstLine="567"/>
        <w:jc w:val="both"/>
        <w:rPr>
          <w:sz w:val="22"/>
          <w:szCs w:val="22"/>
        </w:rPr>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w:t>
      </w:r>
    </w:p>
    <w:p w14:paraId="70CC472D">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56A71B61">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70682622">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1C5BEA2E">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 contrato poderá ser extinto antes de cumpridas as obrigações nele estipuladas, ou antes do prazo nele fixado, por algum dos motivos previstos no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artigo 137 da Lei Federal nº 14.133/21</w:t>
      </w:r>
      <w:r>
        <w:rPr>
          <w:rStyle w:val="62"/>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rPr>
          <w:sz w:val="22"/>
          <w:szCs w:val="22"/>
        </w:rPr>
        <w:fldChar w:fldCharType="begin"/>
      </w:r>
      <w:r>
        <w:rPr>
          <w:rStyle w:val="62"/>
          <w:sz w:val="22"/>
          <w:szCs w:val="22"/>
        </w:rPr>
        <w:instrText xml:space="preserve"> HYPERLINK "http://www.planalto.gov.br/ccivil_03/_ato2019-2022/2021/lei/L14133.htm" \l "art138"</w:instrText>
      </w:r>
      <w:r>
        <w:rPr>
          <w:rStyle w:val="62"/>
          <w:sz w:val="22"/>
          <w:szCs w:val="22"/>
        </w:rPr>
        <w:fldChar w:fldCharType="separate"/>
      </w:r>
      <w:r>
        <w:rPr>
          <w:rStyle w:val="62"/>
          <w:sz w:val="22"/>
          <w:szCs w:val="22"/>
        </w:rPr>
        <w:t>artigos 138 e 139</w:t>
      </w:r>
      <w:r>
        <w:rPr>
          <w:rStyle w:val="62"/>
          <w:sz w:val="22"/>
          <w:szCs w:val="22"/>
        </w:rPr>
        <w:fldChar w:fldCharType="end"/>
      </w:r>
      <w:r>
        <w:rPr>
          <w:rStyle w:val="62"/>
          <w:sz w:val="22"/>
          <w:szCs w:val="22"/>
        </w:rPr>
        <w:t xml:space="preserve"> da Lei Federal nº 14.133, de 2021</w:t>
      </w:r>
      <w:r>
        <w:rPr>
          <w:sz w:val="22"/>
          <w:szCs w:val="22"/>
        </w:rPr>
        <w:t>.</w:t>
      </w:r>
    </w:p>
    <w:p w14:paraId="1D600F1A">
      <w:pPr>
        <w:pStyle w:val="33"/>
        <w:numPr>
          <w:ilvl w:val="1"/>
          <w:numId w:val="16"/>
        </w:numPr>
        <w:tabs>
          <w:tab w:val="left" w:pos="993"/>
        </w:tabs>
        <w:spacing w:before="0" w:beforeAutospacing="0" w:after="0" w:afterAutospacing="0"/>
        <w:ind w:left="0" w:firstLine="567"/>
        <w:jc w:val="both"/>
        <w:rPr>
          <w:sz w:val="22"/>
          <w:szCs w:val="22"/>
        </w:rPr>
      </w:pPr>
      <w:r>
        <w:rPr>
          <w:sz w:val="22"/>
          <w:szCs w:val="22"/>
        </w:rPr>
        <w:t>A alteração social ou a modificação da finalidade ou da estrutura da contratada não ensejará a extinção se não restringir sua capacidade de concluir o contrato.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III, da Lei Federal nº 14.133, de 2021</w:t>
      </w:r>
      <w:r>
        <w:rPr>
          <w:rStyle w:val="62"/>
          <w:sz w:val="22"/>
          <w:szCs w:val="22"/>
        </w:rPr>
        <w:fldChar w:fldCharType="end"/>
      </w:r>
      <w:r>
        <w:rPr>
          <w:sz w:val="22"/>
          <w:szCs w:val="22"/>
        </w:rPr>
        <w:t>)</w:t>
      </w:r>
    </w:p>
    <w:p w14:paraId="5A354912">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52E834A8">
      <w:pPr>
        <w:pStyle w:val="33"/>
        <w:numPr>
          <w:ilvl w:val="1"/>
          <w:numId w:val="16"/>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64316CF6">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2880E111">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53B3493D">
      <w:pPr>
        <w:pStyle w:val="33"/>
        <w:numPr>
          <w:ilvl w:val="2"/>
          <w:numId w:val="16"/>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35ECEF9B">
      <w:pPr>
        <w:pStyle w:val="33"/>
        <w:numPr>
          <w:ilvl w:val="1"/>
          <w:numId w:val="16"/>
        </w:numPr>
        <w:tabs>
          <w:tab w:val="left" w:pos="993"/>
        </w:tabs>
        <w:spacing w:before="0" w:beforeAutospacing="0" w:after="0" w:afterAutospacing="0"/>
        <w:ind w:left="0" w:firstLine="567"/>
        <w:jc w:val="both"/>
        <w:rPr>
          <w:sz w:val="22"/>
          <w:szCs w:val="22"/>
        </w:rPr>
      </w:pPr>
      <w:r>
        <w:rPr>
          <w:sz w:val="22"/>
          <w:szCs w:val="22"/>
        </w:rPr>
        <w:t>A extinção do contrato não configura óbice para o reconhecimento do desequilíbrio econômico-financeiro, hipótese em que será concedida indenização por meio de termo indenizatório (</w:t>
      </w:r>
      <w:r>
        <w:rPr>
          <w:sz w:val="22"/>
          <w:szCs w:val="22"/>
        </w:rPr>
        <w:fldChar w:fldCharType="begin"/>
      </w:r>
      <w:r>
        <w:rPr>
          <w:rStyle w:val="62"/>
          <w:sz w:val="22"/>
          <w:szCs w:val="22"/>
        </w:rPr>
        <w:instrText xml:space="preserve"> HYPERLINK "http://www.planalto.gov.br/ccivil_03/_ato2019-2022/2021/lei/L14133.htm" \l "art131"</w:instrText>
      </w:r>
      <w:r>
        <w:rPr>
          <w:rStyle w:val="62"/>
          <w:sz w:val="22"/>
          <w:szCs w:val="22"/>
        </w:rPr>
        <w:fldChar w:fldCharType="separate"/>
      </w:r>
      <w:r>
        <w:rPr>
          <w:rStyle w:val="62"/>
          <w:sz w:val="22"/>
          <w:szCs w:val="22"/>
        </w:rPr>
        <w:t xml:space="preserve">art. 131, </w:t>
      </w:r>
      <w:r>
        <w:rPr>
          <w:rStyle w:val="62"/>
          <w:sz w:val="22"/>
          <w:szCs w:val="22"/>
        </w:rPr>
        <w:fldChar w:fldCharType="end"/>
      </w:r>
      <w:r>
        <w:rPr>
          <w:rStyle w:val="62"/>
          <w:i/>
          <w:iCs/>
          <w:sz w:val="22"/>
          <w:szCs w:val="22"/>
        </w:rPr>
        <w:t xml:space="preserve">caput, </w:t>
      </w:r>
      <w:r>
        <w:rPr>
          <w:rStyle w:val="62"/>
          <w:sz w:val="22"/>
          <w:szCs w:val="22"/>
        </w:rPr>
        <w:t>da Lei Federal nº 14.133, de 2021).</w:t>
      </w:r>
      <w:r>
        <w:rPr>
          <w:sz w:val="22"/>
          <w:szCs w:val="22"/>
        </w:rPr>
        <w:t xml:space="preserve"> </w:t>
      </w:r>
    </w:p>
    <w:p w14:paraId="064044E9">
      <w:pPr>
        <w:pStyle w:val="33"/>
        <w:numPr>
          <w:ilvl w:val="1"/>
          <w:numId w:val="16"/>
        </w:numPr>
        <w:tabs>
          <w:tab w:val="left" w:pos="993"/>
        </w:tabs>
        <w:spacing w:before="0" w:beforeAutospacing="0" w:after="0" w:afterAutospacing="0"/>
        <w:ind w:left="0" w:firstLine="567"/>
        <w:jc w:val="both"/>
        <w:rPr>
          <w:sz w:val="22"/>
          <w:szCs w:val="22"/>
        </w:rPr>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2"/>
          <w:sz w:val="22"/>
          <w:szCs w:val="22"/>
        </w:rPr>
        <w:instrText xml:space="preserve"> HYPERLINK "http://www.planalto.gov.br/ccivil_03/_ato2019-2022/2021/lei/L14133.htm" \l "art14"</w:instrText>
      </w:r>
      <w:r>
        <w:rPr>
          <w:rStyle w:val="62"/>
          <w:sz w:val="22"/>
          <w:szCs w:val="22"/>
        </w:rPr>
        <w:fldChar w:fldCharType="separate"/>
      </w:r>
      <w:r>
        <w:rPr>
          <w:rStyle w:val="62"/>
          <w:sz w:val="22"/>
          <w:szCs w:val="22"/>
        </w:rPr>
        <w:t>art. 14, inciso IV, da Lei Federal nº 14.133, de 2021</w:t>
      </w:r>
      <w:r>
        <w:rPr>
          <w:rStyle w:val="62"/>
          <w:sz w:val="22"/>
          <w:szCs w:val="22"/>
        </w:rPr>
        <w:fldChar w:fldCharType="end"/>
      </w:r>
      <w:r>
        <w:rPr>
          <w:sz w:val="22"/>
          <w:szCs w:val="22"/>
        </w:rPr>
        <w:t>).</w:t>
      </w:r>
    </w:p>
    <w:p w14:paraId="7EFC410A">
      <w:pPr>
        <w:pStyle w:val="33"/>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C21C510">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DOS CASOS OMISSOS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w:t>
      </w:r>
      <w:r>
        <w:rPr>
          <w:rStyle w:val="62"/>
          <w:sz w:val="22"/>
          <w:szCs w:val="22"/>
        </w:rPr>
        <w:fldChar w:fldCharType="end"/>
      </w:r>
      <w:r>
        <w:rPr>
          <w:rStyle w:val="62"/>
          <w:sz w:val="22"/>
          <w:szCs w:val="22"/>
        </w:rPr>
        <w:t>, da Lei Federal nº 14.133, de 2021</w:t>
      </w:r>
      <w:r>
        <w:rPr>
          <w:sz w:val="22"/>
          <w:szCs w:val="22"/>
        </w:rPr>
        <w:t>)</w:t>
      </w:r>
    </w:p>
    <w:p w14:paraId="4EF3FDF2">
      <w:pPr>
        <w:pStyle w:val="33"/>
        <w:numPr>
          <w:ilvl w:val="1"/>
          <w:numId w:val="16"/>
        </w:numPr>
        <w:tabs>
          <w:tab w:val="left" w:pos="993"/>
        </w:tabs>
        <w:spacing w:before="0" w:beforeAutospacing="0" w:after="0" w:afterAutospacing="0"/>
        <w:ind w:left="0" w:firstLine="567"/>
        <w:jc w:val="both"/>
        <w:rPr>
          <w:sz w:val="22"/>
          <w:szCs w:val="22"/>
        </w:rPr>
      </w:pPr>
      <w:r>
        <w:rPr>
          <w:sz w:val="22"/>
          <w:szCs w:val="22"/>
        </w:rPr>
        <w:t xml:space="preserve">Os casos omissos serão decididos pelo Contratante, segundo as disposições contidas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e demais normas federais aplicáveis e, subsidiariamente, segundo as disposições contidas na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1990 - Código de Defesa do Consumidor</w:t>
      </w:r>
      <w:r>
        <w:rPr>
          <w:rStyle w:val="62"/>
          <w:sz w:val="22"/>
          <w:szCs w:val="22"/>
        </w:rPr>
        <w:fldChar w:fldCharType="end"/>
      </w:r>
      <w:r>
        <w:rPr>
          <w:sz w:val="22"/>
          <w:szCs w:val="22"/>
        </w:rPr>
        <w:t xml:space="preserve"> - e normas e princípios gerais dos contratos.</w:t>
      </w:r>
    </w:p>
    <w:p w14:paraId="5EC34B9A">
      <w:pPr>
        <w:pStyle w:val="33"/>
        <w:numPr>
          <w:ilvl w:val="1"/>
          <w:numId w:val="16"/>
        </w:numPr>
        <w:tabs>
          <w:tab w:val="left" w:pos="993"/>
        </w:tabs>
        <w:spacing w:before="0" w:beforeAutospacing="0" w:after="0" w:afterAutospacing="0"/>
        <w:ind w:left="0" w:firstLine="567"/>
        <w:jc w:val="both"/>
        <w:rPr>
          <w:sz w:val="22"/>
          <w:szCs w:val="22"/>
        </w:rPr>
      </w:pPr>
    </w:p>
    <w:p w14:paraId="5D7BC23C">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PUBLICAÇÃO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rStyle w:val="16"/>
          <w:b w:val="0"/>
          <w:bCs w:val="0"/>
          <w:color w:val="000000"/>
          <w:sz w:val="22"/>
          <w:szCs w:val="22"/>
        </w:rPr>
        <w:t>)</w:t>
      </w:r>
    </w:p>
    <w:p w14:paraId="031291F9">
      <w:pPr>
        <w:pStyle w:val="33"/>
        <w:numPr>
          <w:ilvl w:val="1"/>
          <w:numId w:val="16"/>
        </w:numPr>
        <w:tabs>
          <w:tab w:val="left" w:pos="993"/>
        </w:tabs>
        <w:spacing w:before="0" w:beforeAutospacing="0" w:after="0" w:afterAutospacing="0"/>
        <w:ind w:left="0" w:firstLine="567"/>
        <w:jc w:val="both"/>
        <w:rPr>
          <w:sz w:val="22"/>
          <w:szCs w:val="22"/>
        </w:rPr>
      </w:pPr>
      <w:r>
        <w:rPr>
          <w:sz w:val="22"/>
          <w:szCs w:val="22"/>
        </w:rPr>
        <w:t>Incumbirá ao Contratante divulgar o presente instrumento no Portal Nacional de Contratações Públicas - PNCP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xml:space="preserve">), na forma prevista no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sz w:val="22"/>
          <w:szCs w:val="22"/>
        </w:rPr>
        <w:t xml:space="preserve">, bem como no respectivo sítio oficial na Internet, em atenção ao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 xml:space="preserve">art. 91, </w:t>
      </w:r>
      <w:r>
        <w:rPr>
          <w:rStyle w:val="62"/>
          <w:sz w:val="22"/>
          <w:szCs w:val="22"/>
        </w:rPr>
        <w:fldChar w:fldCharType="end"/>
      </w:r>
      <w:r>
        <w:rPr>
          <w:rStyle w:val="62"/>
          <w:i/>
          <w:iCs/>
          <w:sz w:val="22"/>
          <w:szCs w:val="22"/>
        </w:rPr>
        <w:t>caput</w:t>
      </w:r>
      <w:r>
        <w:rPr>
          <w:rStyle w:val="62"/>
          <w:sz w:val="22"/>
          <w:szCs w:val="22"/>
        </w:rPr>
        <w:t>, da Lei Federal nº 14.133, de 2021</w:t>
      </w:r>
      <w:r>
        <w:rPr>
          <w:sz w:val="22"/>
          <w:szCs w:val="22"/>
        </w:rPr>
        <w:t xml:space="preserve">, e ao </w:t>
      </w:r>
      <w:r>
        <w:rPr>
          <w:sz w:val="22"/>
          <w:szCs w:val="22"/>
        </w:rPr>
        <w:fldChar w:fldCharType="begin"/>
      </w:r>
      <w:r>
        <w:rPr>
          <w:rStyle w:val="62"/>
          <w:sz w:val="22"/>
          <w:szCs w:val="22"/>
        </w:rPr>
        <w:instrText xml:space="preserve"> HYPERLINK "https://www.planalto.gov.br/ccivil_03/_ato2011-2014/2011/lei/l12527.htm" \l "art8§2"</w:instrText>
      </w:r>
      <w:r>
        <w:rPr>
          <w:rStyle w:val="62"/>
          <w:sz w:val="22"/>
          <w:szCs w:val="22"/>
        </w:rPr>
        <w:fldChar w:fldCharType="separate"/>
      </w:r>
      <w:r>
        <w:rPr>
          <w:rStyle w:val="62"/>
          <w:sz w:val="22"/>
          <w:szCs w:val="22"/>
        </w:rPr>
        <w:t>art. 8º, §2º, da Lei Federal nº 12.527, de 2011</w:t>
      </w:r>
      <w:r>
        <w:rPr>
          <w:rStyle w:val="62"/>
          <w:sz w:val="22"/>
          <w:szCs w:val="22"/>
        </w:rPr>
        <w:fldChar w:fldCharType="end"/>
      </w:r>
      <w:r>
        <w:rPr>
          <w:sz w:val="22"/>
          <w:szCs w:val="22"/>
        </w:rPr>
        <w:t>.</w:t>
      </w:r>
    </w:p>
    <w:p w14:paraId="1F1E2A55">
      <w:pPr>
        <w:pStyle w:val="33"/>
        <w:numPr>
          <w:ilvl w:val="1"/>
          <w:numId w:val="16"/>
        </w:numPr>
        <w:tabs>
          <w:tab w:val="left" w:pos="993"/>
        </w:tabs>
        <w:spacing w:before="0" w:beforeAutospacing="0" w:after="0" w:afterAutospacing="0"/>
        <w:ind w:left="0" w:firstLine="567"/>
        <w:jc w:val="both"/>
        <w:rPr>
          <w:sz w:val="22"/>
          <w:szCs w:val="22"/>
        </w:rPr>
      </w:pPr>
    </w:p>
    <w:p w14:paraId="5A0588D5">
      <w:pPr>
        <w:pStyle w:val="33"/>
        <w:numPr>
          <w:ilvl w:val="0"/>
          <w:numId w:val="16"/>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FORO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w:t>
      </w:r>
      <w:r>
        <w:rPr>
          <w:rStyle w:val="62"/>
          <w:sz w:val="22"/>
          <w:szCs w:val="22"/>
        </w:rPr>
        <w:fldChar w:fldCharType="end"/>
      </w:r>
      <w:r>
        <w:rPr>
          <w:rStyle w:val="62"/>
          <w:sz w:val="22"/>
          <w:szCs w:val="22"/>
        </w:rPr>
        <w:t>, da Lei Federal nº 14.133, de 2021</w:t>
      </w:r>
      <w:r>
        <w:rPr>
          <w:sz w:val="22"/>
          <w:szCs w:val="22"/>
        </w:rPr>
        <w:t>)</w:t>
      </w:r>
    </w:p>
    <w:p w14:paraId="727D3A84">
      <w:pPr>
        <w:pStyle w:val="33"/>
        <w:numPr>
          <w:ilvl w:val="1"/>
          <w:numId w:val="16"/>
        </w:numPr>
        <w:tabs>
          <w:tab w:val="left" w:pos="993"/>
        </w:tabs>
        <w:spacing w:before="0" w:beforeAutospacing="0" w:after="120" w:afterAutospacing="0"/>
        <w:ind w:left="0" w:firstLine="567"/>
        <w:jc w:val="both"/>
        <w:rPr>
          <w:sz w:val="22"/>
          <w:szCs w:val="22"/>
        </w:rPr>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 da Lei Federal nº 14.133, de 2021.</w:t>
      </w:r>
      <w:r>
        <w:rPr>
          <w:rStyle w:val="62"/>
          <w:sz w:val="22"/>
          <w:szCs w:val="22"/>
        </w:rPr>
        <w:fldChar w:fldCharType="end"/>
      </w:r>
    </w:p>
    <w:p w14:paraId="10CB99E8">
      <w:pPr>
        <w:pStyle w:val="33"/>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613038B2">
      <w:pPr>
        <w:pStyle w:val="33"/>
        <w:tabs>
          <w:tab w:val="left" w:pos="993"/>
        </w:tabs>
        <w:spacing w:before="120" w:beforeAutospacing="0" w:after="120" w:afterAutospacing="0"/>
        <w:ind w:firstLine="567"/>
        <w:jc w:val="right"/>
        <w:rPr>
          <w:sz w:val="22"/>
          <w:szCs w:val="22"/>
        </w:rPr>
      </w:pPr>
    </w:p>
    <w:p w14:paraId="3CC036CB">
      <w:pPr>
        <w:pStyle w:val="33"/>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190591BE">
      <w:pPr>
        <w:pStyle w:val="33"/>
        <w:tabs>
          <w:tab w:val="left" w:pos="993"/>
        </w:tabs>
        <w:spacing w:before="120" w:beforeAutospacing="0" w:after="120" w:afterAutospacing="0"/>
        <w:jc w:val="right"/>
        <w:rPr>
          <w:rFonts w:ascii="Times New Roman" w:hAnsi="Times New Roman"/>
          <w:sz w:val="22"/>
          <w:szCs w:val="22"/>
        </w:rPr>
      </w:pPr>
    </w:p>
    <w:p w14:paraId="349C928C">
      <w:pPr>
        <w:pStyle w:val="33"/>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8F8681C">
      <w:pPr>
        <w:pStyle w:val="33"/>
        <w:tabs>
          <w:tab w:val="left" w:pos="993"/>
        </w:tabs>
        <w:spacing w:before="120" w:beforeAutospacing="0" w:after="120" w:afterAutospacing="0"/>
        <w:jc w:val="both"/>
        <w:rPr>
          <w:sz w:val="22"/>
          <w:szCs w:val="22"/>
          <w:highlight w:val="none"/>
        </w:rPr>
      </w:pPr>
    </w:p>
    <w:p w14:paraId="433AC8F3">
      <w:pPr>
        <w:pStyle w:val="33"/>
        <w:tabs>
          <w:tab w:val="left" w:pos="993"/>
        </w:tabs>
        <w:spacing w:before="120" w:beforeAutospacing="0" w:after="120" w:afterAutospacing="0"/>
        <w:jc w:val="both"/>
        <w:rPr>
          <w:rFonts w:ascii="Times New Roman" w:hAnsi="Times New Roman"/>
          <w:sz w:val="22"/>
          <w:szCs w:val="22"/>
          <w:highlight w:val="none"/>
        </w:rPr>
      </w:pPr>
    </w:p>
    <w:tbl>
      <w:tblPr>
        <w:tblStyle w:val="4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2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4281DF51">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39D65A7F">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EB9BB80">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4D0B36E6">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44387A36">
      <w:pPr>
        <w:pStyle w:val="33"/>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40001" w:csb1="00000000"/>
  </w:font>
  <w:font w:name="Garamond">
    <w:altName w:val="Microsoft YaHei"/>
    <w:panose1 w:val="00000000000000000000"/>
    <w:charset w:val="00"/>
    <w:family w:val="roman"/>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C264">
    <w:pPr>
      <w:pStyle w:val="5"/>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E86F8D0">
    <w:pPr>
      <w:pStyle w:val="5"/>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2"/>
        <w:rFonts w:ascii="Times New Roman" w:hAnsi="Times New Roman" w:cs="Arial"/>
        <w:sz w:val="20"/>
        <w:szCs w:val="20"/>
      </w:rPr>
      <w:t>https://www.primaveradoleste.mt.leg.br/</w:t>
    </w:r>
    <w:r>
      <w:rPr>
        <w:rStyle w:val="62"/>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DCB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6E775E9">
      <w:pPr>
        <w:pStyle w:val="46"/>
      </w:pPr>
      <w:r>
        <w:rPr>
          <w:rStyle w:val="52"/>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3CA7">
    <w:pPr>
      <w:pStyle w:val="38"/>
      <w:jc w:val="center"/>
      <w:rPr>
        <w:rFonts w:eastAsia="Liberation Serif"/>
        <w:sz w:val="18"/>
        <w:szCs w:val="18"/>
        <w:lang w:eastAsia="hi-IN"/>
      </w:rPr>
    </w:pP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B0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65A0F847">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4B03BF53">
          <w:pPr>
            <w:pStyle w:val="38"/>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2EDC9BEB">
          <w:pPr>
            <w:pStyle w:val="38"/>
            <w:spacing w:after="60"/>
            <w:rPr>
              <w:rFonts w:ascii="Arial" w:hAnsi="Arial" w:cs="Arial"/>
              <w:b/>
              <w:bCs/>
              <w:sz w:val="24"/>
              <w:szCs w:val="24"/>
            </w:rPr>
          </w:pPr>
          <w:r>
            <w:rPr>
              <w:rFonts w:ascii="Arial" w:hAnsi="Arial" w:cs="Arial"/>
              <w:b/>
              <w:bCs/>
              <w:sz w:val="24"/>
              <w:szCs w:val="24"/>
            </w:rPr>
            <w:t>CÂMARA MUNICIPAL DE PRIMAVERA DO LESTE</w:t>
          </w:r>
        </w:p>
        <w:p w14:paraId="48C61E7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49D0974E">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73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110E7E0">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2B85B707">
          <w:pPr>
            <w:pStyle w:val="38"/>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576C51E">
          <w:pPr>
            <w:pStyle w:val="38"/>
            <w:spacing w:after="60"/>
            <w:rPr>
              <w:rFonts w:ascii="Arial" w:hAnsi="Arial" w:cs="Arial"/>
              <w:b/>
              <w:bCs/>
              <w:sz w:val="24"/>
              <w:szCs w:val="24"/>
            </w:rPr>
          </w:pPr>
          <w:r>
            <w:rPr>
              <w:rFonts w:ascii="Arial" w:hAnsi="Arial" w:cs="Arial"/>
              <w:b/>
              <w:bCs/>
              <w:sz w:val="24"/>
              <w:szCs w:val="24"/>
            </w:rPr>
            <w:t>CÂMARA MUNICIPAL DE PRIMAVERA DO LESTE</w:t>
          </w:r>
        </w:p>
        <w:p w14:paraId="3A291411">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E02CC5B">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7"/>
      <w:lvlText w:val=""/>
      <w:lvlJc w:val="left"/>
      <w:pPr>
        <w:tabs>
          <w:tab w:val="left" w:pos="720"/>
        </w:tabs>
        <w:ind w:left="720" w:hanging="360"/>
      </w:pPr>
      <w:rPr>
        <w:rFonts w:hint="default" w:ascii="Symbol" w:hAnsi="Symbol" w:cs="Symbol"/>
        <w:sz w:val="20"/>
      </w:rPr>
    </w:lvl>
    <w:lvl w:ilvl="1" w:tentative="0">
      <w:start w:val="1"/>
      <w:numFmt w:val="bullet"/>
      <w:pStyle w:val="75"/>
      <w:lvlText w:val=""/>
      <w:lvlJc w:val="left"/>
      <w:pPr>
        <w:tabs>
          <w:tab w:val="left" w:pos="1440"/>
        </w:tabs>
        <w:ind w:left="1440" w:hanging="360"/>
      </w:pPr>
      <w:rPr>
        <w:rFonts w:hint="default" w:ascii="Symbol" w:hAnsi="Symbol" w:cs="Symbol"/>
        <w:sz w:val="20"/>
      </w:rPr>
    </w:lvl>
    <w:lvl w:ilvl="2" w:tentative="0">
      <w:start w:val="1"/>
      <w:numFmt w:val="bullet"/>
      <w:pStyle w:val="83"/>
      <w:lvlText w:val=""/>
      <w:lvlJc w:val="left"/>
      <w:pPr>
        <w:tabs>
          <w:tab w:val="left" w:pos="2160"/>
        </w:tabs>
        <w:ind w:left="2160" w:hanging="360"/>
      </w:pPr>
      <w:rPr>
        <w:rFonts w:hint="default" w:ascii="Symbol" w:hAnsi="Symbol" w:cs="Symbol"/>
        <w:sz w:val="20"/>
      </w:rPr>
    </w:lvl>
    <w:lvl w:ilvl="3" w:tentative="0">
      <w:start w:val="1"/>
      <w:numFmt w:val="bullet"/>
      <w:pStyle w:val="128"/>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2"/>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b/>
        <w:bCs/>
        <w:color w:val="auto"/>
      </w:rPr>
    </w:lvl>
    <w:lvl w:ilvl="3" w:tentative="0">
      <w:start w:val="1"/>
      <w:numFmt w:val="lowerRoman"/>
      <w:lvlText w:val="%4."/>
      <w:lvlJc w:val="right"/>
      <w:pPr>
        <w:ind w:left="1440" w:hanging="360"/>
      </w:pPr>
      <w:rPr>
        <w:rFonts w:hint="default"/>
        <w:b/>
        <w:bCs/>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40584CBE"/>
    <w:multiLevelType w:val="singleLevel"/>
    <w:tmpl w:val="40584CBE"/>
    <w:lvl w:ilvl="0" w:tentative="0">
      <w:start w:val="19"/>
      <w:numFmt w:val="decimal"/>
      <w:suff w:val="space"/>
      <w:lvlText w:val="%1."/>
      <w:lvlJc w:val="left"/>
    </w:lvl>
  </w:abstractNum>
  <w:abstractNum w:abstractNumId="13">
    <w:nsid w:val="59ADCABA"/>
    <w:multiLevelType w:val="multilevel"/>
    <w:tmpl w:val="59ADCABA"/>
    <w:lvl w:ilvl="0" w:tentative="0">
      <w:start w:val="1"/>
      <w:numFmt w:val="decimal"/>
      <w:pStyle w:val="105"/>
      <w:lvlText w:val="%1."/>
      <w:lvlJc w:val="left"/>
      <w:pPr>
        <w:tabs>
          <w:tab w:val="left" w:pos="0"/>
        </w:tabs>
        <w:ind w:left="360" w:hanging="360"/>
      </w:pPr>
      <w:rPr>
        <w:b/>
        <w:color w:val="auto"/>
      </w:rPr>
    </w:lvl>
    <w:lvl w:ilvl="1" w:tentative="0">
      <w:start w:val="1"/>
      <w:numFmt w:val="decimal"/>
      <w:pStyle w:val="73"/>
      <w:lvlText w:val="%1.%2."/>
      <w:lvlJc w:val="left"/>
      <w:pPr>
        <w:tabs>
          <w:tab w:val="left" w:pos="0"/>
        </w:tabs>
        <w:ind w:left="1283" w:hanging="432"/>
      </w:pPr>
      <w:rPr>
        <w:sz w:val="20"/>
        <w:szCs w:val="20"/>
      </w:rPr>
    </w:lvl>
    <w:lvl w:ilvl="2" w:tentative="0">
      <w:start w:val="1"/>
      <w:numFmt w:val="decimal"/>
      <w:pStyle w:val="79"/>
      <w:lvlText w:val="%1.%2.%3."/>
      <w:lvlJc w:val="left"/>
      <w:pPr>
        <w:tabs>
          <w:tab w:val="left" w:pos="0"/>
        </w:tabs>
        <w:ind w:left="1497" w:hanging="504"/>
      </w:pPr>
    </w:lvl>
    <w:lvl w:ilvl="3" w:tentative="0">
      <w:start w:val="1"/>
      <w:numFmt w:val="decimal"/>
      <w:pStyle w:val="85"/>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rFonts w:hint="default"/>
        <w:b/>
        <w:bCs/>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3"/>
  </w:num>
  <w:num w:numId="5">
    <w:abstractNumId w:val="2"/>
  </w:num>
  <w:num w:numId="6">
    <w:abstractNumId w:val="1"/>
  </w:num>
  <w:num w:numId="7">
    <w:abstractNumId w:val="8"/>
  </w:num>
  <w:num w:numId="8">
    <w:abstractNumId w:val="11"/>
  </w:num>
  <w:num w:numId="9">
    <w:abstractNumId w:val="15"/>
  </w:num>
  <w:num w:numId="10">
    <w:abstractNumId w:val="9"/>
  </w:num>
  <w:num w:numId="11">
    <w:abstractNumId w:val="7"/>
  </w:num>
  <w:num w:numId="12">
    <w:abstractNumId w:val="0"/>
  </w:num>
  <w:num w:numId="13">
    <w:abstractNumId w:val="5"/>
  </w:num>
  <w:num w:numId="14">
    <w:abstractNumId w:val="12"/>
  </w:num>
  <w:num w:numId="15">
    <w:abstractNumId w:val="10"/>
  </w:num>
  <w:num w:numId="16">
    <w:abstractNumId w:val="14"/>
  </w:num>
  <w:num w:numId="17">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993F99"/>
    <w:rsid w:val="04EA5D2B"/>
    <w:rsid w:val="059A4166"/>
    <w:rsid w:val="07D2646A"/>
    <w:rsid w:val="089A7D2C"/>
    <w:rsid w:val="0BBB664F"/>
    <w:rsid w:val="0E8D3EEF"/>
    <w:rsid w:val="0EEE4CA6"/>
    <w:rsid w:val="13493EDA"/>
    <w:rsid w:val="14457D92"/>
    <w:rsid w:val="14BA590D"/>
    <w:rsid w:val="19B609D5"/>
    <w:rsid w:val="1E7E2B74"/>
    <w:rsid w:val="1E9D2342"/>
    <w:rsid w:val="214C3BAE"/>
    <w:rsid w:val="22FE2E7E"/>
    <w:rsid w:val="271F167F"/>
    <w:rsid w:val="28806BFD"/>
    <w:rsid w:val="2A136595"/>
    <w:rsid w:val="2A576E58"/>
    <w:rsid w:val="2AE423E9"/>
    <w:rsid w:val="2B1561D2"/>
    <w:rsid w:val="2B7A2A8C"/>
    <w:rsid w:val="2CF00542"/>
    <w:rsid w:val="309645C5"/>
    <w:rsid w:val="327E09A5"/>
    <w:rsid w:val="36EC3045"/>
    <w:rsid w:val="36F67098"/>
    <w:rsid w:val="37AC75E6"/>
    <w:rsid w:val="38036639"/>
    <w:rsid w:val="39B72698"/>
    <w:rsid w:val="3B0C3693"/>
    <w:rsid w:val="3D943C43"/>
    <w:rsid w:val="40751C4D"/>
    <w:rsid w:val="41FA0BA4"/>
    <w:rsid w:val="44734A5C"/>
    <w:rsid w:val="45F763D3"/>
    <w:rsid w:val="465A48FC"/>
    <w:rsid w:val="467459A6"/>
    <w:rsid w:val="476B4739"/>
    <w:rsid w:val="4ED129DC"/>
    <w:rsid w:val="4ED85BEA"/>
    <w:rsid w:val="4FFD53F6"/>
    <w:rsid w:val="50D96AD7"/>
    <w:rsid w:val="519043EC"/>
    <w:rsid w:val="54D87DBE"/>
    <w:rsid w:val="55D01AD9"/>
    <w:rsid w:val="565B2D69"/>
    <w:rsid w:val="59AD702D"/>
    <w:rsid w:val="59D416FF"/>
    <w:rsid w:val="5BF736EF"/>
    <w:rsid w:val="5CC60733"/>
    <w:rsid w:val="60125AAD"/>
    <w:rsid w:val="62295DFA"/>
    <w:rsid w:val="62DB4C3B"/>
    <w:rsid w:val="634B6020"/>
    <w:rsid w:val="6620029B"/>
    <w:rsid w:val="68795BEB"/>
    <w:rsid w:val="68892034"/>
    <w:rsid w:val="68912E48"/>
    <w:rsid w:val="689D24D4"/>
    <w:rsid w:val="68DD1419"/>
    <w:rsid w:val="6CF66B29"/>
    <w:rsid w:val="6DC36570"/>
    <w:rsid w:val="6E2B04CE"/>
    <w:rsid w:val="71D17224"/>
    <w:rsid w:val="72CD12E4"/>
    <w:rsid w:val="73997C01"/>
    <w:rsid w:val="75D22C7C"/>
    <w:rsid w:val="77DE529E"/>
    <w:rsid w:val="77E86AC9"/>
    <w:rsid w:val="7857017F"/>
    <w:rsid w:val="78E82F33"/>
    <w:rsid w:val="7AF57124"/>
    <w:rsid w:val="7C9064ED"/>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3">
    <w:name w:val="heading 2"/>
    <w:basedOn w:val="4"/>
    <w:next w:val="5"/>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5"/>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4"/>
    <w:next w:val="5"/>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Heading"/>
    <w:basedOn w:val="1"/>
    <w:next w:val="5"/>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paragraph" w:styleId="5">
    <w:name w:val="Body Text"/>
    <w:basedOn w:val="1"/>
    <w:link w:val="89"/>
    <w:semiHidden/>
    <w:unhideWhenUsed/>
    <w:qFormat/>
    <w:uiPriority w:val="99"/>
    <w:pPr>
      <w:spacing w:before="0" w:after="120"/>
    </w:p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customStyle="1" w:styleId="19">
    <w:name w:val="Default Paragraph Font"/>
    <w:autoRedefine/>
    <w:qFormat/>
    <w:uiPriority w:val="6"/>
    <w:rPr>
      <w:rFonts w:ascii="Times New Roman" w:hAnsi="Times New Roman" w:eastAsia="Times New Roman" w:cs="Times New Roman"/>
    </w:rPr>
  </w:style>
  <w:style w:type="character" w:styleId="20">
    <w:name w:val="Emphasis"/>
    <w:qFormat/>
    <w:uiPriority w:val="20"/>
    <w:rPr>
      <w:rFonts w:cs="Times New Roman"/>
      <w:i/>
      <w:iCs/>
    </w:rPr>
  </w:style>
  <w:style w:type="character" w:styleId="21">
    <w:name w:val="footnote reference"/>
    <w:semiHidden/>
    <w:unhideWhenUsed/>
    <w:qFormat/>
    <w:uiPriority w:val="99"/>
    <w:rPr>
      <w:vertAlign w:val="superscript"/>
    </w:rPr>
  </w:style>
  <w:style w:type="character" w:styleId="22">
    <w:name w:val="Hyperlink"/>
    <w:basedOn w:val="19"/>
    <w:semiHidden/>
    <w:unhideWhenUsed/>
    <w:qFormat/>
    <w:uiPriority w:val="99"/>
    <w:rPr>
      <w:color w:val="000080"/>
      <w:u w:val="single"/>
    </w:rPr>
  </w:style>
  <w:style w:type="paragraph" w:styleId="23">
    <w:name w:val="toc 2"/>
    <w:basedOn w:val="24"/>
    <w:semiHidden/>
    <w:unhideWhenUsed/>
    <w:qFormat/>
    <w:uiPriority w:val="39"/>
  </w:style>
  <w:style w:type="paragraph" w:customStyle="1" w:styleId="24">
    <w:name w:val="Índice"/>
    <w:basedOn w:val="1"/>
    <w:qFormat/>
    <w:uiPriority w:val="0"/>
    <w:pPr>
      <w:suppressLineNumbers/>
    </w:pPr>
    <w:rPr>
      <w:rFonts w:cs="Arial"/>
    </w:rPr>
  </w:style>
  <w:style w:type="paragraph" w:styleId="25">
    <w:name w:val="List"/>
    <w:basedOn w:val="5"/>
    <w:semiHidden/>
    <w:unhideWhenUsed/>
    <w:qFormat/>
    <w:uiPriority w:val="99"/>
    <w:rPr>
      <w:rFonts w:cs="Arial"/>
    </w:rPr>
  </w:style>
  <w:style w:type="paragraph" w:styleId="26">
    <w:name w:val="toc 9"/>
    <w:basedOn w:val="24"/>
    <w:semiHidden/>
    <w:unhideWhenUsed/>
    <w:qFormat/>
    <w:uiPriority w:val="39"/>
  </w:style>
  <w:style w:type="paragraph" w:styleId="27">
    <w:name w:val="toc 6"/>
    <w:basedOn w:val="24"/>
    <w:semiHidden/>
    <w:unhideWhenUsed/>
    <w:qFormat/>
    <w:uiPriority w:val="39"/>
  </w:style>
  <w:style w:type="paragraph" w:styleId="28">
    <w:name w:val="annotation text"/>
    <w:basedOn w:val="1"/>
    <w:link w:val="57"/>
    <w:unhideWhenUsed/>
    <w:qFormat/>
    <w:uiPriority w:val="99"/>
    <w:pPr>
      <w:spacing w:line="240" w:lineRule="auto"/>
    </w:pPr>
    <w:rPr>
      <w:sz w:val="20"/>
      <w:szCs w:val="20"/>
    </w:rPr>
  </w:style>
  <w:style w:type="paragraph" w:styleId="29">
    <w:name w:val="toc 5"/>
    <w:basedOn w:val="24"/>
    <w:semiHidden/>
    <w:unhideWhenUsed/>
    <w:qFormat/>
    <w:uiPriority w:val="39"/>
  </w:style>
  <w:style w:type="paragraph" w:styleId="30">
    <w:name w:val="Body Text Indent 2"/>
    <w:basedOn w:val="1"/>
    <w:link w:val="88"/>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1">
    <w:name w:val="Title"/>
    <w:basedOn w:val="1"/>
    <w:next w:val="5"/>
    <w:link w:val="103"/>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2">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3">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4">
    <w:name w:val="toc 4"/>
    <w:basedOn w:val="24"/>
    <w:semiHidden/>
    <w:unhideWhenUsed/>
    <w:qFormat/>
    <w:uiPriority w:val="39"/>
  </w:style>
  <w:style w:type="paragraph" w:styleId="35">
    <w:name w:val="toc 8"/>
    <w:basedOn w:val="24"/>
    <w:semiHidden/>
    <w:unhideWhenUsed/>
    <w:qFormat/>
    <w:uiPriority w:val="39"/>
  </w:style>
  <w:style w:type="paragraph" w:styleId="36">
    <w:name w:val="index heading"/>
    <w:basedOn w:val="37"/>
    <w:semiHidden/>
    <w:unhideWhenUsed/>
    <w:qFormat/>
    <w:uiPriority w:val="99"/>
  </w:style>
  <w:style w:type="paragraph" w:customStyle="1" w:styleId="37">
    <w:name w:val="Título12"/>
    <w:basedOn w:val="1"/>
    <w:next w:val="5"/>
    <w:qFormat/>
    <w:uiPriority w:val="0"/>
    <w:pPr>
      <w:keepNext/>
      <w:spacing w:before="240" w:after="120"/>
    </w:pPr>
    <w:rPr>
      <w:rFonts w:ascii="Liberation Sans" w:hAnsi="Liberation Sans" w:eastAsia="Microsoft YaHei" w:cs="Arial"/>
      <w:sz w:val="28"/>
      <w:szCs w:val="28"/>
    </w:rPr>
  </w:style>
  <w:style w:type="paragraph" w:styleId="38">
    <w:name w:val="header"/>
    <w:basedOn w:val="1"/>
    <w:link w:val="60"/>
    <w:semiHidden/>
    <w:unhideWhenUsed/>
    <w:qFormat/>
    <w:uiPriority w:val="0"/>
    <w:pPr>
      <w:tabs>
        <w:tab w:val="center" w:pos="4252"/>
        <w:tab w:val="right" w:pos="8504"/>
      </w:tabs>
      <w:spacing w:before="0" w:after="0" w:line="240" w:lineRule="auto"/>
    </w:pPr>
  </w:style>
  <w:style w:type="paragraph" w:styleId="39">
    <w:name w:val="annotation subject"/>
    <w:basedOn w:val="28"/>
    <w:next w:val="28"/>
    <w:link w:val="58"/>
    <w:semiHidden/>
    <w:unhideWhenUsed/>
    <w:qFormat/>
    <w:uiPriority w:val="99"/>
    <w:rPr>
      <w:b/>
      <w:bCs/>
    </w:rPr>
  </w:style>
  <w:style w:type="paragraph" w:styleId="40">
    <w:name w:val="footer"/>
    <w:basedOn w:val="1"/>
    <w:link w:val="61"/>
    <w:semiHidden/>
    <w:unhideWhenUsed/>
    <w:qFormat/>
    <w:uiPriority w:val="99"/>
    <w:pPr>
      <w:tabs>
        <w:tab w:val="center" w:pos="4252"/>
        <w:tab w:val="right" w:pos="8504"/>
      </w:tabs>
      <w:spacing w:before="0" w:after="0" w:line="240" w:lineRule="auto"/>
    </w:pPr>
  </w:style>
  <w:style w:type="paragraph" w:styleId="41">
    <w:name w:val="caption"/>
    <w:basedOn w:val="1"/>
    <w:semiHidden/>
    <w:unhideWhenUsed/>
    <w:qFormat/>
    <w:uiPriority w:val="35"/>
    <w:pPr>
      <w:suppressLineNumbers/>
      <w:spacing w:before="120" w:after="120"/>
    </w:pPr>
    <w:rPr>
      <w:rFonts w:cs="Arial"/>
      <w:i/>
      <w:iCs/>
      <w:sz w:val="24"/>
      <w:szCs w:val="24"/>
    </w:rPr>
  </w:style>
  <w:style w:type="paragraph" w:styleId="42">
    <w:name w:val="toc 7"/>
    <w:basedOn w:val="24"/>
    <w:semiHidden/>
    <w:unhideWhenUsed/>
    <w:qFormat/>
    <w:uiPriority w:val="39"/>
  </w:style>
  <w:style w:type="paragraph" w:styleId="43">
    <w:name w:val="toc 3"/>
    <w:basedOn w:val="24"/>
    <w:semiHidden/>
    <w:unhideWhenUsed/>
    <w:qFormat/>
    <w:uiPriority w:val="39"/>
  </w:style>
  <w:style w:type="paragraph" w:styleId="44">
    <w:name w:val="Balloon Text"/>
    <w:basedOn w:val="1"/>
    <w:link w:val="59"/>
    <w:semiHidden/>
    <w:unhideWhenUsed/>
    <w:qFormat/>
    <w:uiPriority w:val="99"/>
    <w:pPr>
      <w:spacing w:before="0" w:after="0" w:line="240" w:lineRule="auto"/>
    </w:pPr>
    <w:rPr>
      <w:rFonts w:ascii="Tahoma" w:hAnsi="Tahoma" w:cs="Tahoma"/>
      <w:sz w:val="16"/>
      <w:szCs w:val="16"/>
    </w:rPr>
  </w:style>
  <w:style w:type="paragraph" w:styleId="45">
    <w:name w:val="Subtitle"/>
    <w:basedOn w:val="1"/>
    <w:next w:val="1"/>
    <w:link w:val="225"/>
    <w:qFormat/>
    <w:uiPriority w:val="11"/>
    <w:pPr>
      <w:suppressAutoHyphens/>
      <w:jc w:val="center"/>
    </w:pPr>
    <w:rPr>
      <w:i/>
      <w:iCs/>
    </w:rPr>
  </w:style>
  <w:style w:type="paragraph" w:styleId="46">
    <w:name w:val="footnote text"/>
    <w:basedOn w:val="1"/>
    <w:link w:val="64"/>
    <w:semiHidden/>
    <w:unhideWhenUsed/>
    <w:qFormat/>
    <w:uiPriority w:val="99"/>
    <w:pPr>
      <w:spacing w:before="0" w:after="0" w:line="240" w:lineRule="auto"/>
    </w:pPr>
    <w:rPr>
      <w:sz w:val="20"/>
      <w:szCs w:val="20"/>
    </w:rPr>
  </w:style>
  <w:style w:type="paragraph" w:styleId="47">
    <w:name w:val="toc 1"/>
    <w:basedOn w:val="1"/>
    <w:next w:val="1"/>
    <w:semiHidden/>
    <w:unhideWhenUsed/>
    <w:qFormat/>
    <w:uiPriority w:val="39"/>
    <w:pPr>
      <w:spacing w:before="0" w:after="100"/>
    </w:pPr>
  </w:style>
  <w:style w:type="table" w:styleId="48">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Fonte parág. padrão1"/>
    <w:qFormat/>
    <w:uiPriority w:val="0"/>
  </w:style>
  <w:style w:type="paragraph" w:customStyle="1" w:styleId="50">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1">
    <w:name w:val="Caracteres de nota de fim"/>
    <w:qFormat/>
    <w:uiPriority w:val="0"/>
    <w:rPr>
      <w:vertAlign w:val="superscript"/>
    </w:rPr>
  </w:style>
  <w:style w:type="character" w:customStyle="1" w:styleId="52">
    <w:name w:val="Caracteres de nota de rodapé"/>
    <w:semiHidden/>
    <w:unhideWhenUsed/>
    <w:qFormat/>
    <w:uiPriority w:val="99"/>
    <w:rPr>
      <w:vertAlign w:val="superscript"/>
    </w:rPr>
  </w:style>
  <w:style w:type="character" w:customStyle="1" w:styleId="53">
    <w:name w:val="normaltextrun"/>
    <w:basedOn w:val="13"/>
    <w:qFormat/>
    <w:uiPriority w:val="0"/>
  </w:style>
  <w:style w:type="character" w:customStyle="1" w:styleId="54">
    <w:name w:val="scxw155697705"/>
    <w:basedOn w:val="13"/>
    <w:qFormat/>
    <w:uiPriority w:val="0"/>
  </w:style>
  <w:style w:type="character" w:customStyle="1" w:styleId="55">
    <w:name w:val="eop"/>
    <w:basedOn w:val="13"/>
    <w:qFormat/>
    <w:uiPriority w:val="0"/>
  </w:style>
  <w:style w:type="character" w:customStyle="1" w:styleId="56">
    <w:name w:val="tabchar"/>
    <w:basedOn w:val="13"/>
    <w:qFormat/>
    <w:uiPriority w:val="0"/>
  </w:style>
  <w:style w:type="character" w:customStyle="1" w:styleId="57">
    <w:name w:val="Texto de comentário Char"/>
    <w:basedOn w:val="13"/>
    <w:link w:val="28"/>
    <w:qFormat/>
    <w:uiPriority w:val="99"/>
    <w:rPr>
      <w:sz w:val="20"/>
      <w:szCs w:val="20"/>
    </w:rPr>
  </w:style>
  <w:style w:type="character" w:customStyle="1" w:styleId="58">
    <w:name w:val="Assunto do comentário Char"/>
    <w:basedOn w:val="57"/>
    <w:link w:val="39"/>
    <w:semiHidden/>
    <w:qFormat/>
    <w:uiPriority w:val="99"/>
    <w:rPr>
      <w:b/>
      <w:bCs/>
      <w:sz w:val="20"/>
      <w:szCs w:val="20"/>
    </w:rPr>
  </w:style>
  <w:style w:type="character" w:customStyle="1" w:styleId="59">
    <w:name w:val="Texto de balão Char"/>
    <w:basedOn w:val="13"/>
    <w:link w:val="44"/>
    <w:qFormat/>
    <w:uiPriority w:val="99"/>
    <w:rPr>
      <w:rFonts w:ascii="Tahoma" w:hAnsi="Tahoma" w:cs="Tahoma"/>
      <w:sz w:val="16"/>
      <w:szCs w:val="16"/>
    </w:rPr>
  </w:style>
  <w:style w:type="character" w:customStyle="1" w:styleId="60">
    <w:name w:val="Cabeçalho Char"/>
    <w:basedOn w:val="13"/>
    <w:link w:val="38"/>
    <w:qFormat/>
    <w:uiPriority w:val="99"/>
  </w:style>
  <w:style w:type="character" w:customStyle="1" w:styleId="61">
    <w:name w:val="Rodapé Char"/>
    <w:basedOn w:val="13"/>
    <w:link w:val="40"/>
    <w:qFormat/>
    <w:uiPriority w:val="99"/>
  </w:style>
  <w:style w:type="character" w:customStyle="1" w:styleId="62">
    <w:name w:val="Hyperlink1"/>
    <w:basedOn w:val="13"/>
    <w:unhideWhenUsed/>
    <w:qFormat/>
    <w:uiPriority w:val="99"/>
    <w:rPr>
      <w:color w:val="0000FF" w:themeColor="hyperlink"/>
      <w:u w:val="single"/>
      <w14:textFill>
        <w14:solidFill>
          <w14:schemeClr w14:val="hlink"/>
        </w14:solidFill>
      </w14:textFill>
    </w:rPr>
  </w:style>
  <w:style w:type="character" w:customStyle="1" w:styleId="63">
    <w:name w:val="Unresolved Mention"/>
    <w:basedOn w:val="13"/>
    <w:semiHidden/>
    <w:unhideWhenUsed/>
    <w:qFormat/>
    <w:uiPriority w:val="99"/>
    <w:rPr>
      <w:color w:val="605E5C"/>
      <w:shd w:val="clear" w:fill="E1DFDD"/>
    </w:rPr>
  </w:style>
  <w:style w:type="character" w:customStyle="1" w:styleId="64">
    <w:name w:val="Texto de nota de rodapé Char"/>
    <w:basedOn w:val="13"/>
    <w:link w:val="46"/>
    <w:semiHidden/>
    <w:qFormat/>
    <w:uiPriority w:val="99"/>
    <w:rPr>
      <w:sz w:val="20"/>
      <w:szCs w:val="20"/>
    </w:rPr>
  </w:style>
  <w:style w:type="character" w:customStyle="1" w:styleId="65">
    <w:name w:val="Título 2 Char"/>
    <w:basedOn w:val="13"/>
    <w:qFormat/>
    <w:uiPriority w:val="0"/>
    <w:rPr>
      <w:rFonts w:ascii="Times New Roman" w:hAnsi="Times New Roman" w:eastAsia="Times New Roman" w:cs="Times New Roman"/>
      <w:b/>
      <w:bCs/>
      <w:sz w:val="36"/>
      <w:szCs w:val="36"/>
      <w:lang w:eastAsia="pt-BR"/>
    </w:rPr>
  </w:style>
  <w:style w:type="character" w:customStyle="1" w:styleId="66">
    <w:name w:val="producttitle"/>
    <w:basedOn w:val="13"/>
    <w:qFormat/>
    <w:uiPriority w:val="0"/>
  </w:style>
  <w:style w:type="character" w:customStyle="1" w:styleId="67">
    <w:name w:val="Parágrafo da Lista Char"/>
    <w:link w:val="68"/>
    <w:qFormat/>
    <w:locked/>
    <w:uiPriority w:val="34"/>
  </w:style>
  <w:style w:type="paragraph" w:styleId="68">
    <w:name w:val="List Paragraph"/>
    <w:basedOn w:val="1"/>
    <w:link w:val="67"/>
    <w:qFormat/>
    <w:uiPriority w:val="34"/>
    <w:pPr>
      <w:spacing w:before="0" w:after="200"/>
      <w:ind w:left="720"/>
      <w:contextualSpacing/>
    </w:pPr>
  </w:style>
  <w:style w:type="character" w:customStyle="1" w:styleId="69">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70">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1">
    <w:name w:val="apple-converted-space"/>
    <w:qFormat/>
    <w:uiPriority w:val="0"/>
  </w:style>
  <w:style w:type="character" w:customStyle="1" w:styleId="72">
    <w:name w:val="Nivel 2 Char"/>
    <w:basedOn w:val="13"/>
    <w:link w:val="73"/>
    <w:qFormat/>
    <w:locked/>
    <w:uiPriority w:val="0"/>
    <w:rPr>
      <w:rFonts w:ascii="Arial" w:hAnsi="Arial" w:eastAsia="Times New Roman" w:cs="Arial"/>
      <w:sz w:val="20"/>
      <w:szCs w:val="20"/>
      <w:lang w:eastAsia="pt-BR"/>
    </w:rPr>
  </w:style>
  <w:style w:type="paragraph" w:customStyle="1" w:styleId="73">
    <w:name w:val="Nivel 2"/>
    <w:basedOn w:val="1"/>
    <w:link w:val="72"/>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4">
    <w:name w:val="Nível 2 -Red Char"/>
    <w:basedOn w:val="72"/>
    <w:link w:val="75"/>
    <w:qFormat/>
    <w:uiPriority w:val="0"/>
    <w:rPr>
      <w:rFonts w:ascii="Arial" w:hAnsi="Arial" w:eastAsia="Times New Roman" w:cs="Arial"/>
      <w:i/>
      <w:iCs/>
      <w:color w:val="FF0000"/>
      <w:sz w:val="20"/>
      <w:szCs w:val="20"/>
      <w:lang w:eastAsia="pt-BR"/>
    </w:rPr>
  </w:style>
  <w:style w:type="paragraph" w:customStyle="1" w:styleId="75">
    <w:name w:val="Nível 2 -Red"/>
    <w:basedOn w:val="73"/>
    <w:link w:val="74"/>
    <w:qFormat/>
    <w:uiPriority w:val="0"/>
    <w:pPr>
      <w:numPr>
        <w:ilvl w:val="1"/>
        <w:numId w:val="5"/>
      </w:numPr>
      <w:ind w:left="0" w:firstLine="0"/>
    </w:pPr>
    <w:rPr>
      <w:i/>
      <w:iCs/>
      <w:color w:val="FF0000"/>
    </w:rPr>
  </w:style>
  <w:style w:type="character" w:customStyle="1" w:styleId="76">
    <w:name w:val="ou Char"/>
    <w:basedOn w:val="13"/>
    <w:link w:val="77"/>
    <w:qFormat/>
    <w:uiPriority w:val="0"/>
    <w:rPr>
      <w:rFonts w:ascii="Arial" w:hAnsi="Arial" w:cs="Arial"/>
      <w:b/>
      <w:bCs/>
      <w:i/>
      <w:iCs/>
      <w:color w:val="FF0000"/>
      <w:sz w:val="20"/>
      <w:szCs w:val="24"/>
      <w:u w:val="single"/>
      <w:lang w:eastAsia="pt-BR"/>
    </w:rPr>
  </w:style>
  <w:style w:type="paragraph" w:customStyle="1" w:styleId="77">
    <w:name w:val="ou"/>
    <w:basedOn w:val="68"/>
    <w:link w:val="76"/>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8">
    <w:name w:val="Nível 3-R Char"/>
    <w:basedOn w:val="13"/>
    <w:link w:val="79"/>
    <w:qFormat/>
    <w:uiPriority w:val="0"/>
    <w:rPr>
      <w:rFonts w:ascii="Arial" w:hAnsi="Arial" w:cs="Arial" w:eastAsiaTheme="minorEastAsia"/>
      <w:i/>
      <w:iCs/>
      <w:color w:val="FF0000"/>
      <w:sz w:val="20"/>
      <w:szCs w:val="20"/>
      <w:lang w:eastAsia="pt-BR"/>
    </w:rPr>
  </w:style>
  <w:style w:type="paragraph" w:customStyle="1" w:styleId="79">
    <w:name w:val="Nível 3-R"/>
    <w:basedOn w:val="1"/>
    <w:link w:val="78"/>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80">
    <w:name w:val="SubTitNN Char"/>
    <w:basedOn w:val="13"/>
    <w:link w:val="81"/>
    <w:qFormat/>
    <w:uiPriority w:val="0"/>
    <w:rPr>
      <w:rFonts w:ascii="Arial" w:hAnsi="Arial" w:eastAsia="Times New Roman" w:cs="Arial"/>
      <w:b/>
      <w:bCs/>
      <w:iCs/>
      <w:sz w:val="20"/>
      <w:szCs w:val="20"/>
      <w:lang w:eastAsia="pt-BR"/>
    </w:rPr>
  </w:style>
  <w:style w:type="paragraph" w:customStyle="1" w:styleId="81">
    <w:name w:val="SubTitNN"/>
    <w:basedOn w:val="1"/>
    <w:link w:val="80"/>
    <w:qFormat/>
    <w:uiPriority w:val="0"/>
    <w:pPr>
      <w:spacing w:before="240" w:after="120"/>
      <w:jc w:val="both"/>
    </w:pPr>
    <w:rPr>
      <w:rFonts w:ascii="Arial" w:hAnsi="Arial" w:eastAsia="Times New Roman" w:cs="Arial"/>
      <w:b/>
      <w:bCs/>
      <w:iCs/>
      <w:sz w:val="20"/>
      <w:szCs w:val="20"/>
      <w:lang w:eastAsia="pt-BR"/>
    </w:rPr>
  </w:style>
  <w:style w:type="character" w:customStyle="1" w:styleId="82">
    <w:name w:val="Nível 3 Char"/>
    <w:basedOn w:val="78"/>
    <w:link w:val="83"/>
    <w:qFormat/>
    <w:uiPriority w:val="0"/>
    <w:rPr>
      <w:rFonts w:ascii="Arial" w:hAnsi="Arial" w:eastAsia="Times New Roman" w:cs="Arial"/>
      <w:i w:val="0"/>
      <w:iCs w:val="0"/>
      <w:color w:val="FF0000"/>
      <w:sz w:val="20"/>
      <w:szCs w:val="20"/>
      <w:lang w:eastAsia="pt-BR"/>
    </w:rPr>
  </w:style>
  <w:style w:type="paragraph" w:customStyle="1" w:styleId="83">
    <w:name w:val="Nível 3"/>
    <w:basedOn w:val="79"/>
    <w:link w:val="82"/>
    <w:qFormat/>
    <w:uiPriority w:val="0"/>
    <w:pPr>
      <w:numPr>
        <w:ilvl w:val="2"/>
        <w:numId w:val="5"/>
      </w:numPr>
      <w:ind w:left="284" w:firstLine="0"/>
    </w:pPr>
    <w:rPr>
      <w:rFonts w:eastAsia="Times New Roman"/>
      <w:i w:val="0"/>
      <w:iCs w:val="0"/>
    </w:rPr>
  </w:style>
  <w:style w:type="character" w:customStyle="1" w:styleId="84">
    <w:name w:val="Nível 4 Char"/>
    <w:basedOn w:val="82"/>
    <w:link w:val="85"/>
    <w:qFormat/>
    <w:uiPriority w:val="0"/>
    <w:rPr>
      <w:rFonts w:ascii="Arial" w:hAnsi="Arial" w:eastAsia="Times New Roman" w:cs="Arial"/>
      <w:color w:val="FF0000"/>
      <w:sz w:val="20"/>
      <w:szCs w:val="20"/>
      <w:lang w:eastAsia="pt-BR"/>
    </w:rPr>
  </w:style>
  <w:style w:type="paragraph" w:customStyle="1" w:styleId="85">
    <w:name w:val="Nível 4"/>
    <w:basedOn w:val="1"/>
    <w:link w:val="84"/>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6">
    <w:name w:val="markedcontent"/>
    <w:basedOn w:val="13"/>
    <w:qFormat/>
    <w:uiPriority w:val="0"/>
  </w:style>
  <w:style w:type="character" w:customStyle="1" w:styleId="87">
    <w:name w:val="highlight"/>
    <w:basedOn w:val="13"/>
    <w:qFormat/>
    <w:uiPriority w:val="0"/>
  </w:style>
  <w:style w:type="character" w:customStyle="1" w:styleId="88">
    <w:name w:val="Recuo de corpo de texto 2 Char"/>
    <w:basedOn w:val="13"/>
    <w:link w:val="30"/>
    <w:qFormat/>
    <w:uiPriority w:val="0"/>
    <w:rPr>
      <w:rFonts w:ascii="Arial Narrow" w:hAnsi="Arial Narrow" w:eastAsia="Times New Roman" w:cs="Times New Roman"/>
      <w:sz w:val="24"/>
      <w:szCs w:val="20"/>
      <w:lang w:eastAsia="pt-BR"/>
    </w:rPr>
  </w:style>
  <w:style w:type="character" w:customStyle="1" w:styleId="89">
    <w:name w:val="Corpo de texto Char"/>
    <w:basedOn w:val="13"/>
    <w:link w:val="5"/>
    <w:qFormat/>
    <w:uiPriority w:val="99"/>
  </w:style>
  <w:style w:type="character" w:customStyle="1" w:styleId="90">
    <w:name w:val="Nivel 3 Char"/>
    <w:basedOn w:val="13"/>
    <w:link w:val="91"/>
    <w:qFormat/>
    <w:uiPriority w:val="0"/>
    <w:rPr>
      <w:rFonts w:ascii="Arial" w:hAnsi="Arial" w:cs="Arial" w:eastAsiaTheme="minorEastAsia"/>
      <w:color w:val="000000"/>
      <w:sz w:val="20"/>
      <w:szCs w:val="20"/>
      <w:lang w:eastAsia="pt-BR"/>
    </w:rPr>
  </w:style>
  <w:style w:type="paragraph" w:customStyle="1" w:styleId="91">
    <w:name w:val="Nivel 3"/>
    <w:basedOn w:val="1"/>
    <w:link w:val="90"/>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2">
    <w:name w:val="Nivel 4 Char"/>
    <w:basedOn w:val="13"/>
    <w:link w:val="93"/>
    <w:qFormat/>
    <w:uiPriority w:val="0"/>
    <w:rPr>
      <w:rFonts w:ascii="Arial" w:hAnsi="Arial" w:cs="Arial" w:eastAsiaTheme="minorEastAsia"/>
      <w:sz w:val="20"/>
      <w:szCs w:val="20"/>
      <w:lang w:eastAsia="pt-BR"/>
    </w:rPr>
  </w:style>
  <w:style w:type="paragraph" w:customStyle="1" w:styleId="93">
    <w:name w:val="Nivel 4"/>
    <w:basedOn w:val="91"/>
    <w:link w:val="92"/>
    <w:qFormat/>
    <w:uiPriority w:val="0"/>
    <w:pPr>
      <w:ind w:left="567"/>
    </w:pPr>
    <w:rPr>
      <w:color w:val="auto"/>
    </w:rPr>
  </w:style>
  <w:style w:type="character" w:customStyle="1" w:styleId="94">
    <w:name w:val="cf01"/>
    <w:basedOn w:val="13"/>
    <w:qFormat/>
    <w:uiPriority w:val="0"/>
    <w:rPr>
      <w:rFonts w:ascii="Segoe UI" w:hAnsi="Segoe UI" w:cs="Segoe UI"/>
      <w:sz w:val="18"/>
      <w:szCs w:val="18"/>
    </w:rPr>
  </w:style>
  <w:style w:type="character" w:customStyle="1" w:styleId="95">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6">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7">
    <w:name w:val="normal__char1"/>
    <w:qFormat/>
    <w:uiPriority w:val="0"/>
    <w:rPr>
      <w:rFonts w:ascii="Arial" w:hAnsi="Arial" w:cs="Arial"/>
      <w:sz w:val="24"/>
      <w:szCs w:val="24"/>
      <w:u w:val="none"/>
    </w:rPr>
  </w:style>
  <w:style w:type="character" w:customStyle="1" w:styleId="98">
    <w:name w:val="apple-style-span"/>
    <w:basedOn w:val="13"/>
    <w:qFormat/>
    <w:uiPriority w:val="0"/>
  </w:style>
  <w:style w:type="character" w:customStyle="1" w:styleId="99">
    <w:name w:val="Citação Char"/>
    <w:basedOn w:val="13"/>
    <w:link w:val="100"/>
    <w:qFormat/>
    <w:uiPriority w:val="0"/>
    <w:rPr>
      <w:rFonts w:ascii="Arial" w:hAnsi="Arial" w:eastAsia="Calibri" w:cs="Tahoma"/>
      <w:i/>
      <w:iCs/>
      <w:color w:val="000000"/>
      <w:sz w:val="20"/>
      <w:szCs w:val="24"/>
      <w:shd w:val="clear" w:fill="FFFFCC"/>
    </w:rPr>
  </w:style>
  <w:style w:type="paragraph" w:styleId="100">
    <w:name w:val="Quote"/>
    <w:basedOn w:val="1"/>
    <w:next w:val="1"/>
    <w:link w:val="9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1">
    <w:name w:val="Nota explicativa Char"/>
    <w:basedOn w:val="99"/>
    <w:link w:val="102"/>
    <w:qFormat/>
    <w:uiPriority w:val="0"/>
    <w:rPr>
      <w:rFonts w:ascii="Arial" w:hAnsi="Arial" w:eastAsia="Calibri" w:cs="Tahoma"/>
      <w:color w:val="000000"/>
      <w:sz w:val="20"/>
      <w:szCs w:val="20"/>
      <w:shd w:val="clear" w:fill="FFFFCC"/>
    </w:rPr>
  </w:style>
  <w:style w:type="paragraph" w:customStyle="1" w:styleId="102">
    <w:name w:val="Nota explicativa"/>
    <w:basedOn w:val="100"/>
    <w:link w:val="101"/>
    <w:qFormat/>
    <w:uiPriority w:val="0"/>
    <w:rPr>
      <w:szCs w:val="20"/>
    </w:rPr>
  </w:style>
  <w:style w:type="character" w:customStyle="1" w:styleId="103">
    <w:name w:val="Título Char"/>
    <w:basedOn w:val="13"/>
    <w:link w:val="31"/>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4">
    <w:name w:val="Nivel 01 Char"/>
    <w:basedOn w:val="103"/>
    <w:link w:val="105"/>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5">
    <w:name w:val="Nivel 01"/>
    <w:basedOn w:val="2"/>
    <w:next w:val="1"/>
    <w:link w:val="104"/>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6">
    <w:name w:val="Nivel_01_Titulo Char"/>
    <w:basedOn w:val="104"/>
    <w:link w:val="107"/>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7">
    <w:name w:val="Nivel_01_Titulo"/>
    <w:basedOn w:val="105"/>
    <w:link w:val="106"/>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8">
    <w:name w:val="Quote Char"/>
    <w:basedOn w:val="13"/>
    <w:link w:val="109"/>
    <w:qFormat/>
    <w:uiPriority w:val="0"/>
    <w:rPr>
      <w:rFonts w:ascii="Ecofont_Spranq_eco_Sans" w:hAnsi="Ecofont_Spranq_eco_Sans" w:eastAsia="Calibri" w:cs="Tahoma"/>
      <w:i/>
      <w:iCs/>
      <w:color w:val="000000"/>
      <w:shd w:val="clear" w:fill="FFFFCC"/>
    </w:rPr>
  </w:style>
  <w:style w:type="paragraph" w:customStyle="1" w:styleId="109">
    <w:name w:val="Citação1"/>
    <w:basedOn w:val="1"/>
    <w:next w:val="1"/>
    <w:link w:val="10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10">
    <w:name w:val="spellingerror"/>
    <w:basedOn w:val="13"/>
    <w:qFormat/>
    <w:uiPriority w:val="0"/>
  </w:style>
  <w:style w:type="character" w:customStyle="1" w:styleId="111">
    <w:name w:val="Nivel1 Char"/>
    <w:basedOn w:val="70"/>
    <w:link w:val="112"/>
    <w:qFormat/>
    <w:uiPriority w:val="0"/>
    <w:rPr>
      <w:rFonts w:ascii="Arial" w:hAnsi="Arial" w:cs="Arial" w:eastAsiaTheme="majorEastAsia"/>
      <w:bCs w:val="0"/>
      <w:color w:val="000000"/>
      <w:sz w:val="28"/>
      <w:szCs w:val="28"/>
      <w:shd w:val="clear" w:fill="BFBFBF"/>
      <w:lang w:eastAsia="pt-BR"/>
    </w:rPr>
  </w:style>
  <w:style w:type="paragraph" w:customStyle="1" w:styleId="112">
    <w:name w:val="Nivel1"/>
    <w:basedOn w:val="2"/>
    <w:link w:val="111"/>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3">
    <w:name w:val="cp_0020corpodespacho__char1"/>
    <w:qFormat/>
    <w:uiPriority w:val="0"/>
    <w:rPr>
      <w:rFonts w:ascii="Times New Roman" w:hAnsi="Times New Roman" w:cs="Times New Roman"/>
      <w:sz w:val="26"/>
      <w:szCs w:val="26"/>
      <w:u w:val="none"/>
    </w:rPr>
  </w:style>
  <w:style w:type="character" w:customStyle="1" w:styleId="114">
    <w:name w:val="em_0020ementa__char1"/>
    <w:qFormat/>
    <w:uiPriority w:val="0"/>
    <w:rPr>
      <w:rFonts w:ascii="Times New Roman" w:hAnsi="Times New Roman" w:cs="Times New Roman"/>
      <w:sz w:val="28"/>
      <w:szCs w:val="28"/>
      <w:u w:val="none"/>
    </w:rPr>
  </w:style>
  <w:style w:type="character" w:customStyle="1" w:styleId="115">
    <w:name w:val="Manoel"/>
    <w:qFormat/>
    <w:uiPriority w:val="0"/>
    <w:rPr>
      <w:rFonts w:ascii="Arial" w:hAnsi="Arial" w:cs="Arial"/>
      <w:color w:val="7030A0"/>
      <w:sz w:val="20"/>
    </w:rPr>
  </w:style>
  <w:style w:type="character" w:customStyle="1" w:styleId="116">
    <w:name w:val="Grade Colorida - Ênfase 1 Char"/>
    <w:link w:val="117"/>
    <w:qFormat/>
    <w:uiPriority w:val="29"/>
    <w:rPr>
      <w:rFonts w:ascii="Arial" w:hAnsi="Arial" w:eastAsia="Calibri" w:cs="Times New Roman"/>
      <w:i/>
      <w:iCs/>
      <w:color w:val="000000"/>
      <w:sz w:val="20"/>
      <w:szCs w:val="24"/>
      <w:shd w:val="clear" w:fill="FFFFCC"/>
    </w:rPr>
  </w:style>
  <w:style w:type="paragraph" w:customStyle="1" w:styleId="117">
    <w:name w:val="Grade Colorida - Ênfase 11"/>
    <w:basedOn w:val="1"/>
    <w:next w:val="1"/>
    <w:link w:val="11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8">
    <w:name w:val="Menção Pendente1"/>
    <w:basedOn w:val="13"/>
    <w:semiHidden/>
    <w:unhideWhenUsed/>
    <w:qFormat/>
    <w:uiPriority w:val="99"/>
    <w:rPr>
      <w:color w:val="605E5C"/>
      <w:shd w:val="clear" w:fill="E1DFDD"/>
    </w:rPr>
  </w:style>
  <w:style w:type="character" w:customStyle="1" w:styleId="119">
    <w:name w:val="Menção Pendente2"/>
    <w:basedOn w:val="13"/>
    <w:semiHidden/>
    <w:unhideWhenUsed/>
    <w:qFormat/>
    <w:uiPriority w:val="99"/>
    <w:rPr>
      <w:color w:val="605E5C"/>
      <w:shd w:val="clear" w:fill="E1DFDD"/>
    </w:rPr>
  </w:style>
  <w:style w:type="character" w:customStyle="1" w:styleId="120">
    <w:name w:val="Nível 2 Opcional Char"/>
    <w:basedOn w:val="13"/>
    <w:link w:val="121"/>
    <w:qFormat/>
    <w:uiPriority w:val="0"/>
    <w:rPr>
      <w:rFonts w:ascii="Arial" w:hAnsi="Arial" w:eastAsia="Times New Roman" w:cs="Arial"/>
      <w:i/>
      <w:color w:val="FF0000"/>
      <w:sz w:val="20"/>
      <w:szCs w:val="20"/>
      <w:lang w:eastAsia="pt-BR"/>
    </w:rPr>
  </w:style>
  <w:style w:type="paragraph" w:customStyle="1" w:styleId="121">
    <w:name w:val="Nível 2 Opcional"/>
    <w:basedOn w:val="73"/>
    <w:link w:val="120"/>
    <w:qFormat/>
    <w:uiPriority w:val="0"/>
    <w:pPr>
      <w:numPr>
        <w:ilvl w:val="0"/>
        <w:numId w:val="0"/>
      </w:numPr>
      <w:ind w:left="432" w:hanging="432"/>
    </w:pPr>
    <w:rPr>
      <w:i/>
      <w:color w:val="FF0000"/>
    </w:rPr>
  </w:style>
  <w:style w:type="character" w:customStyle="1" w:styleId="122">
    <w:name w:val="Nível 3 Opcional Char"/>
    <w:basedOn w:val="13"/>
    <w:link w:val="123"/>
    <w:qFormat/>
    <w:uiPriority w:val="0"/>
    <w:rPr>
      <w:rFonts w:ascii="Arial" w:hAnsi="Arial" w:eastAsia="Times New Roman" w:cs="Arial"/>
      <w:i/>
      <w:iCs/>
      <w:color w:val="FF0000"/>
      <w:sz w:val="20"/>
      <w:szCs w:val="20"/>
      <w:lang w:eastAsia="pt-BR"/>
    </w:rPr>
  </w:style>
  <w:style w:type="paragraph" w:customStyle="1" w:styleId="123">
    <w:name w:val="Nível 3 Opcional"/>
    <w:basedOn w:val="91"/>
    <w:link w:val="122"/>
    <w:qFormat/>
    <w:uiPriority w:val="0"/>
    <w:pPr>
      <w:ind w:left="1072" w:hanging="504"/>
    </w:pPr>
    <w:rPr>
      <w:rFonts w:eastAsia="Times New Roman"/>
      <w:i/>
      <w:iCs/>
      <w:color w:val="FF0000"/>
    </w:rPr>
  </w:style>
  <w:style w:type="character" w:styleId="124">
    <w:name w:val="Placeholder Text"/>
    <w:basedOn w:val="13"/>
    <w:semiHidden/>
    <w:qFormat/>
    <w:uiPriority w:val="67"/>
    <w:rPr>
      <w:color w:val="808080"/>
    </w:rPr>
  </w:style>
  <w:style w:type="character" w:customStyle="1" w:styleId="125">
    <w:name w:val="Menção Pendente3"/>
    <w:basedOn w:val="13"/>
    <w:semiHidden/>
    <w:unhideWhenUsed/>
    <w:qFormat/>
    <w:uiPriority w:val="99"/>
    <w:rPr>
      <w:color w:val="605E5C"/>
      <w:shd w:val="clear" w:fill="E1DFDD"/>
    </w:rPr>
  </w:style>
  <w:style w:type="character" w:customStyle="1" w:styleId="126">
    <w:name w:val="Menção Pendente4"/>
    <w:basedOn w:val="13"/>
    <w:semiHidden/>
    <w:unhideWhenUsed/>
    <w:qFormat/>
    <w:uiPriority w:val="99"/>
    <w:rPr>
      <w:color w:val="605E5C"/>
      <w:shd w:val="clear" w:fill="E1DFDD"/>
    </w:rPr>
  </w:style>
  <w:style w:type="character" w:customStyle="1" w:styleId="127">
    <w:name w:val="Nível 4-R Char"/>
    <w:basedOn w:val="92"/>
    <w:link w:val="128"/>
    <w:qFormat/>
    <w:uiPriority w:val="0"/>
    <w:rPr>
      <w:rFonts w:ascii="Arial" w:hAnsi="Arial" w:cs="Arial" w:eastAsiaTheme="minorEastAsia"/>
      <w:i/>
      <w:iCs/>
      <w:color w:val="FF0000"/>
      <w:sz w:val="20"/>
      <w:szCs w:val="20"/>
      <w:lang w:eastAsia="pt-BR"/>
    </w:rPr>
  </w:style>
  <w:style w:type="paragraph" w:customStyle="1" w:styleId="128">
    <w:name w:val="Nível 4-R"/>
    <w:basedOn w:val="93"/>
    <w:link w:val="127"/>
    <w:qFormat/>
    <w:uiPriority w:val="0"/>
    <w:pPr>
      <w:numPr>
        <w:ilvl w:val="3"/>
        <w:numId w:val="5"/>
      </w:numPr>
      <w:ind w:left="567" w:firstLine="0"/>
    </w:pPr>
    <w:rPr>
      <w:i/>
      <w:iCs/>
      <w:color w:val="FF0000"/>
    </w:rPr>
  </w:style>
  <w:style w:type="character" w:customStyle="1" w:styleId="129">
    <w:name w:val="Nível 1-Sem Num Char"/>
    <w:basedOn w:val="104"/>
    <w:link w:val="130"/>
    <w:qFormat/>
    <w:uiPriority w:val="0"/>
    <w:rPr>
      <w:rFonts w:ascii="Arial" w:hAnsi="Arial" w:cs="Arial" w:eastAsiaTheme="majorEastAsia"/>
      <w:color w:val="17375E" w:themeColor="text2" w:themeShade="BF"/>
      <w:spacing w:val="5"/>
      <w:kern w:val="2"/>
      <w:sz w:val="20"/>
      <w:szCs w:val="20"/>
      <w:lang w:eastAsia="pt-BR"/>
    </w:rPr>
  </w:style>
  <w:style w:type="paragraph" w:customStyle="1" w:styleId="130">
    <w:name w:val="Nível 1-Sem Num"/>
    <w:basedOn w:val="105"/>
    <w:link w:val="129"/>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1">
    <w:name w:val="Preâmbulo Char"/>
    <w:basedOn w:val="13"/>
    <w:link w:val="132"/>
    <w:qFormat/>
    <w:uiPriority w:val="0"/>
    <w:rPr>
      <w:rFonts w:ascii="Arial" w:hAnsi="Arial" w:eastAsia="Arial" w:cs="Arial"/>
      <w:bCs/>
      <w:sz w:val="20"/>
      <w:szCs w:val="20"/>
      <w:lang w:eastAsia="pt-BR"/>
    </w:rPr>
  </w:style>
  <w:style w:type="paragraph" w:customStyle="1" w:styleId="132">
    <w:name w:val="Preâmbulo"/>
    <w:basedOn w:val="1"/>
    <w:link w:val="131"/>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3">
    <w:name w:val="Menção Pendente5"/>
    <w:basedOn w:val="13"/>
    <w:semiHidden/>
    <w:unhideWhenUsed/>
    <w:qFormat/>
    <w:uiPriority w:val="99"/>
    <w:rPr>
      <w:color w:val="605E5C"/>
      <w:shd w:val="clear" w:fill="E1DFDD"/>
    </w:rPr>
  </w:style>
  <w:style w:type="character" w:customStyle="1" w:styleId="134">
    <w:name w:val="Vínculo de índice"/>
    <w:qFormat/>
    <w:uiPriority w:val="0"/>
  </w:style>
  <w:style w:type="character" w:customStyle="1" w:styleId="135">
    <w:name w:val="WW8Num4z0"/>
    <w:qFormat/>
    <w:uiPriority w:val="0"/>
    <w:rPr>
      <w:rFonts w:ascii="Arial" w:hAnsi="Arial" w:eastAsia="Arial" w:cs="Arial"/>
      <w:b/>
      <w:bCs/>
      <w:color w:val="000000"/>
      <w:kern w:val="2"/>
      <w:sz w:val="30"/>
      <w:szCs w:val="28"/>
      <w:lang w:val="pt-BR" w:eastAsia="ar-SA"/>
    </w:rPr>
  </w:style>
  <w:style w:type="character" w:customStyle="1" w:styleId="136">
    <w:name w:val="Fonte parág. padrão2"/>
    <w:qFormat/>
    <w:uiPriority w:val="0"/>
  </w:style>
  <w:style w:type="character" w:customStyle="1" w:styleId="137">
    <w:name w:val="Símbolos de numeração"/>
    <w:qFormat/>
    <w:uiPriority w:val="0"/>
  </w:style>
  <w:style w:type="character" w:customStyle="1" w:styleId="138">
    <w:name w:val="Marcadores"/>
    <w:qFormat/>
    <w:uiPriority w:val="0"/>
    <w:rPr>
      <w:rFonts w:ascii="OpenSymbol" w:hAnsi="OpenSymbol" w:eastAsia="OpenSymbol" w:cs="OpenSymbol"/>
    </w:rPr>
  </w:style>
  <w:style w:type="paragraph" w:customStyle="1" w:styleId="139">
    <w:name w:val="index heading1"/>
    <w:basedOn w:val="140"/>
    <w:qFormat/>
    <w:uiPriority w:val="0"/>
  </w:style>
  <w:style w:type="paragraph" w:customStyle="1" w:styleId="140">
    <w:name w:val="Título11"/>
    <w:basedOn w:val="1"/>
    <w:next w:val="5"/>
    <w:qFormat/>
    <w:uiPriority w:val="0"/>
    <w:pPr>
      <w:keepNext/>
      <w:spacing w:before="240" w:after="120"/>
    </w:pPr>
    <w:rPr>
      <w:rFonts w:ascii="Liberation Sans" w:hAnsi="Liberation Sans" w:eastAsia="Microsoft YaHei" w:cs="Arial"/>
      <w:sz w:val="28"/>
      <w:szCs w:val="28"/>
    </w:rPr>
  </w:style>
  <w:style w:type="paragraph" w:customStyle="1" w:styleId="141">
    <w:name w:val="Cabeçalho e Rodapé"/>
    <w:basedOn w:val="1"/>
    <w:qFormat/>
    <w:uiPriority w:val="0"/>
  </w:style>
  <w:style w:type="paragraph" w:customStyle="1" w:styleId="142">
    <w:name w:val="caption1"/>
    <w:basedOn w:val="1"/>
    <w:qFormat/>
    <w:uiPriority w:val="0"/>
    <w:pPr>
      <w:suppressLineNumbers/>
      <w:spacing w:before="120" w:after="120"/>
    </w:pPr>
    <w:rPr>
      <w:rFonts w:cs="Arial"/>
      <w:i/>
      <w:iCs/>
      <w:sz w:val="24"/>
      <w:szCs w:val="24"/>
    </w:rPr>
  </w:style>
  <w:style w:type="paragraph" w:customStyle="1" w:styleId="143">
    <w:name w:val="index heading11"/>
    <w:basedOn w:val="144"/>
    <w:qFormat/>
    <w:uiPriority w:val="0"/>
  </w:style>
  <w:style w:type="paragraph" w:customStyle="1" w:styleId="144">
    <w:name w:val="Título1"/>
    <w:basedOn w:val="1"/>
    <w:next w:val="5"/>
    <w:qFormat/>
    <w:uiPriority w:val="0"/>
    <w:pPr>
      <w:keepNext/>
      <w:spacing w:before="240" w:after="120"/>
    </w:pPr>
    <w:rPr>
      <w:rFonts w:ascii="Liberation Sans" w:hAnsi="Liberation Sans" w:eastAsia="Microsoft YaHei" w:cs="Arial"/>
      <w:sz w:val="28"/>
      <w:szCs w:val="28"/>
    </w:rPr>
  </w:style>
  <w:style w:type="paragraph" w:customStyle="1" w:styleId="145">
    <w:name w:val="caption11"/>
    <w:basedOn w:val="1"/>
    <w:qFormat/>
    <w:uiPriority w:val="0"/>
    <w:pPr>
      <w:suppressLineNumbers/>
      <w:spacing w:before="120" w:after="120"/>
    </w:pPr>
    <w:rPr>
      <w:rFonts w:cs="Arial"/>
      <w:i/>
      <w:iCs/>
      <w:sz w:val="24"/>
      <w:szCs w:val="24"/>
    </w:rPr>
  </w:style>
  <w:style w:type="paragraph" w:customStyle="1" w:styleId="146">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7">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8">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9">
    <w:name w:val="Nivel 5"/>
    <w:basedOn w:val="93"/>
    <w:qFormat/>
    <w:uiPriority w:val="0"/>
    <w:pPr>
      <w:ind w:left="1276"/>
    </w:pPr>
  </w:style>
  <w:style w:type="paragraph" w:customStyle="1" w:styleId="150">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2">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3">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4">
    <w:name w:val="Nivel 1"/>
    <w:basedOn w:val="73"/>
    <w:next w:val="73"/>
    <w:qFormat/>
    <w:uiPriority w:val="0"/>
    <w:pPr>
      <w:numPr>
        <w:ilvl w:val="0"/>
        <w:numId w:val="0"/>
      </w:numPr>
      <w:ind w:left="360" w:hanging="360"/>
    </w:pPr>
    <w:rPr>
      <w:rFonts w:eastAsiaTheme="minorEastAsia"/>
      <w:b/>
      <w:color w:val="000000"/>
    </w:rPr>
  </w:style>
  <w:style w:type="paragraph" w:customStyle="1" w:styleId="155">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7">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8">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1">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2">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6">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1">
    <w:name w:val="Text body"/>
    <w:basedOn w:val="170"/>
    <w:qFormat/>
    <w:uiPriority w:val="0"/>
    <w:pPr>
      <w:spacing w:before="0" w:after="140" w:line="276" w:lineRule="auto"/>
    </w:pPr>
  </w:style>
  <w:style w:type="paragraph" w:customStyle="1" w:styleId="172">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citação 2"/>
    <w:basedOn w:val="100"/>
    <w:qFormat/>
    <w:uiPriority w:val="0"/>
    <w:pPr>
      <w:overflowPunct w:val="0"/>
    </w:pPr>
    <w:rPr>
      <w:szCs w:val="20"/>
    </w:rPr>
  </w:style>
  <w:style w:type="paragraph" w:customStyle="1" w:styleId="174">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8">
    <w:name w:val="Conteúdo da tabela"/>
    <w:basedOn w:val="1"/>
    <w:qFormat/>
    <w:uiPriority w:val="0"/>
    <w:pPr>
      <w:suppressAutoHyphens/>
    </w:pPr>
    <w:rPr>
      <w:lang w:eastAsia="ar-SA"/>
    </w:rPr>
  </w:style>
  <w:style w:type="paragraph" w:customStyle="1" w:styleId="179">
    <w:name w:val="Título de tabela"/>
    <w:basedOn w:val="178"/>
    <w:qFormat/>
    <w:uiPriority w:val="0"/>
    <w:pPr>
      <w:suppressLineNumbers/>
      <w:jc w:val="center"/>
    </w:pPr>
    <w:rPr>
      <w:b/>
      <w:bCs/>
    </w:rPr>
  </w:style>
  <w:style w:type="paragraph" w:customStyle="1" w:styleId="180">
    <w:name w:val="Table Paragraph"/>
    <w:basedOn w:val="1"/>
    <w:qFormat/>
    <w:uiPriority w:val="0"/>
  </w:style>
  <w:style w:type="paragraph" w:styleId="181">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2">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3">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4">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5">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6">
    <w:name w:val="WW8Num1z0"/>
    <w:qFormat/>
    <w:uiPriority w:val="3"/>
    <w:rPr>
      <w:rFonts w:ascii="Times New Roman" w:hAnsi="Times New Roman" w:eastAsia="Times New Roman" w:cstheme="minorBidi"/>
    </w:rPr>
  </w:style>
  <w:style w:type="character" w:customStyle="1" w:styleId="187">
    <w:name w:val="WW8Num1z1"/>
    <w:qFormat/>
    <w:uiPriority w:val="3"/>
    <w:rPr>
      <w:rFonts w:ascii="Times New Roman" w:hAnsi="Times New Roman" w:eastAsia="Times New Roman" w:cstheme="minorBidi"/>
    </w:rPr>
  </w:style>
  <w:style w:type="character" w:customStyle="1" w:styleId="188">
    <w:name w:val="WW8Num1z2"/>
    <w:qFormat/>
    <w:uiPriority w:val="3"/>
    <w:rPr>
      <w:rFonts w:ascii="Times New Roman" w:hAnsi="Times New Roman" w:eastAsia="Times New Roman" w:cstheme="minorBidi"/>
    </w:rPr>
  </w:style>
  <w:style w:type="character" w:customStyle="1" w:styleId="189">
    <w:name w:val="WW8Num1z3"/>
    <w:qFormat/>
    <w:uiPriority w:val="3"/>
    <w:rPr>
      <w:rFonts w:ascii="Times New Roman" w:hAnsi="Times New Roman" w:eastAsia="Times New Roman" w:cstheme="minorBidi"/>
    </w:rPr>
  </w:style>
  <w:style w:type="character" w:customStyle="1" w:styleId="190">
    <w:name w:val="WW8Num1z4"/>
    <w:qFormat/>
    <w:uiPriority w:val="3"/>
    <w:rPr>
      <w:rFonts w:ascii="Times New Roman" w:hAnsi="Times New Roman" w:eastAsia="Times New Roman" w:cstheme="minorBidi"/>
    </w:rPr>
  </w:style>
  <w:style w:type="character" w:customStyle="1" w:styleId="191">
    <w:name w:val="WW8Num1z5"/>
    <w:qFormat/>
    <w:uiPriority w:val="3"/>
    <w:rPr>
      <w:rFonts w:ascii="Times New Roman" w:hAnsi="Times New Roman" w:eastAsia="Times New Roman" w:cstheme="minorBidi"/>
    </w:rPr>
  </w:style>
  <w:style w:type="character" w:customStyle="1" w:styleId="192">
    <w:name w:val="WW8Num1z6"/>
    <w:qFormat/>
    <w:uiPriority w:val="3"/>
    <w:rPr>
      <w:rFonts w:ascii="Times New Roman" w:hAnsi="Times New Roman" w:eastAsia="Times New Roman" w:cstheme="minorBidi"/>
    </w:rPr>
  </w:style>
  <w:style w:type="character" w:customStyle="1" w:styleId="193">
    <w:name w:val="WW8Num1z7"/>
    <w:qFormat/>
    <w:uiPriority w:val="3"/>
    <w:rPr>
      <w:rFonts w:ascii="Times New Roman" w:hAnsi="Times New Roman" w:eastAsia="Times New Roman" w:cstheme="minorBidi"/>
    </w:rPr>
  </w:style>
  <w:style w:type="character" w:customStyle="1" w:styleId="194">
    <w:name w:val="WW8Num1z8"/>
    <w:qFormat/>
    <w:uiPriority w:val="3"/>
    <w:rPr>
      <w:rFonts w:ascii="Times New Roman" w:hAnsi="Times New Roman" w:eastAsia="Times New Roman" w:cstheme="minorBidi"/>
    </w:rPr>
  </w:style>
  <w:style w:type="character" w:customStyle="1" w:styleId="195">
    <w:name w:val="WW8Num2z0"/>
    <w:qFormat/>
    <w:uiPriority w:val="3"/>
    <w:rPr>
      <w:rFonts w:ascii="Times New Roman" w:hAnsi="Times New Roman" w:eastAsia="Times New Roman" w:cstheme="minorBidi"/>
      <w:b/>
      <w:bCs/>
      <w:sz w:val="24"/>
      <w:szCs w:val="24"/>
      <w:lang w:eastAsia="en-US"/>
    </w:rPr>
  </w:style>
  <w:style w:type="character" w:customStyle="1" w:styleId="196">
    <w:name w:val="WW8Num2z1"/>
    <w:qFormat/>
    <w:uiPriority w:val="3"/>
    <w:rPr>
      <w:rFonts w:ascii="Times New Roman" w:hAnsi="Times New Roman" w:eastAsia="Times New Roman" w:cstheme="minorBidi"/>
    </w:rPr>
  </w:style>
  <w:style w:type="character" w:customStyle="1" w:styleId="197">
    <w:name w:val="WW8Num2z2"/>
    <w:qFormat/>
    <w:uiPriority w:val="3"/>
    <w:rPr>
      <w:rFonts w:ascii="Times New Roman" w:hAnsi="Times New Roman" w:eastAsia="Times New Roman" w:cstheme="minorBidi"/>
    </w:rPr>
  </w:style>
  <w:style w:type="character" w:customStyle="1" w:styleId="198">
    <w:name w:val="WW8Num2z3"/>
    <w:qFormat/>
    <w:uiPriority w:val="3"/>
    <w:rPr>
      <w:rFonts w:ascii="Times New Roman" w:hAnsi="Times New Roman" w:eastAsia="Times New Roman" w:cstheme="minorBidi"/>
    </w:rPr>
  </w:style>
  <w:style w:type="character" w:customStyle="1" w:styleId="199">
    <w:name w:val="WW8Num2z4"/>
    <w:qFormat/>
    <w:uiPriority w:val="3"/>
    <w:rPr>
      <w:rFonts w:ascii="Times New Roman" w:hAnsi="Times New Roman" w:eastAsia="Times New Roman" w:cstheme="minorBidi"/>
    </w:rPr>
  </w:style>
  <w:style w:type="character" w:customStyle="1" w:styleId="200">
    <w:name w:val="WW8Num2z5"/>
    <w:qFormat/>
    <w:uiPriority w:val="3"/>
    <w:rPr>
      <w:rFonts w:ascii="Times New Roman" w:hAnsi="Times New Roman" w:eastAsia="Times New Roman" w:cstheme="minorBidi"/>
    </w:rPr>
  </w:style>
  <w:style w:type="character" w:customStyle="1" w:styleId="201">
    <w:name w:val="WW8Num2z6"/>
    <w:qFormat/>
    <w:uiPriority w:val="3"/>
    <w:rPr>
      <w:rFonts w:ascii="Times New Roman" w:hAnsi="Times New Roman" w:eastAsia="Times New Roman" w:cstheme="minorBidi"/>
    </w:rPr>
  </w:style>
  <w:style w:type="character" w:customStyle="1" w:styleId="202">
    <w:name w:val="WW8Num2z7"/>
    <w:qFormat/>
    <w:uiPriority w:val="3"/>
    <w:rPr>
      <w:rFonts w:ascii="Times New Roman" w:hAnsi="Times New Roman" w:eastAsia="Times New Roman" w:cstheme="minorBidi"/>
    </w:rPr>
  </w:style>
  <w:style w:type="character" w:customStyle="1" w:styleId="203">
    <w:name w:val="WW8Num2z8"/>
    <w:qFormat/>
    <w:uiPriority w:val="3"/>
    <w:rPr>
      <w:rFonts w:ascii="Times New Roman" w:hAnsi="Times New Roman" w:eastAsia="Times New Roman" w:cstheme="minorBidi"/>
    </w:rPr>
  </w:style>
  <w:style w:type="character" w:customStyle="1" w:styleId="204">
    <w:name w:val="Cabeçalho Char1"/>
    <w:basedOn w:val="13"/>
    <w:qFormat/>
    <w:uiPriority w:val="6"/>
    <w:rPr>
      <w:rFonts w:ascii="Times New Roman" w:hAnsi="Times New Roman" w:eastAsia="Times New Roman" w:cstheme="minorBidi"/>
      <w:lang w:eastAsia="pt-BR"/>
    </w:rPr>
  </w:style>
  <w:style w:type="character" w:customStyle="1" w:styleId="205">
    <w:name w:val="Rodapé Char1"/>
    <w:basedOn w:val="13"/>
    <w:qFormat/>
    <w:uiPriority w:val="6"/>
    <w:rPr>
      <w:rFonts w:ascii="Times New Roman" w:hAnsi="Times New Roman" w:eastAsia="Times New Roman" w:cstheme="minorBidi"/>
      <w:lang w:eastAsia="pt-BR"/>
    </w:rPr>
  </w:style>
  <w:style w:type="character" w:customStyle="1" w:styleId="206">
    <w:name w:val="Forte1"/>
    <w:basedOn w:val="49"/>
    <w:qFormat/>
    <w:uiPriority w:val="7"/>
    <w:rPr>
      <w:rFonts w:ascii="Times New Roman" w:hAnsi="Times New Roman" w:eastAsia="Times New Roman" w:cstheme="minorBidi"/>
      <w:b/>
    </w:rPr>
  </w:style>
  <w:style w:type="character" w:customStyle="1" w:styleId="207">
    <w:name w:val="ListLabel 1"/>
    <w:qFormat/>
    <w:uiPriority w:val="7"/>
    <w:rPr>
      <w:rFonts w:ascii="Times New Roman" w:hAnsi="Times New Roman" w:eastAsia="Times New Roman" w:cstheme="minorBidi"/>
      <w:b/>
    </w:rPr>
  </w:style>
  <w:style w:type="character" w:customStyle="1" w:styleId="208">
    <w:name w:val="ListLabel 2"/>
    <w:qFormat/>
    <w:uiPriority w:val="7"/>
    <w:rPr>
      <w:rFonts w:ascii="Times New Roman" w:hAnsi="Times New Roman" w:eastAsia="Times New Roman" w:cstheme="minorBidi"/>
      <w:b/>
    </w:rPr>
  </w:style>
  <w:style w:type="character" w:customStyle="1" w:styleId="209">
    <w:name w:val="ListLabel 3"/>
    <w:qFormat/>
    <w:uiPriority w:val="7"/>
    <w:rPr>
      <w:rFonts w:ascii="Times New Roman" w:hAnsi="Times New Roman" w:eastAsia="Times New Roman" w:cstheme="minorBidi"/>
      <w:b/>
    </w:rPr>
  </w:style>
  <w:style w:type="character" w:customStyle="1" w:styleId="210">
    <w:name w:val="WW_CharLFO2LVL1"/>
    <w:qFormat/>
    <w:uiPriority w:val="5"/>
    <w:rPr>
      <w:rFonts w:ascii="Times New Roman" w:hAnsi="Times New Roman" w:eastAsia="Times New Roman" w:cstheme="minorBidi"/>
      <w:b/>
      <w:bCs/>
      <w:sz w:val="24"/>
      <w:szCs w:val="24"/>
      <w:lang w:eastAsia="en-US"/>
    </w:rPr>
  </w:style>
  <w:style w:type="paragraph" w:customStyle="1" w:styleId="211">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2">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3">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6">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8">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9">
    <w:name w:val="Table Heading"/>
    <w:basedOn w:val="218"/>
    <w:qFormat/>
    <w:uiPriority w:val="6"/>
    <w:pPr>
      <w:suppressAutoHyphens/>
      <w:jc w:val="center"/>
    </w:pPr>
    <w:rPr>
      <w:b/>
      <w:bCs/>
    </w:rPr>
  </w:style>
  <w:style w:type="paragraph" w:customStyle="1" w:styleId="220">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1">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2">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3">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5">
    <w:name w:val="Subtítulo Char"/>
    <w:basedOn w:val="13"/>
    <w:link w:val="45"/>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6">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7">
    <w:name w:val="Citação Intensa Char"/>
    <w:basedOn w:val="13"/>
    <w:link w:val="228"/>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8">
    <w:name w:val="Intense Quote"/>
    <w:basedOn w:val="1"/>
    <w:next w:val="1"/>
    <w:link w:val="227"/>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9">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30">
    <w:name w:val="MSG_EN_FONT_STYLE_NAME_TEMPLATE_ROLE MSG_EN_FONT_STYLE_NAME_BY_ROLE_TABLE_CAPTION_"/>
    <w:basedOn w:val="13"/>
    <w:link w:val="231"/>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1">
    <w:name w:val="MSG_EN_FONT_STYLE_NAME_TEMPLATE_ROLE MSG_EN_FONT_STYLE_NAME_BY_ROLE_TABLE_CAPTION"/>
    <w:basedOn w:val="1"/>
    <w:link w:val="230"/>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2">
    <w:name w:val="MSG_EN_FONT_STYLE_NAME_TEMPLATE_ROLE_NUMBER MSG_EN_FONT_STYLE_NAME_BY_ROLE_TEXT 3_"/>
    <w:basedOn w:val="13"/>
    <w:link w:val="233"/>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3">
    <w:name w:val="MSG_EN_FONT_STYLE_NAME_TEMPLATE_ROLE_NUMBER MSG_EN_FONT_STYLE_NAME_BY_ROLE_TEXT 3"/>
    <w:basedOn w:val="1"/>
    <w:link w:val="232"/>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4">
    <w:name w:val="MSG_EN_FONT_STYLE_NAME_TEMPLATE_ROLE_NUMBER MSG_EN_FONT_STYLE_NAME_BY_ROLE_TEXT 2_"/>
    <w:basedOn w:val="13"/>
    <w:link w:val="235"/>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5">
    <w:name w:val="MSG_EN_FONT_STYLE_NAME_TEMPLATE_ROLE_NUMBER MSG_EN_FONT_STYLE_NAME_BY_ROLE_TEXT 2"/>
    <w:basedOn w:val="1"/>
    <w:link w:val="234"/>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6">
    <w:name w:val="MSG_EN_FONT_STYLE_NAME_TEMPLATE_ROLE_NUMBER MSG_EN_FONT_STYLE_NAME_BY_ROLE_TEXT 2 + MSG_EN_FONT_STYLE_MODIFER_BOLD"/>
    <w:basedOn w:val="234"/>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7">
    <w:name w:val="MSG_EN_FONT_STYLE_NAME_TEMPLATE_ROLE_NUMBER MSG_EN_FONT_STYLE_NAME_BY_ROLE_TEXT 3 + MSG_EN_FONT_STYLE_MODIFER_NOT_BOLD"/>
    <w:basedOn w:val="232"/>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8">
    <w:name w:val="MSG_EN_FONT_STYLE_NAME_TEMPLATE_ROLE_LEVEL MSG_EN_FONT_STYLE_NAME_BY_ROLE_HEADING 2_"/>
    <w:basedOn w:val="13"/>
    <w:link w:val="239"/>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9">
    <w:name w:val="MSG_EN_FONT_STYLE_NAME_TEMPLATE_ROLE_LEVEL MSG_EN_FONT_STYLE_NAME_BY_ROLE_HEADING 2"/>
    <w:basedOn w:val="1"/>
    <w:link w:val="238"/>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40">
    <w:name w:val="MSG_EN_FONT_STYLE_NAME_TEMPLATE_ROLE_NUMBER MSG_EN_FONT_STYLE_NAME_BY_ROLE_TEXT 2 + MSG_EN_FONT_STYLE_MODIFER_NAME Arial;MSG_EN_FONT_STYLE_MODIFER_SIZE 11"/>
    <w:basedOn w:val="234"/>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1">
    <w:name w:val="MSG_EN_FONT_STYLE_NAME_TEMPLATE_ROLE_NUMBER MSG_EN_FONT_STYLE_NAME_BY_ROLE_TEXT 2 + MSG_EN_FONT_STYLE_MODIFER_SIZE 6.5;MSG_EN_FONT_STYLE_MODIFER_BOLD"/>
    <w:basedOn w:val="234"/>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2">
    <w:name w:val="Numbering Symbols"/>
    <w:qFormat/>
    <w:uiPriority w:val="6"/>
    <w:rPr>
      <w:rFonts w:ascii="Times New Roman" w:hAnsi="Times New Roman" w:eastAsia="Times New Roman"/>
    </w:rPr>
  </w:style>
  <w:style w:type="paragraph" w:customStyle="1" w:styleId="243">
    <w:name w:val="ec_msoheader"/>
    <w:basedOn w:val="1"/>
    <w:uiPriority w:val="5"/>
    <w:pPr>
      <w:spacing w:before="100" w:after="100" w:line="100" w:lineRule="atLeast"/>
    </w:pPr>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2920</Words>
  <Characters>16531</Characters>
  <Paragraphs>147</Paragraphs>
  <TotalTime>0</TotalTime>
  <ScaleCrop>false</ScaleCrop>
  <LinksUpToDate>false</LinksUpToDate>
  <CharactersWithSpaces>19227</CharactersWithSpaces>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Licitações e Contratos Câma</cp:lastModifiedBy>
  <cp:lastPrinted>2024-09-05T16:01:00Z</cp:lastPrinted>
  <dcterms:modified xsi:type="dcterms:W3CDTF">2024-10-23T18:34:36Z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860DE3D93B344AEE9C6344469AB3A06E_13</vt:lpwstr>
  </property>
  <property fmtid="{D5CDD505-2E9C-101B-9397-08002B2CF9AE}" pid="4" name="KSOProductBuildVer">
    <vt:lpwstr>1046-12.2.0.18283</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