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0"/>
        <w:spacing w:before="600" w:beforeAutospacing="0" w:after="0" w:afterAutospacing="0"/>
        <w:jc w:val="center"/>
        <w:textAlignment w:val="baseline"/>
      </w:pPr>
      <w:r>
        <w:rPr>
          <w:rStyle w:val="45"/>
          <w:b/>
          <w:bCs/>
          <w:color w:val="000000"/>
          <w:sz w:val="28"/>
          <w:szCs w:val="28"/>
          <w:u w:val="single"/>
          <w:shd w:val="clear" w:fill="auto"/>
        </w:rPr>
        <w:t>EDITAL DO PREGÃO Nº 00</w:t>
      </w:r>
      <w:r>
        <w:rPr>
          <w:rStyle w:val="45"/>
          <w:rFonts w:hint="default"/>
          <w:b/>
          <w:bCs/>
          <w:color w:val="000000"/>
          <w:sz w:val="28"/>
          <w:szCs w:val="28"/>
          <w:u w:val="single"/>
          <w:shd w:val="clear" w:fill="auto"/>
          <w:lang w:val="pt-BR"/>
        </w:rPr>
        <w:t>6</w:t>
      </w:r>
      <w:r>
        <w:rPr>
          <w:rStyle w:val="45"/>
          <w:b/>
          <w:bCs/>
          <w:color w:val="000000"/>
          <w:sz w:val="28"/>
          <w:szCs w:val="28"/>
          <w:u w:val="single"/>
          <w:shd w:val="clear" w:fill="auto"/>
        </w:rPr>
        <w:t xml:space="preserve"> de 2024</w:t>
      </w:r>
    </w:p>
    <w:p>
      <w:pPr>
        <w:pStyle w:val="130"/>
        <w:spacing w:before="0" w:beforeAutospacing="0" w:after="600" w:afterAutospacing="0"/>
        <w:jc w:val="center"/>
        <w:textAlignment w:val="baseline"/>
      </w:pPr>
      <w:r>
        <w:rPr>
          <w:rStyle w:val="45"/>
          <w:b/>
          <w:bCs/>
          <w:color w:val="000000"/>
          <w:sz w:val="28"/>
          <w:szCs w:val="28"/>
          <w:shd w:val="clear" w:fill="auto"/>
        </w:rPr>
        <w:t>(PROCESSO ADMINISTRATIVO: 01</w:t>
      </w:r>
      <w:r>
        <w:rPr>
          <w:rStyle w:val="45"/>
          <w:rFonts w:hint="default"/>
          <w:b/>
          <w:bCs/>
          <w:color w:val="000000"/>
          <w:sz w:val="28"/>
          <w:szCs w:val="28"/>
          <w:shd w:val="clear" w:fill="auto"/>
          <w:lang w:val="pt-BR"/>
        </w:rPr>
        <w:t>3</w:t>
      </w:r>
      <w:r>
        <w:rPr>
          <w:rStyle w:val="45"/>
          <w:b/>
          <w:bCs/>
          <w:color w:val="000000"/>
          <w:sz w:val="28"/>
          <w:szCs w:val="28"/>
          <w:shd w:val="clear" w:fill="auto"/>
        </w:rPr>
        <w:t>-2024)</w:t>
      </w:r>
    </w:p>
    <w:tbl>
      <w:tblPr>
        <w:tblStyle w:val="177"/>
        <w:tblW w:w="9125" w:type="dxa"/>
        <w:tblInd w:w="0" w:type="dxa"/>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Layout w:type="fixed"/>
        <w:tblCellMar>
          <w:top w:w="0" w:type="dxa"/>
          <w:left w:w="108" w:type="dxa"/>
          <w:bottom w:w="0" w:type="dxa"/>
          <w:right w:w="108" w:type="dxa"/>
        </w:tblCellMar>
      </w:tblPr>
      <w:tblGrid>
        <w:gridCol w:w="2259"/>
        <w:gridCol w:w="1703"/>
        <w:gridCol w:w="136"/>
        <w:gridCol w:w="2607"/>
        <w:gridCol w:w="73"/>
        <w:gridCol w:w="2294"/>
        <w:gridCol w:w="53"/>
      </w:tblGrid>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9072" w:type="dxa"/>
            <w:gridSpan w:val="6"/>
          </w:tcPr>
          <w:p>
            <w:pPr>
              <w:pStyle w:val="130"/>
              <w:widowControl/>
              <w:suppressAutoHyphens/>
              <w:spacing w:before="120" w:beforeAutospacing="0" w:after="120" w:afterAutospacing="0"/>
              <w:jc w:val="center"/>
              <w:textAlignment w:val="baseline"/>
              <w:rPr>
                <w:b/>
                <w:bCs/>
              </w:rPr>
            </w:pPr>
            <w:r>
              <w:rPr>
                <w:rStyle w:val="45"/>
                <w:b/>
                <w:bCs/>
                <w:color w:val="000000"/>
                <w:kern w:val="0"/>
                <w:sz w:val="28"/>
                <w:szCs w:val="28"/>
                <w:u w:val="none"/>
                <w:lang w:val="pt-BR" w:bidi="ar-SA"/>
              </w:rPr>
              <w:t>Resumo do Certame Licitatório</w:t>
            </w:r>
          </w:p>
        </w:tc>
        <w:tc>
          <w:tcPr>
            <w:tcW w:w="53" w:type="dxa"/>
            <w:tcBorders>
              <w:top w:val="nil"/>
              <w:bottom w:val="nil"/>
            </w:tcBorders>
          </w:tcPr>
          <w:p>
            <w:pPr>
              <w:widowControl/>
              <w:suppressAutoHyphens/>
              <w:spacing w:before="0" w:after="0" w:line="240" w:lineRule="auto"/>
              <w:jc w:val="left"/>
              <w:rPr>
                <w:rFonts w:ascii="Times New Roman" w:hAnsi="Times New Roman" w:eastAsia="Calibri"/>
                <w:b/>
                <w:bCs/>
                <w:kern w:val="0"/>
                <w:sz w:val="22"/>
                <w:szCs w:val="22"/>
                <w:lang w:val="pt-BR" w:eastAsia="en-US" w:bidi="ar-SA"/>
              </w:rPr>
            </w:pP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6778" w:type="dxa"/>
            <w:gridSpan w:val="5"/>
            <w:shd w:val="clear" w:color="auto" w:fill="DDDDDD"/>
          </w:tcPr>
          <w:p>
            <w:pPr>
              <w:pStyle w:val="130"/>
              <w:widowControl/>
              <w:suppressAutoHyphens/>
              <w:spacing w:before="0" w:beforeAutospacing="0" w:after="0" w:afterAutospacing="0"/>
              <w:jc w:val="left"/>
              <w:textAlignment w:val="baseline"/>
              <w:rPr>
                <w:b/>
                <w:bCs/>
                <w:sz w:val="22"/>
                <w:szCs w:val="22"/>
              </w:rPr>
            </w:pPr>
            <w:r>
              <w:rPr>
                <w:rStyle w:val="45"/>
                <w:b w:val="0"/>
                <w:bCs w:val="0"/>
                <w:color w:val="000000"/>
                <w:kern w:val="0"/>
                <w:sz w:val="22"/>
                <w:szCs w:val="22"/>
                <w:lang w:val="pt-BR" w:bidi="ar-SA"/>
              </w:rPr>
              <w:t>Órgão Gerenciador:</w:t>
            </w:r>
          </w:p>
          <w:p>
            <w:pPr>
              <w:pStyle w:val="130"/>
              <w:widowControl/>
              <w:suppressAutoHyphens/>
              <w:spacing w:before="0" w:beforeAutospacing="0" w:after="0" w:afterAutospacing="0"/>
              <w:jc w:val="left"/>
              <w:textAlignment w:val="baseline"/>
              <w:rPr>
                <w:b/>
                <w:bCs/>
                <w:sz w:val="22"/>
                <w:szCs w:val="22"/>
              </w:rPr>
            </w:pPr>
            <w:r>
              <w:rPr>
                <w:rStyle w:val="45"/>
                <w:b/>
                <w:bCs/>
                <w:kern w:val="0"/>
                <w:sz w:val="22"/>
                <w:szCs w:val="22"/>
                <w:lang w:val="pt-BR" w:bidi="ar-SA"/>
              </w:rPr>
              <w:t>Câmara Municipal de Primavera do Leste - MT</w:t>
            </w:r>
          </w:p>
        </w:tc>
        <w:tc>
          <w:tcPr>
            <w:tcW w:w="2347" w:type="dxa"/>
            <w:gridSpan w:val="2"/>
            <w:shd w:val="clear" w:color="auto" w:fill="DDDDDD"/>
          </w:tcPr>
          <w:p>
            <w:pPr>
              <w:pStyle w:val="130"/>
              <w:widowControl/>
              <w:suppressAutoHyphens/>
              <w:spacing w:before="0" w:beforeAutospacing="0" w:after="0" w:afterAutospacing="0"/>
              <w:jc w:val="left"/>
              <w:textAlignment w:val="baseline"/>
              <w:rPr>
                <w:sz w:val="22"/>
                <w:szCs w:val="22"/>
              </w:rPr>
            </w:pPr>
            <w:r>
              <w:rPr>
                <w:rStyle w:val="45"/>
                <w:color w:val="000000" w:themeColor="text1"/>
                <w:kern w:val="0"/>
                <w:sz w:val="22"/>
                <w:szCs w:val="22"/>
                <w:lang w:val="pt-BR" w:bidi="ar-SA"/>
              </w:rPr>
              <w:t>CNPJ:</w:t>
            </w:r>
          </w:p>
          <w:p>
            <w:pPr>
              <w:pStyle w:val="130"/>
              <w:widowControl/>
              <w:suppressAutoHyphens/>
              <w:spacing w:before="0" w:beforeAutospacing="0" w:after="0" w:afterAutospacing="0"/>
              <w:jc w:val="left"/>
              <w:textAlignment w:val="baseline"/>
              <w:rPr>
                <w:sz w:val="22"/>
                <w:szCs w:val="22"/>
              </w:rPr>
            </w:pPr>
            <w:r>
              <w:rPr>
                <w:rStyle w:val="45"/>
                <w:b/>
                <w:bCs/>
                <w:color w:val="000000"/>
                <w:kern w:val="0"/>
                <w:sz w:val="22"/>
                <w:szCs w:val="22"/>
                <w:u w:val="none"/>
                <w:lang w:val="pt-BR"/>
              </w:rPr>
              <w:t>24.672.727/0001-83</w:t>
            </w: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2259" w:type="dxa"/>
          </w:tcPr>
          <w:p>
            <w:pPr>
              <w:pStyle w:val="130"/>
              <w:widowControl/>
              <w:suppressAutoHyphens/>
              <w:spacing w:before="0" w:beforeAutospacing="0" w:after="0" w:afterAutospacing="0"/>
              <w:jc w:val="left"/>
              <w:textAlignment w:val="baseline"/>
              <w:rPr>
                <w:b/>
                <w:bCs/>
                <w:sz w:val="22"/>
                <w:szCs w:val="22"/>
              </w:rPr>
            </w:pPr>
            <w:r>
              <w:rPr>
                <w:rStyle w:val="45"/>
                <w:b w:val="0"/>
                <w:bCs w:val="0"/>
                <w:color w:val="000000"/>
                <w:kern w:val="0"/>
                <w:sz w:val="22"/>
                <w:szCs w:val="22"/>
                <w:lang w:val="pt-BR" w:bidi="ar-SA"/>
              </w:rPr>
              <w:t>Modalidade:</w:t>
            </w:r>
          </w:p>
          <w:p>
            <w:pPr>
              <w:pStyle w:val="130"/>
              <w:widowControl/>
              <w:suppressAutoHyphens/>
              <w:spacing w:before="0" w:beforeAutospacing="0" w:after="0" w:afterAutospacing="0"/>
              <w:jc w:val="left"/>
              <w:textAlignment w:val="baseline"/>
              <w:rPr>
                <w:b/>
                <w:bCs/>
                <w:sz w:val="22"/>
                <w:szCs w:val="22"/>
              </w:rPr>
            </w:pPr>
            <w:r>
              <w:rPr>
                <w:rStyle w:val="45"/>
                <w:b/>
                <w:bCs/>
                <w:color w:val="000000"/>
                <w:kern w:val="0"/>
                <w:sz w:val="22"/>
                <w:szCs w:val="22"/>
                <w:lang w:val="pt-BR" w:bidi="ar-SA"/>
              </w:rPr>
              <w:t>Pregão</w:t>
            </w:r>
          </w:p>
        </w:tc>
        <w:tc>
          <w:tcPr>
            <w:tcW w:w="1703" w:type="dxa"/>
          </w:tcPr>
          <w:p>
            <w:pPr>
              <w:pStyle w:val="130"/>
              <w:widowControl/>
              <w:suppressAutoHyphens/>
              <w:spacing w:before="0" w:beforeAutospacing="0" w:after="0" w:afterAutospacing="0"/>
              <w:jc w:val="left"/>
              <w:textAlignment w:val="baseline"/>
              <w:rPr>
                <w:sz w:val="22"/>
                <w:szCs w:val="22"/>
              </w:rPr>
            </w:pPr>
            <w:r>
              <w:rPr>
                <w:rStyle w:val="45"/>
                <w:color w:val="000000"/>
                <w:kern w:val="0"/>
                <w:sz w:val="22"/>
                <w:szCs w:val="22"/>
                <w:lang w:val="pt-BR" w:bidi="ar-SA"/>
              </w:rPr>
              <w:t>Forma:</w:t>
            </w:r>
          </w:p>
          <w:p>
            <w:pPr>
              <w:pStyle w:val="130"/>
              <w:widowControl/>
              <w:suppressAutoHyphens/>
              <w:spacing w:before="0" w:beforeAutospacing="0" w:after="0" w:afterAutospacing="0"/>
              <w:jc w:val="left"/>
              <w:textAlignment w:val="baseline"/>
              <w:rPr>
                <w:sz w:val="22"/>
                <w:szCs w:val="22"/>
              </w:rPr>
            </w:pPr>
            <w:r>
              <w:rPr>
                <w:rStyle w:val="45"/>
                <w:b/>
                <w:bCs/>
                <w:color w:val="000000"/>
                <w:kern w:val="0"/>
                <w:sz w:val="22"/>
                <w:szCs w:val="22"/>
                <w:lang w:val="pt-BR" w:bidi="ar-SA"/>
              </w:rPr>
              <w:t>Eletrônica</w:t>
            </w:r>
          </w:p>
        </w:tc>
        <w:tc>
          <w:tcPr>
            <w:tcW w:w="2743" w:type="dxa"/>
            <w:gridSpan w:val="2"/>
          </w:tcPr>
          <w:p>
            <w:pPr>
              <w:pStyle w:val="130"/>
              <w:widowControl/>
              <w:suppressAutoHyphens/>
              <w:spacing w:before="0" w:beforeAutospacing="0" w:after="0" w:afterAutospacing="0"/>
              <w:jc w:val="left"/>
              <w:textAlignment w:val="baseline"/>
              <w:rPr>
                <w:sz w:val="22"/>
                <w:szCs w:val="22"/>
              </w:rPr>
            </w:pPr>
            <w:r>
              <w:rPr>
                <w:rStyle w:val="47"/>
                <w:color w:val="000000"/>
                <w:kern w:val="0"/>
                <w:sz w:val="22"/>
                <w:szCs w:val="22"/>
                <w:lang w:val="pt-BR" w:bidi="ar-SA"/>
              </w:rPr>
              <w:t>Modo de Disputa:</w:t>
            </w:r>
          </w:p>
          <w:p>
            <w:pPr>
              <w:pStyle w:val="130"/>
              <w:widowControl/>
              <w:suppressAutoHyphens/>
              <w:spacing w:before="0" w:beforeAutospacing="0" w:after="0" w:afterAutospacing="0"/>
              <w:jc w:val="left"/>
              <w:textAlignment w:val="baseline"/>
              <w:rPr>
                <w:sz w:val="22"/>
                <w:szCs w:val="22"/>
              </w:rPr>
            </w:pPr>
            <w:r>
              <w:rPr>
                <w:rStyle w:val="47"/>
                <w:b/>
                <w:bCs/>
                <w:color w:val="000000"/>
                <w:kern w:val="0"/>
                <w:sz w:val="22"/>
                <w:szCs w:val="22"/>
                <w:shd w:val="clear" w:fill="auto"/>
                <w:lang w:val="pt-BR" w:bidi="ar-SA"/>
              </w:rPr>
              <w:t>Aberto</w:t>
            </w:r>
          </w:p>
        </w:tc>
        <w:tc>
          <w:tcPr>
            <w:tcW w:w="2367" w:type="dxa"/>
            <w:gridSpan w:val="2"/>
          </w:tcPr>
          <w:p>
            <w:pPr>
              <w:pStyle w:val="130"/>
              <w:widowControl/>
              <w:suppressAutoHyphens/>
              <w:spacing w:before="0" w:beforeAutospacing="0" w:after="0" w:afterAutospacing="0"/>
              <w:jc w:val="left"/>
              <w:textAlignment w:val="baseline"/>
              <w:rPr>
                <w:sz w:val="22"/>
                <w:szCs w:val="22"/>
              </w:rPr>
            </w:pPr>
            <w:r>
              <w:rPr>
                <w:rStyle w:val="45"/>
                <w:color w:val="000000" w:themeColor="text1"/>
                <w:kern w:val="0"/>
                <w:sz w:val="22"/>
                <w:szCs w:val="22"/>
                <w:lang w:val="pt-BR" w:bidi="ar-SA"/>
              </w:rPr>
              <w:t>Critério de Julgamento:</w:t>
            </w:r>
          </w:p>
          <w:p>
            <w:pPr>
              <w:pStyle w:val="130"/>
              <w:widowControl/>
              <w:suppressAutoHyphens/>
              <w:spacing w:before="0" w:beforeAutospacing="0" w:after="0" w:afterAutospacing="0"/>
              <w:jc w:val="left"/>
              <w:textAlignment w:val="baseline"/>
              <w:rPr>
                <w:sz w:val="22"/>
                <w:szCs w:val="22"/>
              </w:rPr>
            </w:pPr>
            <w:r>
              <w:rPr>
                <w:rStyle w:val="45"/>
                <w:b/>
                <w:bCs/>
                <w:color w:val="000000" w:themeColor="text1"/>
                <w:kern w:val="0"/>
                <w:sz w:val="22"/>
                <w:szCs w:val="22"/>
                <w:lang w:val="pt-BR" w:bidi="ar-SA"/>
              </w:rPr>
              <w:t>Menor Preço por Lote</w:t>
            </w:r>
          </w:p>
        </w:tc>
        <w:tc>
          <w:tcPr>
            <w:tcW w:w="53" w:type="dxa"/>
            <w:tcBorders>
              <w:top w:val="nil"/>
              <w:bottom w:val="nil"/>
            </w:tcBorders>
          </w:tcPr>
          <w:p>
            <w:pPr>
              <w:widowControl/>
              <w:suppressAutoHyphens/>
              <w:spacing w:before="0" w:after="0" w:line="240" w:lineRule="auto"/>
              <w:jc w:val="left"/>
              <w:rPr>
                <w:rFonts w:ascii="Times New Roman" w:hAnsi="Times New Roman" w:eastAsia="Calibri"/>
                <w:kern w:val="0"/>
                <w:sz w:val="22"/>
                <w:szCs w:val="22"/>
                <w:lang w:val="pt-BR" w:eastAsia="en-US" w:bidi="ar-SA"/>
              </w:rPr>
            </w:pP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2259" w:type="dxa"/>
            <w:shd w:val="clear" w:color="auto" w:fill="DDDDDD"/>
          </w:tcPr>
          <w:p>
            <w:pPr>
              <w:pStyle w:val="130"/>
              <w:widowControl/>
              <w:suppressAutoHyphens/>
              <w:spacing w:before="0" w:beforeAutospacing="0" w:after="0" w:afterAutospacing="0"/>
              <w:jc w:val="left"/>
              <w:textAlignment w:val="baseline"/>
              <w:rPr>
                <w:b/>
                <w:bCs/>
                <w:sz w:val="22"/>
                <w:szCs w:val="22"/>
                <w:shd w:val="clear" w:color="auto" w:fill="auto"/>
              </w:rPr>
            </w:pPr>
            <w:r>
              <w:rPr>
                <w:rStyle w:val="45"/>
                <w:b w:val="0"/>
                <w:bCs w:val="0"/>
                <w:color w:val="000000" w:themeColor="text1"/>
                <w:kern w:val="0"/>
                <w:sz w:val="22"/>
                <w:szCs w:val="22"/>
                <w:shd w:val="clear" w:color="auto" w:fill="auto"/>
                <w:lang w:val="pt-BR" w:bidi="ar-SA"/>
              </w:rPr>
              <w:t>Data:</w:t>
            </w:r>
          </w:p>
          <w:p>
            <w:pPr>
              <w:pStyle w:val="130"/>
              <w:widowControl/>
              <w:suppressAutoHyphens/>
              <w:spacing w:before="0" w:beforeAutospacing="0" w:after="0" w:afterAutospacing="0"/>
              <w:jc w:val="left"/>
              <w:textAlignment w:val="baseline"/>
              <w:rPr>
                <w:b/>
                <w:bCs/>
                <w:sz w:val="22"/>
                <w:szCs w:val="22"/>
                <w:shd w:val="clear" w:color="auto" w:fill="auto"/>
              </w:rPr>
            </w:pPr>
            <w:r>
              <w:rPr>
                <w:rStyle w:val="45"/>
                <w:rFonts w:hint="default"/>
                <w:b/>
                <w:bCs/>
                <w:color w:val="000000" w:themeColor="text1"/>
                <w:kern w:val="0"/>
                <w:sz w:val="22"/>
                <w:szCs w:val="22"/>
                <w:shd w:val="clear" w:color="auto" w:fill="auto"/>
                <w:lang w:val="pt-BR" w:bidi="ar-SA"/>
              </w:rPr>
              <w:t>12/04</w:t>
            </w:r>
            <w:r>
              <w:rPr>
                <w:rStyle w:val="45"/>
                <w:b/>
                <w:bCs/>
                <w:color w:val="000000" w:themeColor="text1"/>
                <w:kern w:val="0"/>
                <w:sz w:val="22"/>
                <w:szCs w:val="22"/>
                <w:shd w:val="clear" w:color="auto" w:fill="auto"/>
                <w:lang w:val="pt-BR" w:bidi="ar-SA"/>
              </w:rPr>
              <w:t>/2024</w:t>
            </w:r>
          </w:p>
        </w:tc>
        <w:tc>
          <w:tcPr>
            <w:tcW w:w="1839" w:type="dxa"/>
            <w:gridSpan w:val="2"/>
            <w:shd w:val="clear" w:color="auto" w:fill="DDDDDD"/>
          </w:tcPr>
          <w:p>
            <w:pPr>
              <w:pStyle w:val="130"/>
              <w:widowControl/>
              <w:suppressAutoHyphens/>
              <w:spacing w:before="0" w:beforeAutospacing="0" w:after="0" w:afterAutospacing="0"/>
              <w:jc w:val="left"/>
              <w:textAlignment w:val="baseline"/>
              <w:rPr>
                <w:sz w:val="22"/>
                <w:szCs w:val="22"/>
                <w:shd w:val="clear" w:color="auto" w:fill="auto"/>
              </w:rPr>
            </w:pPr>
            <w:r>
              <w:rPr>
                <w:rStyle w:val="45"/>
                <w:color w:val="000000" w:themeColor="text1"/>
                <w:kern w:val="0"/>
                <w:sz w:val="22"/>
                <w:szCs w:val="22"/>
                <w:shd w:val="clear" w:color="auto" w:fill="auto"/>
                <w:lang w:val="pt-BR" w:bidi="ar-SA"/>
              </w:rPr>
              <w:t>Horário:</w:t>
            </w:r>
          </w:p>
          <w:p>
            <w:pPr>
              <w:pStyle w:val="130"/>
              <w:widowControl/>
              <w:suppressAutoHyphens/>
              <w:spacing w:before="0" w:beforeAutospacing="0" w:after="0" w:afterAutospacing="0"/>
              <w:jc w:val="left"/>
              <w:textAlignment w:val="baseline"/>
              <w:rPr>
                <w:sz w:val="22"/>
                <w:szCs w:val="22"/>
                <w:shd w:val="clear" w:color="auto" w:fill="auto"/>
              </w:rPr>
            </w:pPr>
            <w:r>
              <w:rPr>
                <w:rStyle w:val="45"/>
                <w:rFonts w:hint="default"/>
                <w:b/>
                <w:bCs/>
                <w:color w:val="000000" w:themeColor="text1"/>
                <w:kern w:val="0"/>
                <w:sz w:val="22"/>
                <w:szCs w:val="22"/>
                <w:shd w:val="clear" w:color="auto" w:fill="auto"/>
                <w:lang w:val="pt-BR" w:bidi="ar-SA"/>
              </w:rPr>
              <w:t>09</w:t>
            </w:r>
            <w:r>
              <w:rPr>
                <w:rStyle w:val="45"/>
                <w:b/>
                <w:bCs/>
                <w:color w:val="000000" w:themeColor="text1"/>
                <w:kern w:val="0"/>
                <w:sz w:val="22"/>
                <w:szCs w:val="22"/>
                <w:shd w:val="clear" w:color="auto" w:fill="auto"/>
                <w:lang w:val="pt-BR" w:bidi="ar-SA"/>
              </w:rPr>
              <w:t>h</w:t>
            </w:r>
            <w:r>
              <w:rPr>
                <w:rStyle w:val="45"/>
                <w:rFonts w:hint="default"/>
                <w:b/>
                <w:bCs/>
                <w:color w:val="000000" w:themeColor="text1"/>
                <w:kern w:val="0"/>
                <w:sz w:val="22"/>
                <w:szCs w:val="22"/>
                <w:shd w:val="clear" w:color="auto" w:fill="auto"/>
                <w:lang w:val="pt-BR" w:bidi="ar-SA"/>
              </w:rPr>
              <w:t>00</w:t>
            </w:r>
            <w:r>
              <w:rPr>
                <w:rStyle w:val="45"/>
                <w:b/>
                <w:bCs/>
                <w:color w:val="000000" w:themeColor="text1"/>
                <w:kern w:val="0"/>
                <w:sz w:val="22"/>
                <w:szCs w:val="22"/>
                <w:shd w:val="clear" w:color="auto" w:fill="auto"/>
                <w:lang w:val="pt-BR" w:bidi="ar-SA"/>
              </w:rPr>
              <w:t xml:space="preserve"> min</w:t>
            </w:r>
          </w:p>
        </w:tc>
        <w:tc>
          <w:tcPr>
            <w:tcW w:w="5027" w:type="dxa"/>
            <w:gridSpan w:val="4"/>
            <w:shd w:val="clear" w:color="auto" w:fill="DDDDDD"/>
          </w:tcPr>
          <w:p>
            <w:pPr>
              <w:pStyle w:val="130"/>
              <w:widowControl/>
              <w:suppressAutoHyphens/>
              <w:spacing w:before="0" w:beforeAutospacing="0" w:after="0" w:afterAutospacing="0"/>
              <w:jc w:val="left"/>
              <w:textAlignment w:val="baseline"/>
              <w:rPr>
                <w:sz w:val="22"/>
                <w:szCs w:val="22"/>
              </w:rPr>
            </w:pPr>
            <w:r>
              <w:rPr>
                <w:rStyle w:val="45"/>
                <w:color w:val="000000" w:themeColor="text1"/>
                <w:kern w:val="0"/>
                <w:sz w:val="22"/>
                <w:szCs w:val="22"/>
                <w:lang w:val="pt-BR" w:bidi="ar-SA"/>
              </w:rPr>
              <w:t>Plataforma:</w:t>
            </w:r>
          </w:p>
          <w:p>
            <w:pPr>
              <w:pStyle w:val="130"/>
              <w:widowControl/>
              <w:suppressAutoHyphens/>
              <w:spacing w:before="0" w:beforeAutospacing="0" w:after="0" w:afterAutospacing="0"/>
              <w:jc w:val="left"/>
              <w:textAlignment w:val="baseline"/>
              <w:rPr>
                <w:rFonts w:ascii="Times New Roman" w:hAnsi="Times New Roman"/>
                <w:sz w:val="22"/>
                <w:szCs w:val="22"/>
              </w:rPr>
            </w:pPr>
            <w:r>
              <w:rPr>
                <w:b/>
                <w:bCs/>
                <w:color w:val="auto"/>
                <w:kern w:val="0"/>
                <w:sz w:val="22"/>
                <w:szCs w:val="22"/>
                <w:u w:val="none"/>
                <w:lang w:val="pt-BR" w:bidi="ar-SA"/>
              </w:rPr>
              <w:t>https://www.licitanet.com.br</w:t>
            </w: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rPr>
          <w:trHeight w:val="880" w:hRule="atLeast"/>
        </w:trPr>
        <w:tc>
          <w:tcPr>
            <w:tcW w:w="2259" w:type="dxa"/>
          </w:tcPr>
          <w:p>
            <w:pPr>
              <w:pStyle w:val="130"/>
              <w:widowControl/>
              <w:suppressAutoHyphens/>
              <w:spacing w:before="0" w:beforeAutospacing="0" w:after="0" w:afterAutospacing="0"/>
              <w:jc w:val="left"/>
              <w:textAlignment w:val="baseline"/>
              <w:rPr>
                <w:b/>
                <w:bCs/>
                <w:sz w:val="22"/>
                <w:szCs w:val="22"/>
              </w:rPr>
            </w:pPr>
            <w:r>
              <w:rPr>
                <w:rStyle w:val="45"/>
                <w:b w:val="0"/>
                <w:bCs w:val="0"/>
                <w:color w:val="000000" w:themeColor="text1"/>
                <w:kern w:val="0"/>
                <w:sz w:val="22"/>
                <w:szCs w:val="22"/>
                <w:lang w:val="pt-BR" w:bidi="ar-SA"/>
              </w:rPr>
              <w:t>Exige Amostra?</w:t>
            </w:r>
          </w:p>
          <w:p>
            <w:pPr>
              <w:pStyle w:val="130"/>
              <w:widowControl/>
              <w:suppressAutoHyphens/>
              <w:spacing w:before="0" w:beforeAutospacing="0" w:after="0" w:afterAutospacing="0"/>
              <w:jc w:val="left"/>
              <w:textAlignment w:val="baseline"/>
              <w:rPr>
                <w:b/>
                <w:bCs/>
                <w:sz w:val="22"/>
                <w:szCs w:val="22"/>
              </w:rPr>
            </w:pPr>
            <w:r>
              <w:rPr>
                <w:rStyle w:val="45"/>
                <w:b/>
                <w:bCs/>
                <w:color w:val="000000" w:themeColor="text1"/>
                <w:kern w:val="0"/>
                <w:sz w:val="22"/>
                <w:szCs w:val="22"/>
                <w:lang w:val="pt-BR" w:bidi="ar-SA"/>
              </w:rPr>
              <w:t>Não</w:t>
            </w:r>
          </w:p>
        </w:tc>
        <w:tc>
          <w:tcPr>
            <w:tcW w:w="1703" w:type="dxa"/>
          </w:tcPr>
          <w:p>
            <w:pPr>
              <w:pStyle w:val="130"/>
              <w:widowControl/>
              <w:suppressAutoHyphens/>
              <w:spacing w:before="0" w:beforeAutospacing="0" w:after="0" w:afterAutospacing="0"/>
              <w:jc w:val="left"/>
              <w:textAlignment w:val="baseline"/>
              <w:rPr>
                <w:sz w:val="22"/>
                <w:szCs w:val="22"/>
              </w:rPr>
            </w:pPr>
            <w:r>
              <w:rPr>
                <w:rStyle w:val="45"/>
                <w:color w:val="000000" w:themeColor="text1"/>
                <w:kern w:val="0"/>
                <w:sz w:val="22"/>
                <w:szCs w:val="22"/>
                <w:lang w:val="pt-BR" w:bidi="ar-SA"/>
              </w:rPr>
              <w:t>Participação:</w:t>
            </w:r>
          </w:p>
          <w:p>
            <w:pPr>
              <w:pStyle w:val="130"/>
              <w:widowControl/>
              <w:suppressAutoHyphens/>
              <w:spacing w:before="0" w:beforeAutospacing="0" w:after="0" w:afterAutospacing="0"/>
              <w:jc w:val="left"/>
              <w:textAlignment w:val="baseline"/>
              <w:rPr>
                <w:rFonts w:hint="default"/>
                <w:sz w:val="22"/>
                <w:szCs w:val="22"/>
                <w:lang w:val="pt-BR"/>
              </w:rPr>
            </w:pPr>
            <w:r>
              <w:rPr>
                <w:rFonts w:hint="default"/>
                <w:b/>
                <w:bCs/>
                <w:sz w:val="22"/>
                <w:szCs w:val="22"/>
                <w:lang w:val="pt-BR"/>
              </w:rPr>
              <w:t>Exclusiva ME/EPP</w:t>
            </w:r>
          </w:p>
        </w:tc>
        <w:tc>
          <w:tcPr>
            <w:tcW w:w="2743" w:type="dxa"/>
            <w:gridSpan w:val="2"/>
          </w:tcPr>
          <w:p>
            <w:pPr>
              <w:pStyle w:val="130"/>
              <w:widowControl/>
              <w:suppressAutoHyphens/>
              <w:spacing w:before="0" w:beforeAutospacing="0" w:after="0" w:afterAutospacing="0"/>
              <w:jc w:val="left"/>
              <w:textAlignment w:val="baseline"/>
              <w:rPr>
                <w:sz w:val="22"/>
                <w:szCs w:val="22"/>
              </w:rPr>
            </w:pPr>
            <w:r>
              <w:rPr>
                <w:rStyle w:val="45"/>
                <w:color w:val="000000" w:themeColor="text1"/>
                <w:kern w:val="0"/>
                <w:sz w:val="22"/>
                <w:szCs w:val="22"/>
                <w:lang w:val="pt-BR" w:bidi="ar-SA"/>
              </w:rPr>
              <w:t>Reserva de Cota ME/EPP?</w:t>
            </w:r>
          </w:p>
          <w:p>
            <w:pPr>
              <w:pStyle w:val="130"/>
              <w:widowControl/>
              <w:suppressAutoHyphens/>
              <w:spacing w:before="0" w:beforeAutospacing="0" w:after="0" w:afterAutospacing="0"/>
              <w:jc w:val="left"/>
              <w:textAlignment w:val="baseline"/>
              <w:rPr>
                <w:sz w:val="22"/>
                <w:szCs w:val="22"/>
              </w:rPr>
            </w:pPr>
            <w:r>
              <w:rPr>
                <w:rStyle w:val="45"/>
                <w:b/>
                <w:bCs/>
                <w:color w:val="000000" w:themeColor="text1"/>
                <w:kern w:val="0"/>
                <w:sz w:val="22"/>
                <w:szCs w:val="22"/>
                <w:lang w:val="pt-BR" w:bidi="ar-SA"/>
              </w:rPr>
              <w:t>Não</w:t>
            </w:r>
          </w:p>
        </w:tc>
        <w:tc>
          <w:tcPr>
            <w:tcW w:w="2367" w:type="dxa"/>
            <w:gridSpan w:val="2"/>
          </w:tcPr>
          <w:p>
            <w:pPr>
              <w:pStyle w:val="130"/>
              <w:widowControl/>
              <w:suppressAutoHyphens/>
              <w:spacing w:before="0" w:beforeAutospacing="0" w:after="0" w:afterAutospacing="0"/>
              <w:jc w:val="left"/>
              <w:textAlignment w:val="baseline"/>
              <w:rPr>
                <w:sz w:val="22"/>
                <w:szCs w:val="22"/>
              </w:rPr>
            </w:pPr>
            <w:r>
              <w:rPr>
                <w:rStyle w:val="45"/>
                <w:color w:val="000000" w:themeColor="text1"/>
                <w:kern w:val="0"/>
                <w:sz w:val="22"/>
                <w:szCs w:val="22"/>
                <w:lang w:val="pt-BR" w:bidi="ar-SA"/>
              </w:rPr>
              <w:t>Decreto Federal nº 7.174/2010?</w:t>
            </w:r>
          </w:p>
          <w:p>
            <w:pPr>
              <w:pStyle w:val="130"/>
              <w:widowControl/>
              <w:suppressAutoHyphens/>
              <w:spacing w:before="0" w:beforeAutospacing="0" w:after="0" w:afterAutospacing="0"/>
              <w:jc w:val="left"/>
              <w:textAlignment w:val="baseline"/>
              <w:rPr>
                <w:sz w:val="22"/>
                <w:szCs w:val="22"/>
              </w:rPr>
            </w:pPr>
            <w:r>
              <w:rPr>
                <w:rStyle w:val="45"/>
                <w:b/>
                <w:bCs/>
                <w:color w:val="000000" w:themeColor="text1"/>
                <w:kern w:val="0"/>
                <w:sz w:val="22"/>
                <w:szCs w:val="22"/>
                <w:lang w:val="pt-BR" w:bidi="ar-SA"/>
              </w:rPr>
              <w:t>Não</w:t>
            </w:r>
          </w:p>
        </w:tc>
        <w:tc>
          <w:tcPr>
            <w:tcW w:w="53" w:type="dxa"/>
            <w:tcBorders>
              <w:top w:val="nil"/>
              <w:bottom w:val="nil"/>
            </w:tcBorders>
          </w:tcPr>
          <w:p>
            <w:pPr>
              <w:widowControl/>
              <w:suppressAutoHyphens/>
              <w:spacing w:before="0" w:after="0" w:line="240" w:lineRule="auto"/>
              <w:jc w:val="left"/>
              <w:rPr>
                <w:rFonts w:ascii="Times New Roman" w:hAnsi="Times New Roman" w:eastAsia="Calibri"/>
                <w:kern w:val="0"/>
                <w:sz w:val="22"/>
                <w:szCs w:val="22"/>
                <w:lang w:val="pt-BR" w:eastAsia="en-US" w:bidi="ar-SA"/>
              </w:rPr>
            </w:pP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2259" w:type="dxa"/>
            <w:shd w:val="clear" w:color="auto" w:fill="DDDDDD"/>
          </w:tcPr>
          <w:p>
            <w:pPr>
              <w:pStyle w:val="130"/>
              <w:widowControl/>
              <w:suppressAutoHyphens/>
              <w:spacing w:before="0" w:beforeAutospacing="0" w:after="0" w:afterAutospacing="0"/>
              <w:jc w:val="left"/>
              <w:textAlignment w:val="baseline"/>
              <w:rPr>
                <w:b/>
                <w:bCs/>
                <w:sz w:val="22"/>
                <w:szCs w:val="22"/>
              </w:rPr>
            </w:pPr>
            <w:r>
              <w:rPr>
                <w:rStyle w:val="45"/>
                <w:b w:val="0"/>
                <w:bCs w:val="0"/>
                <w:color w:val="000000" w:themeColor="text1"/>
                <w:kern w:val="0"/>
                <w:sz w:val="22"/>
                <w:szCs w:val="22"/>
                <w:lang w:val="pt-BR" w:bidi="ar-SA"/>
              </w:rPr>
              <w:t>Registro de Preços?</w:t>
            </w:r>
          </w:p>
          <w:p>
            <w:pPr>
              <w:pStyle w:val="130"/>
              <w:widowControl/>
              <w:suppressAutoHyphens/>
              <w:spacing w:before="0" w:beforeAutospacing="0" w:after="0" w:afterAutospacing="0"/>
              <w:jc w:val="left"/>
              <w:textAlignment w:val="baseline"/>
              <w:rPr>
                <w:b/>
                <w:bCs/>
                <w:sz w:val="22"/>
                <w:szCs w:val="22"/>
              </w:rPr>
            </w:pPr>
            <w:r>
              <w:rPr>
                <w:rStyle w:val="45"/>
                <w:b/>
                <w:bCs/>
                <w:color w:val="000000" w:themeColor="text1"/>
                <w:kern w:val="0"/>
                <w:sz w:val="22"/>
                <w:szCs w:val="22"/>
                <w:lang w:val="pt-BR" w:bidi="ar-SA"/>
              </w:rPr>
              <w:t>Sim</w:t>
            </w:r>
          </w:p>
        </w:tc>
        <w:tc>
          <w:tcPr>
            <w:tcW w:w="1703" w:type="dxa"/>
            <w:shd w:val="clear" w:color="auto" w:fill="DDDDDD"/>
          </w:tcPr>
          <w:p>
            <w:pPr>
              <w:pStyle w:val="130"/>
              <w:widowControl/>
              <w:suppressAutoHyphens/>
              <w:spacing w:before="0" w:beforeAutospacing="0" w:after="0" w:afterAutospacing="0"/>
              <w:jc w:val="left"/>
              <w:textAlignment w:val="baseline"/>
              <w:rPr>
                <w:sz w:val="22"/>
                <w:szCs w:val="22"/>
              </w:rPr>
            </w:pPr>
            <w:r>
              <w:rPr>
                <w:rStyle w:val="45"/>
                <w:color w:val="000000" w:themeColor="text1"/>
                <w:kern w:val="0"/>
                <w:sz w:val="22"/>
                <w:szCs w:val="22"/>
                <w:lang w:val="pt-BR" w:bidi="ar-SA"/>
              </w:rPr>
              <w:t>Vistoria?</w:t>
            </w:r>
          </w:p>
          <w:p>
            <w:pPr>
              <w:pStyle w:val="130"/>
              <w:widowControl/>
              <w:suppressAutoHyphens/>
              <w:spacing w:before="0" w:beforeAutospacing="0" w:after="0" w:afterAutospacing="0"/>
              <w:jc w:val="left"/>
              <w:textAlignment w:val="baseline"/>
              <w:rPr>
                <w:sz w:val="22"/>
                <w:szCs w:val="22"/>
              </w:rPr>
            </w:pPr>
            <w:r>
              <w:rPr>
                <w:rStyle w:val="45"/>
                <w:b/>
                <w:bCs/>
                <w:color w:val="000000" w:themeColor="text1"/>
                <w:kern w:val="0"/>
                <w:sz w:val="22"/>
                <w:szCs w:val="22"/>
                <w:lang w:val="pt-BR" w:bidi="ar-SA"/>
              </w:rPr>
              <w:t>Não</w:t>
            </w:r>
          </w:p>
        </w:tc>
        <w:tc>
          <w:tcPr>
            <w:tcW w:w="2743" w:type="dxa"/>
            <w:gridSpan w:val="2"/>
            <w:shd w:val="clear" w:color="auto" w:fill="DDDDDD"/>
          </w:tcPr>
          <w:p>
            <w:pPr>
              <w:pStyle w:val="130"/>
              <w:widowControl/>
              <w:suppressAutoHyphens/>
              <w:spacing w:before="0" w:beforeAutospacing="0" w:after="0" w:afterAutospacing="0"/>
              <w:jc w:val="left"/>
              <w:textAlignment w:val="baseline"/>
              <w:rPr>
                <w:sz w:val="22"/>
                <w:szCs w:val="22"/>
              </w:rPr>
            </w:pPr>
            <w:r>
              <w:rPr>
                <w:rStyle w:val="45"/>
                <w:color w:val="000000" w:themeColor="text1"/>
                <w:kern w:val="0"/>
                <w:sz w:val="22"/>
                <w:szCs w:val="22"/>
                <w:lang w:val="pt-BR" w:bidi="ar-SA"/>
              </w:rPr>
              <w:t>Amostra?</w:t>
            </w:r>
          </w:p>
          <w:p>
            <w:pPr>
              <w:pStyle w:val="130"/>
              <w:widowControl/>
              <w:suppressAutoHyphens/>
              <w:spacing w:before="0" w:beforeAutospacing="0" w:after="0" w:afterAutospacing="0"/>
              <w:jc w:val="left"/>
              <w:textAlignment w:val="baseline"/>
              <w:rPr>
                <w:sz w:val="22"/>
                <w:szCs w:val="22"/>
              </w:rPr>
            </w:pPr>
            <w:r>
              <w:rPr>
                <w:rStyle w:val="45"/>
                <w:b/>
                <w:bCs/>
                <w:color w:val="000000" w:themeColor="text1"/>
                <w:kern w:val="0"/>
                <w:sz w:val="22"/>
                <w:szCs w:val="22"/>
                <w:lang w:val="pt-BR" w:bidi="ar-SA"/>
              </w:rPr>
              <w:t>Não</w:t>
            </w:r>
          </w:p>
        </w:tc>
        <w:tc>
          <w:tcPr>
            <w:tcW w:w="2367" w:type="dxa"/>
            <w:gridSpan w:val="2"/>
            <w:shd w:val="clear" w:color="auto" w:fill="DDDDDD"/>
          </w:tcPr>
          <w:p>
            <w:pPr>
              <w:pStyle w:val="130"/>
              <w:widowControl/>
              <w:suppressAutoHyphens/>
              <w:spacing w:before="0" w:beforeAutospacing="0" w:after="0" w:afterAutospacing="0"/>
              <w:jc w:val="left"/>
              <w:textAlignment w:val="baseline"/>
              <w:rPr>
                <w:sz w:val="22"/>
                <w:szCs w:val="22"/>
              </w:rPr>
            </w:pPr>
            <w:r>
              <w:rPr>
                <w:rStyle w:val="45"/>
                <w:color w:val="000000" w:themeColor="text1"/>
                <w:kern w:val="0"/>
                <w:sz w:val="22"/>
                <w:szCs w:val="22"/>
                <w:lang w:val="pt-BR" w:bidi="ar-SA"/>
              </w:rPr>
              <w:t>Instrumento Contratual?</w:t>
            </w:r>
          </w:p>
          <w:p>
            <w:pPr>
              <w:pStyle w:val="130"/>
              <w:widowControl/>
              <w:suppressAutoHyphens/>
              <w:spacing w:before="0" w:beforeAutospacing="0" w:after="0" w:afterAutospacing="0"/>
              <w:jc w:val="left"/>
              <w:textAlignment w:val="baseline"/>
              <w:rPr>
                <w:sz w:val="22"/>
                <w:szCs w:val="22"/>
              </w:rPr>
            </w:pPr>
            <w:r>
              <w:rPr>
                <w:rStyle w:val="45"/>
                <w:b/>
                <w:bCs/>
                <w:color w:val="000000" w:themeColor="text1"/>
                <w:kern w:val="0"/>
                <w:sz w:val="22"/>
                <w:szCs w:val="22"/>
                <w:lang w:val="pt-BR" w:bidi="ar-SA"/>
              </w:rPr>
              <w:t>Sim</w:t>
            </w:r>
          </w:p>
        </w:tc>
        <w:tc>
          <w:tcPr>
            <w:tcW w:w="53" w:type="dxa"/>
            <w:tcBorders>
              <w:top w:val="nil"/>
              <w:bottom w:val="nil"/>
            </w:tcBorders>
            <w:shd w:val="clear" w:color="auto" w:fill="CCCCCC" w:themeFill="text1" w:themeFillTint="33"/>
          </w:tcPr>
          <w:p>
            <w:pPr>
              <w:widowControl/>
              <w:suppressAutoHyphens/>
              <w:spacing w:before="0" w:after="0" w:line="240" w:lineRule="auto"/>
              <w:jc w:val="left"/>
              <w:rPr>
                <w:rFonts w:ascii="Times New Roman" w:hAnsi="Times New Roman" w:eastAsia="Calibri"/>
                <w:kern w:val="0"/>
                <w:sz w:val="22"/>
                <w:szCs w:val="22"/>
                <w:lang w:val="pt-BR" w:eastAsia="en-US" w:bidi="ar-SA"/>
              </w:rPr>
            </w:pP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9072" w:type="dxa"/>
            <w:gridSpan w:val="6"/>
          </w:tcPr>
          <w:p>
            <w:pPr>
              <w:pStyle w:val="130"/>
              <w:widowControl/>
              <w:suppressAutoHyphens/>
              <w:spacing w:before="0" w:beforeAutospacing="0" w:after="0" w:afterAutospacing="0"/>
              <w:jc w:val="left"/>
              <w:textAlignment w:val="baseline"/>
              <w:rPr>
                <w:b/>
                <w:bCs/>
                <w:sz w:val="22"/>
                <w:szCs w:val="22"/>
              </w:rPr>
            </w:pPr>
            <w:r>
              <w:rPr>
                <w:rStyle w:val="45"/>
                <w:b w:val="0"/>
                <w:bCs w:val="0"/>
                <w:color w:val="000000" w:themeColor="text1"/>
                <w:kern w:val="0"/>
                <w:sz w:val="22"/>
                <w:szCs w:val="22"/>
                <w:lang w:val="pt-BR" w:bidi="ar-SA"/>
              </w:rPr>
              <w:t>Objeto:</w:t>
            </w:r>
          </w:p>
          <w:p>
            <w:pPr>
              <w:pStyle w:val="130"/>
              <w:widowControl/>
              <w:suppressAutoHyphens/>
              <w:spacing w:before="0" w:beforeAutospacing="0" w:after="0" w:afterAutospacing="0"/>
              <w:jc w:val="both"/>
              <w:textAlignment w:val="baseline"/>
              <w:rPr>
                <w:rFonts w:hint="default" w:ascii="Times New Roman" w:hAnsi="Times New Roman"/>
                <w:b/>
                <w:bCs/>
                <w:sz w:val="22"/>
                <w:szCs w:val="22"/>
                <w:lang w:val="pt-BR"/>
              </w:rPr>
            </w:pPr>
            <w:r>
              <w:rPr>
                <w:rStyle w:val="128"/>
                <w:rFonts w:hint="default" w:cs="Times New Roman"/>
                <w:b/>
                <w:bCs/>
                <w:sz w:val="22"/>
                <w:szCs w:val="22"/>
                <w:lang w:val="pt-BR" w:eastAsia="en-US"/>
              </w:rPr>
              <w:t>Registro de Preços para futura e eventual a</w:t>
            </w:r>
            <w:r>
              <w:rPr>
                <w:rStyle w:val="128"/>
                <w:rFonts w:hint="default" w:ascii="Times New Roman" w:hAnsi="Times New Roman" w:eastAsia="Times New Roman" w:cs="Times New Roman"/>
                <w:b/>
                <w:bCs/>
                <w:sz w:val="22"/>
                <w:szCs w:val="22"/>
                <w:lang w:eastAsia="en-US"/>
              </w:rPr>
              <w:t>quisição de Gêneros Alimentícios, para atender as Sessões Ordinárias, Extraordinárias e Eventos da Câmara Municipal de Primavera do Leste-MT</w:t>
            </w:r>
            <w:r>
              <w:rPr>
                <w:rStyle w:val="128"/>
                <w:rFonts w:hint="default" w:ascii="Times New Roman" w:hAnsi="Times New Roman" w:eastAsia="Times New Roman" w:cs="Times New Roman"/>
                <w:b/>
                <w:bCs/>
                <w:sz w:val="22"/>
                <w:szCs w:val="22"/>
                <w:lang w:val="pt-BR" w:eastAsia="en-US"/>
              </w:rPr>
              <w:t>.</w:t>
            </w:r>
          </w:p>
        </w:tc>
        <w:tc>
          <w:tcPr>
            <w:tcW w:w="53" w:type="dxa"/>
            <w:tcBorders>
              <w:top w:val="nil"/>
              <w:bottom w:val="nil"/>
            </w:tcBorders>
          </w:tcPr>
          <w:p>
            <w:pPr>
              <w:widowControl/>
              <w:suppressAutoHyphens/>
              <w:spacing w:before="0" w:after="0" w:line="240" w:lineRule="auto"/>
              <w:jc w:val="left"/>
              <w:rPr>
                <w:rFonts w:ascii="Times New Roman" w:hAnsi="Times New Roman" w:eastAsia="Calibri"/>
                <w:kern w:val="0"/>
                <w:sz w:val="22"/>
                <w:szCs w:val="22"/>
                <w:lang w:val="pt-BR" w:eastAsia="en-US" w:bidi="ar-SA"/>
              </w:rPr>
            </w:pP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9072" w:type="dxa"/>
            <w:gridSpan w:val="6"/>
            <w:shd w:val="clear" w:color="auto" w:fill="DDDDDD"/>
          </w:tcPr>
          <w:p>
            <w:pPr>
              <w:pStyle w:val="130"/>
              <w:widowControl/>
              <w:suppressAutoHyphens/>
              <w:spacing w:before="0" w:beforeAutospacing="0" w:after="0" w:afterAutospacing="0"/>
              <w:jc w:val="left"/>
              <w:textAlignment w:val="baseline"/>
              <w:rPr>
                <w:rStyle w:val="45"/>
                <w:b w:val="0"/>
                <w:bCs w:val="0"/>
                <w:color w:val="000000" w:themeColor="text1"/>
                <w:kern w:val="0"/>
                <w:sz w:val="22"/>
                <w:szCs w:val="22"/>
                <w:lang w:val="pt-BR" w:bidi="ar-SA"/>
              </w:rPr>
            </w:pPr>
            <w:r>
              <w:rPr>
                <w:rStyle w:val="45"/>
                <w:b w:val="0"/>
                <w:bCs w:val="0"/>
                <w:color w:val="000000" w:themeColor="text1"/>
                <w:kern w:val="0"/>
                <w:sz w:val="22"/>
                <w:szCs w:val="22"/>
                <w:lang w:val="pt-BR" w:bidi="ar-SA"/>
              </w:rPr>
              <w:t>Valor Estimado:</w:t>
            </w:r>
          </w:p>
          <w:p>
            <w:pPr>
              <w:numPr>
                <w:ilvl w:val="0"/>
                <w:numId w:val="0"/>
              </w:numPr>
              <w:tabs>
                <w:tab w:val="left" w:pos="426"/>
              </w:tabs>
              <w:spacing w:line="240" w:lineRule="auto"/>
              <w:ind w:leftChars="0" w:right="0" w:rightChars="0"/>
              <w:jc w:val="left"/>
              <w:rPr>
                <w:b/>
                <w:bCs/>
                <w:sz w:val="22"/>
                <w:szCs w:val="22"/>
              </w:rPr>
            </w:pPr>
            <w:r>
              <w:rPr>
                <w:rStyle w:val="128"/>
                <w:rFonts w:hint="default" w:ascii="Times New Roman" w:hAnsi="Times New Roman" w:eastAsia="Liberation Sans" w:cs="Times New Roman"/>
                <w:b/>
                <w:bCs/>
                <w:sz w:val="22"/>
                <w:szCs w:val="22"/>
                <w:lang w:val="en-US" w:eastAsia="en-US"/>
              </w:rPr>
              <w:t>R$</w:t>
            </w:r>
            <w:r>
              <w:rPr>
                <w:rStyle w:val="128"/>
                <w:rFonts w:hint="default" w:ascii="Times New Roman" w:hAnsi="Times New Roman" w:eastAsia="Liberation Sans" w:cs="Times New Roman"/>
                <w:b/>
                <w:bCs/>
                <w:sz w:val="22"/>
                <w:szCs w:val="22"/>
                <w:shd w:val="clear" w:color="auto" w:fill="auto"/>
                <w:lang w:val="en-US" w:eastAsia="en-US"/>
              </w:rPr>
              <w:t xml:space="preserve"> 41.172,50</w:t>
            </w:r>
            <w:r>
              <w:rPr>
                <w:rStyle w:val="128"/>
                <w:rFonts w:hint="default" w:ascii="Times New Roman" w:hAnsi="Times New Roman" w:eastAsia="Times New Roman" w:cs="Times New Roman"/>
                <w:b/>
                <w:bCs/>
                <w:sz w:val="22"/>
                <w:szCs w:val="22"/>
                <w:shd w:val="clear" w:color="auto" w:fill="auto"/>
                <w:lang w:val="en-US" w:eastAsia="en-US"/>
              </w:rPr>
              <w:t xml:space="preserve"> (quarenta e um mil cento e setenta e dois reais e cinquenta centavos).</w:t>
            </w:r>
          </w:p>
        </w:tc>
        <w:tc>
          <w:tcPr>
            <w:tcW w:w="53" w:type="dxa"/>
            <w:tcBorders>
              <w:top w:val="nil"/>
              <w:bottom w:val="nil"/>
            </w:tcBorders>
            <w:shd w:val="clear" w:color="auto" w:fill="CCCCCC" w:themeFill="text1" w:themeFillTint="33"/>
          </w:tcPr>
          <w:p>
            <w:pPr>
              <w:widowControl/>
              <w:suppressAutoHyphens/>
              <w:spacing w:before="0" w:after="0" w:line="240" w:lineRule="auto"/>
              <w:jc w:val="left"/>
              <w:rPr>
                <w:rFonts w:ascii="Times New Roman" w:hAnsi="Times New Roman" w:eastAsia="Calibri"/>
                <w:kern w:val="0"/>
                <w:sz w:val="22"/>
                <w:szCs w:val="22"/>
                <w:lang w:val="pt-BR" w:eastAsia="en-US" w:bidi="ar-SA"/>
              </w:rPr>
            </w:pP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rPr>
          <w:trHeight w:val="368" w:hRule="atLeast"/>
        </w:trPr>
        <w:tc>
          <w:tcPr>
            <w:tcW w:w="3962" w:type="dxa"/>
            <w:gridSpan w:val="2"/>
          </w:tcPr>
          <w:p>
            <w:pPr>
              <w:pStyle w:val="130"/>
              <w:widowControl/>
              <w:suppressAutoHyphens/>
              <w:spacing w:before="0" w:beforeAutospacing="0" w:after="0" w:afterAutospacing="0"/>
              <w:jc w:val="left"/>
              <w:textAlignment w:val="baseline"/>
              <w:rPr>
                <w:b/>
                <w:bCs/>
                <w:sz w:val="22"/>
                <w:szCs w:val="22"/>
              </w:rPr>
            </w:pPr>
            <w:r>
              <w:rPr>
                <w:rStyle w:val="45"/>
                <w:b w:val="0"/>
                <w:bCs w:val="0"/>
                <w:color w:val="000000" w:themeColor="text1"/>
                <w:kern w:val="0"/>
                <w:sz w:val="22"/>
                <w:szCs w:val="22"/>
                <w:shd w:val="clear" w:fill="auto"/>
                <w:lang w:val="pt-BR" w:bidi="ar-SA"/>
              </w:rPr>
              <w:t>Pregoeiro:</w:t>
            </w:r>
          </w:p>
          <w:p>
            <w:pPr>
              <w:pStyle w:val="130"/>
              <w:widowControl/>
              <w:suppressAutoHyphens/>
              <w:spacing w:before="0" w:beforeAutospacing="0" w:after="0" w:afterAutospacing="0"/>
              <w:jc w:val="left"/>
              <w:textAlignment w:val="baseline"/>
              <w:rPr>
                <w:b/>
                <w:bCs/>
                <w:sz w:val="22"/>
                <w:szCs w:val="22"/>
              </w:rPr>
            </w:pPr>
            <w:r>
              <w:rPr>
                <w:rStyle w:val="45"/>
                <w:b/>
                <w:bCs/>
                <w:color w:val="000000" w:themeColor="text1"/>
                <w:kern w:val="0"/>
                <w:sz w:val="22"/>
                <w:szCs w:val="22"/>
                <w:shd w:val="clear" w:fill="auto"/>
                <w:lang w:val="pt-BR" w:bidi="ar-SA"/>
              </w:rPr>
              <w:t>Wender de Souza Barros</w:t>
            </w:r>
          </w:p>
        </w:tc>
        <w:tc>
          <w:tcPr>
            <w:tcW w:w="5110" w:type="dxa"/>
            <w:gridSpan w:val="4"/>
          </w:tcPr>
          <w:p>
            <w:pPr>
              <w:pStyle w:val="130"/>
              <w:widowControl/>
              <w:suppressAutoHyphens/>
              <w:spacing w:before="0" w:beforeAutospacing="0" w:after="0" w:afterAutospacing="0"/>
              <w:jc w:val="left"/>
              <w:textAlignment w:val="baseline"/>
              <w:rPr>
                <w:sz w:val="22"/>
                <w:szCs w:val="22"/>
              </w:rPr>
            </w:pPr>
            <w:r>
              <w:rPr>
                <w:rStyle w:val="45"/>
                <w:color w:val="000000" w:themeColor="text1"/>
                <w:kern w:val="0"/>
                <w:sz w:val="22"/>
                <w:szCs w:val="22"/>
                <w:shd w:val="clear" w:fill="auto"/>
                <w:lang w:val="pt-BR" w:bidi="ar-SA"/>
              </w:rPr>
              <w:t>Ato de Designação:</w:t>
            </w:r>
          </w:p>
          <w:p>
            <w:pPr>
              <w:pStyle w:val="65"/>
              <w:numPr>
                <w:ilvl w:val="0"/>
                <w:numId w:val="0"/>
              </w:numPr>
              <w:suppressAutoHyphens/>
              <w:spacing w:before="120" w:after="120" w:line="276" w:lineRule="auto"/>
              <w:ind w:left="0" w:firstLine="0"/>
              <w:jc w:val="left"/>
              <w:rPr>
                <w:sz w:val="22"/>
                <w:szCs w:val="22"/>
              </w:rPr>
            </w:pPr>
            <w:r>
              <w:rPr>
                <w:rStyle w:val="45"/>
                <w:rFonts w:ascii="Times New Roman" w:hAnsi="Times New Roman" w:cs="Times New Roman"/>
                <w:b/>
                <w:bCs/>
                <w:color w:val="000000" w:themeColor="text1"/>
                <w:sz w:val="22"/>
                <w:szCs w:val="22"/>
                <w:shd w:val="clear" w:fill="auto"/>
              </w:rPr>
              <w:t xml:space="preserve"> Portaria nº </w:t>
            </w:r>
            <w:r>
              <w:rPr>
                <w:rStyle w:val="45"/>
                <w:rFonts w:hint="default" w:ascii="Times New Roman" w:hAnsi="Times New Roman" w:cs="Times New Roman"/>
                <w:b/>
                <w:bCs/>
                <w:color w:val="000000" w:themeColor="text1"/>
                <w:sz w:val="22"/>
                <w:szCs w:val="22"/>
                <w:shd w:val="clear" w:fill="auto"/>
                <w:lang w:val="pt-BR"/>
              </w:rPr>
              <w:t>85</w:t>
            </w:r>
            <w:bookmarkStart w:id="78" w:name="_GoBack"/>
            <w:bookmarkEnd w:id="78"/>
            <w:r>
              <w:rPr>
                <w:rStyle w:val="45"/>
                <w:rFonts w:ascii="Times New Roman" w:hAnsi="Times New Roman" w:cs="Times New Roman"/>
                <w:b/>
                <w:bCs/>
                <w:color w:val="000000" w:themeColor="text1"/>
                <w:sz w:val="22"/>
                <w:szCs w:val="22"/>
                <w:shd w:val="clear" w:fill="auto"/>
              </w:rPr>
              <w:t>/2024</w:t>
            </w:r>
          </w:p>
        </w:tc>
        <w:tc>
          <w:tcPr>
            <w:tcW w:w="53" w:type="dxa"/>
            <w:tcBorders>
              <w:top w:val="nil"/>
              <w:bottom w:val="nil"/>
            </w:tcBorders>
          </w:tcPr>
          <w:p>
            <w:pPr>
              <w:widowControl/>
              <w:suppressAutoHyphens/>
              <w:spacing w:before="0" w:after="0" w:line="240" w:lineRule="auto"/>
              <w:jc w:val="left"/>
              <w:rPr>
                <w:rFonts w:ascii="Times New Roman" w:hAnsi="Times New Roman" w:eastAsia="Calibri"/>
                <w:kern w:val="0"/>
                <w:sz w:val="22"/>
                <w:szCs w:val="22"/>
                <w:lang w:val="pt-BR" w:eastAsia="en-US" w:bidi="ar-SA"/>
              </w:rPr>
            </w:pP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3962" w:type="dxa"/>
            <w:gridSpan w:val="2"/>
            <w:shd w:val="clear" w:color="auto" w:fill="D7D7D7" w:themeFill="background1" w:themeFillShade="D8"/>
          </w:tcPr>
          <w:p>
            <w:pPr>
              <w:pStyle w:val="130"/>
              <w:widowControl/>
              <w:suppressAutoHyphens/>
              <w:spacing w:before="0" w:beforeAutospacing="0" w:after="0" w:afterAutospacing="0"/>
              <w:jc w:val="left"/>
              <w:textAlignment w:val="baseline"/>
              <w:rPr>
                <w:b/>
                <w:bCs/>
                <w:sz w:val="22"/>
                <w:szCs w:val="22"/>
              </w:rPr>
            </w:pPr>
            <w:r>
              <w:rPr>
                <w:rStyle w:val="45"/>
                <w:b w:val="0"/>
                <w:bCs w:val="0"/>
                <w:color w:val="000000" w:themeColor="text1"/>
                <w:kern w:val="0"/>
                <w:sz w:val="22"/>
                <w:szCs w:val="22"/>
                <w:lang w:val="pt-BR" w:bidi="ar-SA"/>
              </w:rPr>
              <w:t>Lei de Regência:</w:t>
            </w:r>
          </w:p>
          <w:p>
            <w:pPr>
              <w:pStyle w:val="130"/>
              <w:widowControl/>
              <w:suppressAutoHyphens/>
              <w:spacing w:before="0" w:beforeAutospacing="0" w:after="0" w:afterAutospacing="0"/>
              <w:jc w:val="left"/>
              <w:textAlignment w:val="baseline"/>
              <w:rPr>
                <w:b/>
                <w:bCs/>
                <w:sz w:val="22"/>
                <w:szCs w:val="22"/>
              </w:rPr>
            </w:pPr>
            <w:r>
              <w:rPr>
                <w:rStyle w:val="45"/>
                <w:b/>
                <w:bCs/>
                <w:color w:val="000000" w:themeColor="text1"/>
                <w:kern w:val="0"/>
                <w:sz w:val="22"/>
                <w:szCs w:val="22"/>
                <w:lang w:val="pt-BR" w:bidi="ar-SA"/>
              </w:rPr>
              <w:t>Lei Federal nº 14.133, de 2021</w:t>
            </w:r>
          </w:p>
        </w:tc>
        <w:tc>
          <w:tcPr>
            <w:tcW w:w="5110" w:type="dxa"/>
            <w:gridSpan w:val="4"/>
            <w:shd w:val="clear" w:color="auto" w:fill="D7D7D7" w:themeFill="background1" w:themeFillShade="D8"/>
          </w:tcPr>
          <w:p>
            <w:pPr>
              <w:pStyle w:val="130"/>
              <w:widowControl/>
              <w:suppressAutoHyphens/>
              <w:spacing w:before="0" w:beforeAutospacing="0" w:after="0" w:afterAutospacing="0"/>
              <w:jc w:val="left"/>
              <w:textAlignment w:val="baseline"/>
              <w:rPr>
                <w:sz w:val="22"/>
                <w:szCs w:val="22"/>
              </w:rPr>
            </w:pPr>
            <w:r>
              <w:rPr>
                <w:rStyle w:val="45"/>
                <w:color w:val="000000" w:themeColor="text1"/>
                <w:kern w:val="0"/>
                <w:sz w:val="22"/>
                <w:szCs w:val="22"/>
                <w:lang w:val="pt-BR" w:bidi="ar-SA"/>
              </w:rPr>
              <w:t>Lei Complementar:</w:t>
            </w:r>
          </w:p>
          <w:p>
            <w:pPr>
              <w:pStyle w:val="130"/>
              <w:widowControl/>
              <w:suppressAutoHyphens/>
              <w:spacing w:before="0" w:beforeAutospacing="0" w:after="0" w:afterAutospacing="0"/>
              <w:jc w:val="left"/>
              <w:textAlignment w:val="baseline"/>
              <w:rPr>
                <w:sz w:val="22"/>
                <w:szCs w:val="22"/>
              </w:rPr>
            </w:pPr>
            <w:r>
              <w:rPr>
                <w:rStyle w:val="45"/>
                <w:b/>
                <w:bCs/>
                <w:color w:val="000000" w:themeColor="text1"/>
                <w:kern w:val="0"/>
                <w:sz w:val="22"/>
                <w:szCs w:val="22"/>
                <w:lang w:val="pt-BR" w:bidi="ar-SA"/>
              </w:rPr>
              <w:t>Lei Complementar Federal nº 123, de 2006</w:t>
            </w:r>
          </w:p>
        </w:tc>
        <w:tc>
          <w:tcPr>
            <w:tcW w:w="53" w:type="dxa"/>
            <w:tcBorders>
              <w:top w:val="nil"/>
              <w:bottom w:val="nil"/>
            </w:tcBorders>
            <w:shd w:val="clear" w:color="auto" w:fill="CCCCCC" w:themeFill="text1" w:themeFillTint="33"/>
          </w:tcPr>
          <w:p>
            <w:pPr>
              <w:widowControl/>
              <w:suppressAutoHyphens/>
              <w:spacing w:before="0" w:after="0" w:line="240" w:lineRule="auto"/>
              <w:jc w:val="left"/>
              <w:rPr>
                <w:rFonts w:ascii="Times New Roman" w:hAnsi="Times New Roman" w:eastAsia="Calibri"/>
                <w:kern w:val="0"/>
                <w:sz w:val="22"/>
                <w:szCs w:val="22"/>
                <w:lang w:val="pt-BR" w:eastAsia="en-US" w:bidi="ar-SA"/>
              </w:rPr>
            </w:pPr>
          </w:p>
        </w:tc>
      </w:tr>
    </w:tbl>
    <w:p>
      <w:pPr>
        <w:pStyle w:val="130"/>
        <w:spacing w:before="360" w:beforeAutospacing="0" w:after="120" w:afterAutospacing="0"/>
        <w:ind w:firstLine="0"/>
        <w:jc w:val="both"/>
        <w:textAlignment w:val="baseline"/>
        <w:rPr>
          <w:rStyle w:val="45"/>
          <w:rFonts w:ascii="Times New Roman" w:hAnsi="Times New Roman"/>
          <w:color w:val="000000" w:themeColor="text1"/>
          <w:sz w:val="22"/>
          <w:szCs w:val="22"/>
        </w:rPr>
      </w:pPr>
      <w:r>
        <w:rPr>
          <w:rStyle w:val="45"/>
          <w:color w:val="000000" w:themeColor="text1"/>
        </w:rPr>
        <w:tab/>
      </w:r>
      <w:r>
        <w:rPr>
          <w:rStyle w:val="45"/>
          <w:color w:val="000000" w:themeColor="text1"/>
          <w:sz w:val="22"/>
          <w:szCs w:val="22"/>
        </w:rPr>
        <w:t xml:space="preserve">O Município de Primavera do Leste - MT, por intermédio da Câmara Municipal de Primavera do Leste - MT, torna público que realizará licitação na modalidade Pregão, na forma eletrônica, em modo de disputa aberto, com participação Exclusiva de ME/EPP, para </w:t>
      </w:r>
      <w:r>
        <w:rPr>
          <w:rStyle w:val="128"/>
          <w:rFonts w:hint="default" w:cs="Times New Roman"/>
          <w:b/>
          <w:bCs/>
          <w:sz w:val="22"/>
          <w:szCs w:val="22"/>
          <w:lang w:val="pt-BR" w:eastAsia="en-US"/>
        </w:rPr>
        <w:t>Registro de Preços para futura e eventual a</w:t>
      </w:r>
      <w:r>
        <w:rPr>
          <w:rStyle w:val="128"/>
          <w:rFonts w:hint="default" w:ascii="Times New Roman" w:hAnsi="Times New Roman" w:eastAsia="Times New Roman" w:cs="Times New Roman"/>
          <w:b/>
          <w:bCs/>
          <w:sz w:val="22"/>
          <w:szCs w:val="22"/>
          <w:lang w:eastAsia="en-US"/>
        </w:rPr>
        <w:t>quisição de Gêneros Alimentícios, para atender as Sessões Ordinárias, Extraordinárias e Eventos da Câmara Municipal de Primavera do Leste-MT</w:t>
      </w:r>
      <w:r>
        <w:rPr>
          <w:rStyle w:val="128"/>
          <w:rFonts w:hint="default" w:ascii="Times New Roman" w:hAnsi="Times New Roman" w:eastAsia="Times New Roman" w:cs="Times New Roman"/>
          <w:b/>
          <w:bCs/>
          <w:sz w:val="22"/>
          <w:szCs w:val="22"/>
          <w:lang w:val="pt-BR" w:eastAsia="en-US"/>
        </w:rPr>
        <w:t>,</w:t>
      </w:r>
      <w:r>
        <w:rPr>
          <w:b/>
          <w:bCs/>
          <w:color w:val="000000"/>
          <w:kern w:val="0"/>
          <w:sz w:val="22"/>
          <w:szCs w:val="22"/>
          <w:lang w:val="pt-BR" w:bidi="ar-SA"/>
        </w:rPr>
        <w:t xml:space="preserve"> </w:t>
      </w:r>
      <w:r>
        <w:rPr>
          <w:color w:val="000000"/>
          <w:sz w:val="22"/>
          <w:szCs w:val="22"/>
        </w:rPr>
        <w:t xml:space="preserve"> </w:t>
      </w:r>
      <w:r>
        <w:rPr>
          <w:rStyle w:val="45"/>
          <w:color w:val="000000" w:themeColor="text1"/>
          <w:sz w:val="22"/>
          <w:szCs w:val="22"/>
        </w:rPr>
        <w:t xml:space="preserve">conforme especificações, condições, quantidades e prazos constantes do </w:t>
      </w:r>
      <w:r>
        <w:rPr>
          <w:sz w:val="22"/>
          <w:szCs w:val="22"/>
        </w:rPr>
        <w:fldChar w:fldCharType="begin"/>
      </w:r>
      <w:r>
        <w:rPr>
          <w:sz w:val="22"/>
          <w:szCs w:val="22"/>
        </w:rPr>
        <w:instrText xml:space="preserve"> HYPERLINK \l "_ANEXO_I_-_1" \h </w:instrText>
      </w:r>
      <w:r>
        <w:rPr>
          <w:sz w:val="22"/>
          <w:szCs w:val="22"/>
        </w:rPr>
        <w:fldChar w:fldCharType="separate"/>
      </w:r>
      <w:r>
        <w:rPr>
          <w:rStyle w:val="54"/>
          <w:sz w:val="22"/>
          <w:szCs w:val="22"/>
        </w:rPr>
        <w:t>Termo de Referência - Anexo I deste Edital</w:t>
      </w:r>
      <w:r>
        <w:rPr>
          <w:rStyle w:val="54"/>
          <w:sz w:val="22"/>
          <w:szCs w:val="22"/>
        </w:rPr>
        <w:fldChar w:fldCharType="end"/>
      </w:r>
      <w:r>
        <w:rPr>
          <w:rStyle w:val="45"/>
          <w:color w:val="000000" w:themeColor="text1"/>
          <w:sz w:val="22"/>
          <w:szCs w:val="22"/>
        </w:rPr>
        <w:t xml:space="preserve">. </w:t>
      </w:r>
    </w:p>
    <w:p>
      <w:pPr>
        <w:pStyle w:val="130"/>
        <w:spacing w:before="120" w:beforeAutospacing="0" w:after="120" w:afterAutospacing="0"/>
        <w:ind w:firstLine="567"/>
        <w:jc w:val="both"/>
        <w:textAlignment w:val="baseline"/>
        <w:sectPr>
          <w:headerReference r:id="rId5" w:type="default"/>
          <w:footerReference r:id="rId6" w:type="default"/>
          <w:pgSz w:w="11906" w:h="16838"/>
          <w:pgMar w:top="2658" w:right="1274" w:bottom="1134" w:left="1701" w:header="709" w:footer="709" w:gutter="0"/>
          <w:pgNumType w:fmt="decimal"/>
          <w:cols w:space="720" w:num="1"/>
          <w:formProt w:val="0"/>
          <w:docGrid w:linePitch="360" w:charSpace="4096"/>
        </w:sectPr>
      </w:pPr>
      <w:r>
        <w:rPr>
          <w:rStyle w:val="45"/>
          <w:color w:val="000000" w:themeColor="text1"/>
          <w:sz w:val="22"/>
          <w:szCs w:val="22"/>
        </w:rPr>
        <w:t xml:space="preserve">A licitação será regida pela </w:t>
      </w:r>
      <w:r>
        <w:fldChar w:fldCharType="begin"/>
      </w:r>
      <w:r>
        <w:instrText xml:space="preserve"> HYPERLINK "https://www.planalto.gov.br/ccivil_03/_ato2019-2022/2021/lei/l14133.htm" \h </w:instrText>
      </w:r>
      <w:r>
        <w:fldChar w:fldCharType="separate"/>
      </w:r>
      <w:r>
        <w:rPr>
          <w:rStyle w:val="54"/>
          <w:sz w:val="22"/>
          <w:szCs w:val="22"/>
        </w:rPr>
        <w:t>Lei Federal nº 14.133, de 2021</w:t>
      </w:r>
      <w:r>
        <w:rPr>
          <w:rStyle w:val="54"/>
          <w:sz w:val="22"/>
          <w:szCs w:val="22"/>
        </w:rPr>
        <w:fldChar w:fldCharType="end"/>
      </w:r>
      <w:r>
        <w:rPr>
          <w:rStyle w:val="45"/>
          <w:color w:val="000000" w:themeColor="text1"/>
          <w:sz w:val="22"/>
          <w:szCs w:val="22"/>
        </w:rPr>
        <w:t xml:space="preserve"> e, complementarmente, pela </w:t>
      </w:r>
      <w:r>
        <w:fldChar w:fldCharType="begin"/>
      </w:r>
      <w:r>
        <w:instrText xml:space="preserve"> HYPERLINK "https://www.planalto.gov.br/ccivil_03/leis/lcp/lcp123.htm" \h </w:instrText>
      </w:r>
      <w:r>
        <w:fldChar w:fldCharType="separate"/>
      </w:r>
      <w:r>
        <w:rPr>
          <w:rStyle w:val="54"/>
          <w:sz w:val="22"/>
          <w:szCs w:val="22"/>
        </w:rPr>
        <w:t>Lei Complementar Federal nº 123, de 2006</w:t>
      </w:r>
      <w:r>
        <w:rPr>
          <w:rStyle w:val="54"/>
          <w:sz w:val="22"/>
          <w:szCs w:val="22"/>
        </w:rPr>
        <w:fldChar w:fldCharType="end"/>
      </w:r>
      <w:r>
        <w:rPr>
          <w:rStyle w:val="45"/>
          <w:color w:val="000000" w:themeColor="text1"/>
          <w:sz w:val="22"/>
          <w:szCs w:val="22"/>
          <w:shd w:val="clear" w:fill="auto"/>
        </w:rPr>
        <w:t>, pelas Resoluções 042/</w:t>
      </w:r>
      <w:r>
        <w:rPr>
          <w:rStyle w:val="45"/>
          <w:color w:val="000000" w:themeColor="text1"/>
          <w:sz w:val="22"/>
          <w:szCs w:val="22"/>
          <w:shd w:val="clear" w:fill="auto"/>
          <w:lang w:val="pt-BR"/>
        </w:rPr>
        <w:t>2023</w:t>
      </w:r>
      <w:r>
        <w:rPr>
          <w:rStyle w:val="45"/>
          <w:color w:val="000000" w:themeColor="text1"/>
          <w:sz w:val="22"/>
          <w:szCs w:val="22"/>
          <w:shd w:val="clear" w:fill="auto"/>
        </w:rPr>
        <w:t>, 043/</w:t>
      </w:r>
      <w:r>
        <w:rPr>
          <w:rStyle w:val="45"/>
          <w:color w:val="000000" w:themeColor="text1"/>
          <w:sz w:val="22"/>
          <w:szCs w:val="22"/>
          <w:shd w:val="clear" w:fill="auto"/>
          <w:lang w:val="pt-BR"/>
        </w:rPr>
        <w:t>2023</w:t>
      </w:r>
      <w:r>
        <w:rPr>
          <w:rStyle w:val="45"/>
          <w:color w:val="000000" w:themeColor="text1"/>
          <w:sz w:val="22"/>
          <w:szCs w:val="22"/>
          <w:shd w:val="clear" w:fill="auto"/>
        </w:rPr>
        <w:t>, 044/</w:t>
      </w:r>
      <w:r>
        <w:rPr>
          <w:rStyle w:val="45"/>
          <w:color w:val="000000" w:themeColor="text1"/>
          <w:sz w:val="22"/>
          <w:szCs w:val="22"/>
          <w:shd w:val="clear" w:fill="auto"/>
          <w:lang w:val="pt-BR"/>
        </w:rPr>
        <w:t>2023</w:t>
      </w:r>
      <w:r>
        <w:rPr>
          <w:rStyle w:val="45"/>
          <w:color w:val="000000" w:themeColor="text1"/>
          <w:sz w:val="22"/>
          <w:szCs w:val="22"/>
          <w:shd w:val="clear" w:fill="auto"/>
        </w:rPr>
        <w:t>, 046/</w:t>
      </w:r>
      <w:r>
        <w:rPr>
          <w:rStyle w:val="45"/>
          <w:color w:val="000000" w:themeColor="text1"/>
          <w:sz w:val="22"/>
          <w:szCs w:val="22"/>
          <w:shd w:val="clear" w:fill="auto"/>
          <w:lang w:val="pt-BR"/>
        </w:rPr>
        <w:t>2023</w:t>
      </w:r>
      <w:r>
        <w:rPr>
          <w:rStyle w:val="45"/>
          <w:color w:val="000000" w:themeColor="text1"/>
          <w:sz w:val="22"/>
          <w:szCs w:val="22"/>
          <w:shd w:val="clear" w:fill="auto"/>
        </w:rPr>
        <w:t>,  048/</w:t>
      </w:r>
      <w:r>
        <w:rPr>
          <w:rStyle w:val="45"/>
          <w:color w:val="000000" w:themeColor="text1"/>
          <w:sz w:val="22"/>
          <w:szCs w:val="22"/>
          <w:shd w:val="clear" w:fill="auto"/>
          <w:lang w:val="pt-BR"/>
        </w:rPr>
        <w:t>2023</w:t>
      </w:r>
      <w:r>
        <w:rPr>
          <w:rStyle w:val="45"/>
          <w:color w:val="000000" w:themeColor="text1"/>
          <w:sz w:val="22"/>
          <w:szCs w:val="22"/>
          <w:shd w:val="clear" w:fill="auto"/>
        </w:rPr>
        <w:t>, 049/</w:t>
      </w:r>
      <w:r>
        <w:rPr>
          <w:rStyle w:val="45"/>
          <w:color w:val="000000" w:themeColor="text1"/>
          <w:sz w:val="22"/>
          <w:szCs w:val="22"/>
          <w:shd w:val="clear" w:fill="auto"/>
          <w:lang w:val="pt-BR"/>
        </w:rPr>
        <w:t>2023</w:t>
      </w:r>
      <w:r>
        <w:rPr>
          <w:rStyle w:val="45"/>
          <w:color w:val="000000" w:themeColor="text1"/>
          <w:sz w:val="22"/>
          <w:szCs w:val="22"/>
          <w:shd w:val="clear" w:fill="auto"/>
        </w:rPr>
        <w:t>, 050/</w:t>
      </w:r>
      <w:r>
        <w:rPr>
          <w:rStyle w:val="45"/>
          <w:color w:val="000000" w:themeColor="text1"/>
          <w:sz w:val="22"/>
          <w:szCs w:val="22"/>
          <w:shd w:val="clear" w:fill="auto"/>
          <w:lang w:val="pt-BR"/>
        </w:rPr>
        <w:t>2023</w:t>
      </w:r>
      <w:r>
        <w:rPr>
          <w:rStyle w:val="45"/>
          <w:color w:val="000000" w:themeColor="text1"/>
          <w:sz w:val="22"/>
          <w:szCs w:val="22"/>
          <w:shd w:val="clear" w:fill="auto"/>
        </w:rPr>
        <w:t>, 051/</w:t>
      </w:r>
      <w:r>
        <w:rPr>
          <w:rStyle w:val="45"/>
          <w:color w:val="000000" w:themeColor="text1"/>
          <w:sz w:val="22"/>
          <w:szCs w:val="22"/>
          <w:shd w:val="clear" w:fill="auto"/>
          <w:lang w:val="pt-BR"/>
        </w:rPr>
        <w:t>2023</w:t>
      </w:r>
      <w:r>
        <w:rPr>
          <w:rStyle w:val="45"/>
          <w:color w:val="000000" w:themeColor="text1"/>
          <w:sz w:val="22"/>
          <w:szCs w:val="22"/>
          <w:shd w:val="clear" w:fill="auto"/>
        </w:rPr>
        <w:t>, 052/</w:t>
      </w:r>
      <w:r>
        <w:rPr>
          <w:rStyle w:val="45"/>
          <w:color w:val="000000" w:themeColor="text1"/>
          <w:sz w:val="22"/>
          <w:szCs w:val="22"/>
          <w:shd w:val="clear" w:fill="auto"/>
          <w:lang w:val="pt-BR"/>
        </w:rPr>
        <w:t>2023</w:t>
      </w:r>
      <w:r>
        <w:rPr>
          <w:rStyle w:val="45"/>
          <w:color w:val="000000" w:themeColor="text1"/>
          <w:sz w:val="22"/>
          <w:szCs w:val="22"/>
          <w:shd w:val="clear" w:fill="auto"/>
        </w:rPr>
        <w:t>, 053/</w:t>
      </w:r>
      <w:r>
        <w:rPr>
          <w:rStyle w:val="45"/>
          <w:color w:val="000000" w:themeColor="text1"/>
          <w:sz w:val="22"/>
          <w:szCs w:val="22"/>
          <w:shd w:val="clear" w:fill="auto"/>
          <w:lang w:val="pt-BR"/>
        </w:rPr>
        <w:t>2023</w:t>
      </w:r>
      <w:r>
        <w:rPr>
          <w:rStyle w:val="45"/>
          <w:color w:val="000000" w:themeColor="text1"/>
          <w:sz w:val="22"/>
          <w:szCs w:val="22"/>
          <w:shd w:val="clear" w:fill="auto"/>
        </w:rPr>
        <w:t>, 055/</w:t>
      </w:r>
      <w:r>
        <w:rPr>
          <w:rStyle w:val="45"/>
          <w:color w:val="000000" w:themeColor="text1"/>
          <w:sz w:val="22"/>
          <w:szCs w:val="22"/>
          <w:shd w:val="clear" w:fill="auto"/>
          <w:lang w:val="pt-BR"/>
        </w:rPr>
        <w:t>2023</w:t>
      </w:r>
      <w:r>
        <w:rPr>
          <w:rStyle w:val="45"/>
          <w:color w:val="000000" w:themeColor="text1"/>
          <w:sz w:val="22"/>
          <w:szCs w:val="22"/>
          <w:shd w:val="clear" w:fill="auto"/>
        </w:rPr>
        <w:t>, 055/</w:t>
      </w:r>
      <w:r>
        <w:rPr>
          <w:rStyle w:val="45"/>
          <w:color w:val="000000" w:themeColor="text1"/>
          <w:sz w:val="22"/>
          <w:szCs w:val="22"/>
          <w:shd w:val="clear" w:fill="auto"/>
          <w:lang w:val="pt-BR"/>
        </w:rPr>
        <w:t>2023</w:t>
      </w:r>
      <w:r>
        <w:rPr>
          <w:rStyle w:val="45"/>
          <w:color w:val="000000" w:themeColor="text1"/>
          <w:sz w:val="22"/>
          <w:szCs w:val="22"/>
          <w:shd w:val="clear" w:fill="auto"/>
        </w:rPr>
        <w:t>, 056/</w:t>
      </w:r>
      <w:r>
        <w:rPr>
          <w:rStyle w:val="45"/>
          <w:color w:val="000000" w:themeColor="text1"/>
          <w:sz w:val="22"/>
          <w:szCs w:val="22"/>
          <w:shd w:val="clear" w:fill="auto"/>
          <w:lang w:val="pt-BR"/>
        </w:rPr>
        <w:t>2023</w:t>
      </w:r>
      <w:r>
        <w:rPr>
          <w:rStyle w:val="45"/>
          <w:color w:val="000000" w:themeColor="text1"/>
          <w:sz w:val="22"/>
          <w:szCs w:val="22"/>
          <w:shd w:val="clear" w:fill="auto"/>
        </w:rPr>
        <w:t>, 057/</w:t>
      </w:r>
      <w:r>
        <w:rPr>
          <w:rStyle w:val="45"/>
          <w:color w:val="000000" w:themeColor="text1"/>
          <w:sz w:val="22"/>
          <w:szCs w:val="22"/>
          <w:shd w:val="clear" w:fill="auto"/>
          <w:lang w:val="pt-BR"/>
        </w:rPr>
        <w:t>2023</w:t>
      </w:r>
      <w:r>
        <w:rPr>
          <w:rStyle w:val="45"/>
          <w:color w:val="000000" w:themeColor="text1"/>
          <w:sz w:val="22"/>
          <w:szCs w:val="22"/>
          <w:shd w:val="clear" w:fill="auto"/>
        </w:rPr>
        <w:t>, 058/</w:t>
      </w:r>
      <w:r>
        <w:rPr>
          <w:rStyle w:val="45"/>
          <w:color w:val="000000" w:themeColor="text1"/>
          <w:sz w:val="22"/>
          <w:szCs w:val="22"/>
          <w:shd w:val="clear" w:fill="auto"/>
          <w:lang w:val="pt-BR"/>
        </w:rPr>
        <w:t>2023</w:t>
      </w:r>
      <w:r>
        <w:rPr>
          <w:rStyle w:val="45"/>
          <w:color w:val="000000" w:themeColor="text1"/>
          <w:sz w:val="22"/>
          <w:szCs w:val="22"/>
          <w:shd w:val="clear" w:fill="auto"/>
        </w:rPr>
        <w:t>, 059/</w:t>
      </w:r>
      <w:r>
        <w:rPr>
          <w:rStyle w:val="45"/>
          <w:color w:val="000000" w:themeColor="text1"/>
          <w:sz w:val="22"/>
          <w:szCs w:val="22"/>
          <w:shd w:val="clear" w:fill="auto"/>
          <w:lang w:val="pt-BR"/>
        </w:rPr>
        <w:t>2023</w:t>
      </w:r>
      <w:r>
        <w:rPr>
          <w:rStyle w:val="45"/>
          <w:color w:val="000000" w:themeColor="text1"/>
          <w:sz w:val="22"/>
          <w:szCs w:val="22"/>
          <w:shd w:val="clear" w:fill="auto"/>
        </w:rPr>
        <w:t>, 06</w:t>
      </w:r>
      <w:r>
        <w:rPr>
          <w:rStyle w:val="45"/>
          <w:color w:val="000000" w:themeColor="text1"/>
          <w:sz w:val="22"/>
          <w:szCs w:val="22"/>
          <w:shd w:val="clear" w:fill="auto"/>
          <w:lang w:val="pt-BR"/>
        </w:rPr>
        <w:t>2</w:t>
      </w:r>
      <w:r>
        <w:rPr>
          <w:rStyle w:val="45"/>
          <w:color w:val="000000" w:themeColor="text1"/>
          <w:sz w:val="22"/>
          <w:szCs w:val="22"/>
          <w:shd w:val="clear" w:fill="auto"/>
        </w:rPr>
        <w:t>/</w:t>
      </w:r>
      <w:r>
        <w:rPr>
          <w:rStyle w:val="45"/>
          <w:color w:val="000000" w:themeColor="text1"/>
          <w:sz w:val="22"/>
          <w:szCs w:val="22"/>
          <w:shd w:val="clear" w:fill="auto"/>
          <w:lang w:val="pt-BR"/>
        </w:rPr>
        <w:t xml:space="preserve">2023 </w:t>
      </w:r>
      <w:r>
        <w:rPr>
          <w:rStyle w:val="45"/>
          <w:color w:val="000000" w:themeColor="text1"/>
          <w:sz w:val="22"/>
          <w:szCs w:val="22"/>
          <w:shd w:val="clear" w:fill="auto"/>
        </w:rPr>
        <w:t>e 06</w:t>
      </w:r>
      <w:r>
        <w:rPr>
          <w:rStyle w:val="45"/>
          <w:color w:val="000000" w:themeColor="text1"/>
          <w:sz w:val="22"/>
          <w:szCs w:val="22"/>
          <w:shd w:val="clear" w:fill="auto"/>
          <w:lang w:val="pt-BR"/>
        </w:rPr>
        <w:t>4</w:t>
      </w:r>
      <w:r>
        <w:rPr>
          <w:rStyle w:val="45"/>
          <w:color w:val="000000" w:themeColor="text1"/>
          <w:sz w:val="22"/>
          <w:szCs w:val="22"/>
          <w:shd w:val="clear" w:fill="auto"/>
        </w:rPr>
        <w:t>/2024.</w:t>
      </w:r>
    </w:p>
    <w:p>
      <w:pPr>
        <w:pStyle w:val="130"/>
        <w:spacing w:before="120" w:beforeAutospacing="0" w:after="120" w:afterAutospacing="0"/>
        <w:ind w:firstLine="567"/>
        <w:jc w:val="both"/>
        <w:textAlignment w:val="baseline"/>
        <w:rPr>
          <w:rFonts w:ascii="Times New Roman" w:hAnsi="Times New Roman"/>
          <w:color w:val="000000" w:themeColor="text1"/>
          <w:sz w:val="22"/>
          <w:szCs w:val="22"/>
          <w:highlight w:val="none"/>
          <w:shd w:val="clear" w:fill="FFE994"/>
        </w:rPr>
      </w:pPr>
    </w:p>
    <w:p>
      <w:pPr>
        <w:pStyle w:val="130"/>
        <w:numPr>
          <w:ilvl w:val="0"/>
          <w:numId w:val="1"/>
        </w:numPr>
        <w:pBdr>
          <w:bottom w:val="single" w:color="000000" w:sz="8" w:space="1"/>
        </w:pBdr>
        <w:shd w:val="clear" w:color="auto" w:fill="BEBEBE" w:themeFill="background1" w:themeFillShade="BF"/>
        <w:spacing w:before="360" w:beforeAutospacing="0" w:after="120" w:afterAutospacing="0"/>
        <w:jc w:val="both"/>
        <w:textAlignment w:val="baseline"/>
      </w:pPr>
      <w:r>
        <w:rPr>
          <w:rStyle w:val="45"/>
          <w:b/>
          <w:bCs/>
          <w:sz w:val="22"/>
          <w:szCs w:val="22"/>
        </w:rPr>
        <w:t>SUMÁRIO</w:t>
      </w:r>
    </w:p>
    <w:sdt>
      <w:sdtPr>
        <w:id w:val="-1628542201"/>
        <w:docPartObj>
          <w:docPartGallery w:val="Table of Contents"/>
          <w:docPartUnique/>
        </w:docPartObj>
      </w:sdtPr>
      <w:sdtContent>
        <w:p>
          <w:pPr>
            <w:pStyle w:val="139"/>
            <w:spacing w:before="0" w:after="0" w:line="240" w:lineRule="auto"/>
            <w:ind w:left="0" w:firstLine="0"/>
            <w:rPr>
              <w:rFonts w:hint="default" w:ascii="Times New Roman" w:hAnsi="Times New Roman" w:cs="Times New Roman"/>
              <w:b/>
              <w:bCs/>
              <w:sz w:val="22"/>
              <w:szCs w:val="22"/>
            </w:rPr>
          </w:pPr>
        </w:p>
        <w:p>
          <w:pPr>
            <w:pStyle w:val="41"/>
            <w:tabs>
              <w:tab w:val="left" w:pos="440"/>
              <w:tab w:val="right" w:leader="dot" w:pos="8921"/>
            </w:tabs>
            <w:rPr>
              <w:rFonts w:hint="default" w:ascii="Times New Roman" w:hAnsi="Times New Roman" w:cs="Times New Roman"/>
              <w:b/>
              <w:bCs/>
              <w:sz w:val="22"/>
              <w:szCs w:val="22"/>
            </w:rPr>
          </w:pPr>
          <w:r>
            <w:rPr>
              <w:rFonts w:hint="default" w:ascii="Times New Roman" w:hAnsi="Times New Roman" w:cs="Times New Roman"/>
              <w:b/>
              <w:bCs/>
              <w:sz w:val="22"/>
              <w:szCs w:val="22"/>
            </w:rPr>
            <w:fldChar w:fldCharType="begin"/>
          </w:r>
          <w:r>
            <w:rPr>
              <w:rStyle w:val="126"/>
              <w:rFonts w:hint="default" w:ascii="Times New Roman" w:hAnsi="Times New Roman" w:cs="Times New Roman"/>
              <w:b/>
              <w:bCs/>
              <w:vanish w:val="0"/>
              <w:sz w:val="22"/>
              <w:szCs w:val="22"/>
            </w:rPr>
            <w:instrText xml:space="preserve"> TOC \z \o "1-3" \u \h</w:instrText>
          </w:r>
          <w:r>
            <w:rPr>
              <w:rStyle w:val="126"/>
              <w:rFonts w:hint="default" w:ascii="Times New Roman" w:hAnsi="Times New Roman" w:cs="Times New Roman"/>
              <w:b/>
              <w:bCs/>
              <w:vanish w:val="0"/>
              <w:sz w:val="22"/>
              <w:szCs w:val="22"/>
            </w:rPr>
            <w:fldChar w:fldCharType="separate"/>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"_Toc149517427" \h </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2.</w:t>
          </w:r>
          <w:r>
            <w:rPr>
              <w:rStyle w:val="126"/>
              <w:rFonts w:hint="default" w:ascii="Times New Roman" w:hAnsi="Times New Roman" w:cs="Times New Roman" w:eastAsiaTheme="minorEastAsia"/>
              <w:b/>
              <w:bCs/>
              <w:kern w:val="2"/>
              <w:sz w:val="22"/>
              <w:szCs w:val="22"/>
              <w:lang w:eastAsia="pt-BR"/>
              <w14:ligatures w14:val="standardContextual"/>
            </w:rPr>
            <w:tab/>
          </w:r>
          <w:r>
            <w:rPr>
              <w:rStyle w:val="126"/>
              <w:rFonts w:hint="default" w:ascii="Times New Roman" w:hAnsi="Times New Roman" w:cs="Times New Roman"/>
              <w:b/>
              <w:bCs/>
              <w:sz w:val="22"/>
              <w:szCs w:val="22"/>
            </w:rPr>
            <w:t>PUBLICIDADE</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_Toc149517427 \h</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ab/>
          </w:r>
          <w:r>
            <w:rPr>
              <w:rStyle w:val="126"/>
              <w:rFonts w:hint="default" w:ascii="Times New Roman" w:hAnsi="Times New Roman" w:cs="Times New Roman"/>
              <w:b/>
              <w:bCs/>
              <w:vanish w:val="0"/>
              <w:sz w:val="22"/>
              <w:szCs w:val="22"/>
            </w:rPr>
            <w:t>3</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p>
        <w:p>
          <w:pPr>
            <w:pStyle w:val="41"/>
            <w:tabs>
              <w:tab w:val="left" w:pos="440"/>
              <w:tab w:val="right" w:leader="dot" w:pos="8921"/>
            </w:tabs>
            <w:rPr>
              <w:rFonts w:hint="default" w:ascii="Times New Roman" w:hAnsi="Times New Roman" w:cs="Times New Roman"/>
              <w:b/>
              <w:bCs/>
              <w:sz w:val="22"/>
              <w:szCs w:val="22"/>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"_Toc149517428" \h </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3.</w:t>
          </w:r>
          <w:r>
            <w:rPr>
              <w:rStyle w:val="126"/>
              <w:rFonts w:hint="default" w:ascii="Times New Roman" w:hAnsi="Times New Roman" w:cs="Times New Roman" w:eastAsiaTheme="minorEastAsia"/>
              <w:b/>
              <w:bCs/>
              <w:kern w:val="2"/>
              <w:sz w:val="22"/>
              <w:szCs w:val="22"/>
              <w:lang w:eastAsia="pt-BR"/>
              <w14:ligatures w14:val="standardContextual"/>
            </w:rPr>
            <w:tab/>
          </w:r>
          <w:r>
            <w:rPr>
              <w:rStyle w:val="126"/>
              <w:rFonts w:hint="default" w:ascii="Times New Roman" w:hAnsi="Times New Roman" w:cs="Times New Roman"/>
              <w:b/>
              <w:bCs/>
              <w:sz w:val="22"/>
              <w:szCs w:val="22"/>
            </w:rPr>
            <w:t>PLATAFORMA ELETRÔNICA</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_Toc149517428 \h</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ab/>
          </w:r>
          <w:r>
            <w:rPr>
              <w:rStyle w:val="126"/>
              <w:rFonts w:hint="default" w:ascii="Times New Roman" w:hAnsi="Times New Roman" w:cs="Times New Roman"/>
              <w:b/>
              <w:bCs/>
              <w:vanish w:val="0"/>
              <w:sz w:val="22"/>
              <w:szCs w:val="22"/>
            </w:rPr>
            <w:t>3</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p>
        <w:p>
          <w:pPr>
            <w:pStyle w:val="41"/>
            <w:tabs>
              <w:tab w:val="left" w:pos="440"/>
              <w:tab w:val="right" w:leader="dot" w:pos="8921"/>
            </w:tabs>
            <w:rPr>
              <w:rFonts w:hint="default" w:ascii="Times New Roman" w:hAnsi="Times New Roman" w:cs="Times New Roman"/>
              <w:b/>
              <w:bCs/>
              <w:sz w:val="22"/>
              <w:szCs w:val="22"/>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"_Toc149517429" \h </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4.</w:t>
          </w:r>
          <w:r>
            <w:rPr>
              <w:rStyle w:val="126"/>
              <w:rFonts w:hint="default" w:ascii="Times New Roman" w:hAnsi="Times New Roman" w:cs="Times New Roman" w:eastAsiaTheme="minorEastAsia"/>
              <w:b/>
              <w:bCs/>
              <w:kern w:val="2"/>
              <w:sz w:val="22"/>
              <w:szCs w:val="22"/>
              <w:lang w:eastAsia="pt-BR"/>
              <w14:ligatures w14:val="standardContextual"/>
            </w:rPr>
            <w:tab/>
          </w:r>
          <w:r>
            <w:rPr>
              <w:rStyle w:val="126"/>
              <w:rFonts w:hint="default" w:ascii="Times New Roman" w:hAnsi="Times New Roman" w:cs="Times New Roman"/>
              <w:b/>
              <w:bCs/>
              <w:sz w:val="22"/>
              <w:szCs w:val="22"/>
            </w:rPr>
            <w:t>DATA E HORÁRIO</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_Toc149517429 \h</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ab/>
          </w:r>
          <w:r>
            <w:rPr>
              <w:rStyle w:val="126"/>
              <w:rFonts w:hint="default" w:ascii="Times New Roman" w:hAnsi="Times New Roman" w:cs="Times New Roman"/>
              <w:b/>
              <w:bCs/>
              <w:vanish w:val="0"/>
              <w:sz w:val="22"/>
              <w:szCs w:val="22"/>
            </w:rPr>
            <w:t>3</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p>
        <w:p>
          <w:pPr>
            <w:pStyle w:val="41"/>
            <w:tabs>
              <w:tab w:val="left" w:pos="440"/>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"_Toc149517430" \h </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5.</w:t>
          </w:r>
          <w:r>
            <w:rPr>
              <w:rStyle w:val="126"/>
              <w:rFonts w:hint="default" w:ascii="Times New Roman" w:hAnsi="Times New Roman" w:cs="Times New Roman" w:eastAsiaTheme="minorEastAsia"/>
              <w:b/>
              <w:bCs/>
              <w:kern w:val="2"/>
              <w:sz w:val="22"/>
              <w:szCs w:val="22"/>
              <w:lang w:eastAsia="pt-BR"/>
              <w14:ligatures w14:val="standardContextual"/>
            </w:rPr>
            <w:tab/>
          </w:r>
          <w:r>
            <w:rPr>
              <w:rStyle w:val="126"/>
              <w:rFonts w:hint="default" w:ascii="Times New Roman" w:hAnsi="Times New Roman" w:cs="Times New Roman"/>
              <w:b/>
              <w:bCs/>
              <w:sz w:val="22"/>
              <w:szCs w:val="22"/>
            </w:rPr>
            <w:t>AGENTE DE CONTRAÇÃO</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_Toc149517430 \h</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ab/>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4</w:t>
          </w:r>
        </w:p>
        <w:p>
          <w:pPr>
            <w:pStyle w:val="41"/>
            <w:tabs>
              <w:tab w:val="left" w:pos="440"/>
              <w:tab w:val="right" w:leader="dot" w:pos="8921"/>
            </w:tabs>
            <w:rPr>
              <w:rFonts w:hint="default" w:ascii="Times New Roman" w:hAnsi="Times New Roman" w:cs="Times New Roman"/>
              <w:b/>
              <w:bCs/>
              <w:sz w:val="22"/>
              <w:szCs w:val="22"/>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"_Toc149517431" \h </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6.</w:t>
          </w:r>
          <w:r>
            <w:rPr>
              <w:rStyle w:val="126"/>
              <w:rFonts w:hint="default" w:ascii="Times New Roman" w:hAnsi="Times New Roman" w:cs="Times New Roman" w:eastAsiaTheme="minorEastAsia"/>
              <w:b/>
              <w:bCs/>
              <w:kern w:val="2"/>
              <w:sz w:val="22"/>
              <w:szCs w:val="22"/>
              <w:lang w:eastAsia="pt-BR"/>
              <w14:ligatures w14:val="standardContextual"/>
            </w:rPr>
            <w:tab/>
          </w:r>
          <w:r>
            <w:rPr>
              <w:rStyle w:val="126"/>
              <w:rFonts w:hint="default" w:ascii="Times New Roman" w:hAnsi="Times New Roman" w:cs="Times New Roman"/>
              <w:b/>
              <w:bCs/>
              <w:sz w:val="22"/>
              <w:szCs w:val="22"/>
            </w:rPr>
            <w:t>OBJETO</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_Toc149517431 \h</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ab/>
          </w:r>
          <w:r>
            <w:rPr>
              <w:rStyle w:val="126"/>
              <w:rFonts w:hint="default" w:ascii="Times New Roman" w:hAnsi="Times New Roman" w:cs="Times New Roman"/>
              <w:b/>
              <w:bCs/>
              <w:vanish w:val="0"/>
              <w:sz w:val="22"/>
              <w:szCs w:val="22"/>
            </w:rPr>
            <w:t>4</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p>
        <w:p>
          <w:pPr>
            <w:pStyle w:val="41"/>
            <w:tabs>
              <w:tab w:val="left" w:pos="440"/>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"_Toc149517432" \h </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7.</w:t>
          </w:r>
          <w:r>
            <w:rPr>
              <w:rStyle w:val="126"/>
              <w:rFonts w:hint="default" w:ascii="Times New Roman" w:hAnsi="Times New Roman" w:cs="Times New Roman" w:eastAsiaTheme="minorEastAsia"/>
              <w:b/>
              <w:bCs/>
              <w:kern w:val="2"/>
              <w:sz w:val="22"/>
              <w:szCs w:val="22"/>
              <w:lang w:eastAsia="pt-BR"/>
              <w14:ligatures w14:val="standardContextual"/>
            </w:rPr>
            <w:tab/>
          </w:r>
          <w:r>
            <w:rPr>
              <w:rStyle w:val="126"/>
              <w:rFonts w:hint="default" w:ascii="Times New Roman" w:hAnsi="Times New Roman" w:cs="Times New Roman"/>
              <w:b/>
              <w:bCs/>
              <w:sz w:val="22"/>
              <w:szCs w:val="22"/>
            </w:rPr>
            <w:t>CONDIÇÕES PARA PARTICIPAÇÃO</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_Toc149517432 \h</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ab/>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6</w:t>
          </w:r>
        </w:p>
        <w:p>
          <w:pPr>
            <w:pStyle w:val="41"/>
            <w:tabs>
              <w:tab w:val="left" w:pos="440"/>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"_Toc149517433" \h </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8.</w:t>
          </w:r>
          <w:r>
            <w:rPr>
              <w:rStyle w:val="126"/>
              <w:rFonts w:hint="default" w:ascii="Times New Roman" w:hAnsi="Times New Roman" w:cs="Times New Roman" w:eastAsiaTheme="minorEastAsia"/>
              <w:b/>
              <w:bCs/>
              <w:kern w:val="2"/>
              <w:sz w:val="22"/>
              <w:szCs w:val="22"/>
              <w:lang w:eastAsia="pt-BR"/>
              <w14:ligatures w14:val="standardContextual"/>
            </w:rPr>
            <w:tab/>
          </w:r>
          <w:r>
            <w:rPr>
              <w:rStyle w:val="126"/>
              <w:rFonts w:hint="default" w:ascii="Times New Roman" w:hAnsi="Times New Roman" w:cs="Times New Roman"/>
              <w:b/>
              <w:bCs/>
              <w:sz w:val="22"/>
              <w:szCs w:val="22"/>
            </w:rPr>
            <w:t>CONSÓRCIO</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_Toc149517433 \h</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ab/>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7</w:t>
          </w:r>
        </w:p>
        <w:p>
          <w:pPr>
            <w:pStyle w:val="41"/>
            <w:tabs>
              <w:tab w:val="left" w:pos="440"/>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"_Toc149517434" \h </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9.</w:t>
          </w:r>
          <w:r>
            <w:rPr>
              <w:rStyle w:val="126"/>
              <w:rFonts w:hint="default" w:ascii="Times New Roman" w:hAnsi="Times New Roman" w:cs="Times New Roman" w:eastAsiaTheme="minorEastAsia"/>
              <w:b/>
              <w:bCs/>
              <w:kern w:val="2"/>
              <w:sz w:val="22"/>
              <w:szCs w:val="22"/>
              <w:lang w:eastAsia="pt-BR"/>
              <w14:ligatures w14:val="standardContextual"/>
            </w:rPr>
            <w:tab/>
          </w:r>
          <w:r>
            <w:rPr>
              <w:rStyle w:val="126"/>
              <w:rFonts w:hint="default" w:ascii="Times New Roman" w:hAnsi="Times New Roman" w:cs="Times New Roman"/>
              <w:b/>
              <w:bCs/>
              <w:sz w:val="22"/>
              <w:szCs w:val="22"/>
            </w:rPr>
            <w:t>COOPERATIVA</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_Toc149517434 \h</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ab/>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8</w:t>
          </w:r>
        </w:p>
        <w:p>
          <w:pPr>
            <w:pStyle w:val="41"/>
            <w:tabs>
              <w:tab w:val="left" w:pos="660"/>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"_Toc149517435" \h </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10.</w:t>
          </w:r>
          <w:r>
            <w:rPr>
              <w:rStyle w:val="126"/>
              <w:rFonts w:hint="default" w:ascii="Times New Roman" w:hAnsi="Times New Roman" w:cs="Times New Roman" w:eastAsiaTheme="minorEastAsia"/>
              <w:b/>
              <w:bCs/>
              <w:kern w:val="2"/>
              <w:sz w:val="22"/>
              <w:szCs w:val="22"/>
              <w:lang w:eastAsia="pt-BR"/>
              <w14:ligatures w14:val="standardContextual"/>
            </w:rPr>
            <w:tab/>
          </w:r>
          <w:r>
            <w:rPr>
              <w:rStyle w:val="126"/>
              <w:rFonts w:hint="default" w:ascii="Times New Roman" w:hAnsi="Times New Roman" w:cs="Times New Roman"/>
              <w:b/>
              <w:bCs/>
              <w:sz w:val="22"/>
              <w:szCs w:val="22"/>
            </w:rPr>
            <w:t>IMPUGNAÇÃO E ESCLARECIMENTOS</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_Toc149517435 \h</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ab/>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8</w:t>
          </w:r>
        </w:p>
        <w:p>
          <w:pPr>
            <w:pStyle w:val="41"/>
            <w:tabs>
              <w:tab w:val="left" w:pos="660"/>
              <w:tab w:val="right" w:leader="dot" w:pos="8921"/>
            </w:tabs>
            <w:rPr>
              <w:rFonts w:hint="default" w:ascii="Times New Roman" w:hAnsi="Times New Roman" w:cs="Times New Roman"/>
              <w:b/>
              <w:bCs/>
              <w:sz w:val="22"/>
              <w:szCs w:val="22"/>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"_Toc149517436" \h </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11.</w:t>
          </w:r>
          <w:r>
            <w:rPr>
              <w:rStyle w:val="126"/>
              <w:rFonts w:hint="default" w:ascii="Times New Roman" w:hAnsi="Times New Roman" w:cs="Times New Roman" w:eastAsiaTheme="minorEastAsia"/>
              <w:b/>
              <w:bCs/>
              <w:kern w:val="2"/>
              <w:sz w:val="22"/>
              <w:szCs w:val="22"/>
              <w:lang w:eastAsia="pt-BR"/>
              <w14:ligatures w14:val="standardContextual"/>
            </w:rPr>
            <w:tab/>
          </w:r>
          <w:r>
            <w:rPr>
              <w:rStyle w:val="126"/>
              <w:rFonts w:hint="default" w:ascii="Times New Roman" w:hAnsi="Times New Roman" w:cs="Times New Roman"/>
              <w:b/>
              <w:bCs/>
              <w:sz w:val="22"/>
              <w:szCs w:val="22"/>
            </w:rPr>
            <w:t>CREDENCIAMENTO</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_Toc149517436 \h</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ab/>
          </w:r>
          <w:r>
            <w:rPr>
              <w:rStyle w:val="126"/>
              <w:rFonts w:hint="default" w:ascii="Times New Roman" w:hAnsi="Times New Roman" w:cs="Times New Roman"/>
              <w:b/>
              <w:bCs/>
              <w:vanish w:val="0"/>
              <w:sz w:val="22"/>
              <w:szCs w:val="22"/>
            </w:rPr>
            <w:t>8</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p>
        <w:p>
          <w:pPr>
            <w:pStyle w:val="41"/>
            <w:tabs>
              <w:tab w:val="left" w:pos="660"/>
              <w:tab w:val="right" w:leader="dot" w:pos="8921"/>
            </w:tabs>
            <w:rPr>
              <w:rFonts w:hint="default" w:ascii="Times New Roman" w:hAnsi="Times New Roman" w:cs="Times New Roman"/>
              <w:b/>
              <w:bCs/>
              <w:sz w:val="22"/>
              <w:szCs w:val="22"/>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"_Toc149517437" \h </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12.</w:t>
          </w:r>
          <w:r>
            <w:rPr>
              <w:rStyle w:val="126"/>
              <w:rFonts w:hint="default" w:ascii="Times New Roman" w:hAnsi="Times New Roman" w:cs="Times New Roman" w:eastAsiaTheme="minorEastAsia"/>
              <w:b/>
              <w:bCs/>
              <w:kern w:val="2"/>
              <w:sz w:val="22"/>
              <w:szCs w:val="22"/>
              <w:lang w:eastAsia="pt-BR"/>
              <w14:ligatures w14:val="standardContextual"/>
            </w:rPr>
            <w:tab/>
          </w:r>
          <w:r>
            <w:rPr>
              <w:rStyle w:val="126"/>
              <w:rFonts w:hint="default" w:ascii="Times New Roman" w:hAnsi="Times New Roman" w:cs="Times New Roman"/>
              <w:b/>
              <w:bCs/>
              <w:sz w:val="22"/>
              <w:szCs w:val="22"/>
            </w:rPr>
            <w:t>CADASTRAMENTO DA PROPOSTA</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_Toc149517437 \h</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ab/>
          </w:r>
          <w:r>
            <w:rPr>
              <w:rStyle w:val="126"/>
              <w:rFonts w:hint="default" w:ascii="Times New Roman" w:hAnsi="Times New Roman" w:cs="Times New Roman"/>
              <w:b/>
              <w:bCs/>
              <w:vanish w:val="0"/>
              <w:sz w:val="22"/>
              <w:szCs w:val="22"/>
            </w:rPr>
            <w:t>9</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p>
        <w:p>
          <w:pPr>
            <w:pStyle w:val="41"/>
            <w:tabs>
              <w:tab w:val="left" w:pos="660"/>
              <w:tab w:val="right" w:leader="dot" w:pos="8921"/>
            </w:tabs>
            <w:rPr>
              <w:rFonts w:hint="default" w:ascii="Times New Roman" w:hAnsi="Times New Roman" w:cs="Times New Roman"/>
              <w:b/>
              <w:bCs/>
              <w:sz w:val="22"/>
              <w:szCs w:val="22"/>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"_Toc149517438" \h </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13.</w:t>
          </w:r>
          <w:r>
            <w:rPr>
              <w:rStyle w:val="126"/>
              <w:rFonts w:hint="default" w:ascii="Times New Roman" w:hAnsi="Times New Roman" w:cs="Times New Roman" w:eastAsiaTheme="minorEastAsia"/>
              <w:b/>
              <w:bCs/>
              <w:kern w:val="2"/>
              <w:sz w:val="22"/>
              <w:szCs w:val="22"/>
              <w:lang w:eastAsia="pt-BR"/>
              <w14:ligatures w14:val="standardContextual"/>
            </w:rPr>
            <w:tab/>
          </w:r>
          <w:r>
            <w:rPr>
              <w:rStyle w:val="126"/>
              <w:rFonts w:hint="default" w:ascii="Times New Roman" w:hAnsi="Times New Roman" w:cs="Times New Roman"/>
              <w:b/>
              <w:bCs/>
              <w:sz w:val="22"/>
              <w:szCs w:val="22"/>
            </w:rPr>
            <w:t>CADASTRAMENTO DOS DOCUMENTOS DE HABILITAÇÃO</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_Toc149517438 \h</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ab/>
          </w:r>
          <w:r>
            <w:rPr>
              <w:rStyle w:val="126"/>
              <w:rFonts w:hint="default" w:ascii="Times New Roman" w:hAnsi="Times New Roman" w:cs="Times New Roman"/>
              <w:b/>
              <w:bCs/>
              <w:vanish w:val="0"/>
              <w:sz w:val="22"/>
              <w:szCs w:val="22"/>
            </w:rPr>
            <w:t>10</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p>
        <w:p>
          <w:pPr>
            <w:jc w:val="both"/>
            <w:rPr>
              <w:rFonts w:hint="default" w:ascii="Times New Roman" w:hAnsi="Times New Roman" w:cs="Times New Roman"/>
              <w:b/>
              <w:bCs/>
              <w:sz w:val="22"/>
              <w:szCs w:val="22"/>
              <w:lang w:val="pt-BR"/>
            </w:rPr>
          </w:pPr>
          <w:r>
            <w:rPr>
              <w:rFonts w:hint="default" w:ascii="Times New Roman" w:hAnsi="Times New Roman" w:cs="Times New Roman"/>
              <w:b/>
              <w:bCs/>
              <w:sz w:val="22"/>
              <w:szCs w:val="22"/>
              <w:lang w:val="pt-BR"/>
            </w:rPr>
            <w:t>14.    ABERTURA DA SESSÃO.......................................................................................................11</w:t>
          </w:r>
        </w:p>
        <w:p>
          <w:pPr>
            <w:pStyle w:val="41"/>
            <w:tabs>
              <w:tab w:val="left" w:pos="660"/>
              <w:tab w:val="right" w:leader="dot" w:pos="8921"/>
            </w:tabs>
            <w:rPr>
              <w:rFonts w:hint="default" w:ascii="Times New Roman" w:hAnsi="Times New Roman" w:cs="Times New Roman"/>
              <w:b/>
              <w:bCs/>
              <w:sz w:val="22"/>
              <w:szCs w:val="22"/>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"_Toc149517439" \h </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15.</w:t>
          </w:r>
          <w:r>
            <w:rPr>
              <w:rStyle w:val="126"/>
              <w:rFonts w:hint="default" w:ascii="Times New Roman" w:hAnsi="Times New Roman" w:cs="Times New Roman" w:eastAsiaTheme="minorEastAsia"/>
              <w:b/>
              <w:bCs/>
              <w:kern w:val="2"/>
              <w:sz w:val="22"/>
              <w:szCs w:val="22"/>
              <w:lang w:eastAsia="pt-BR"/>
              <w14:ligatures w14:val="standardContextual"/>
            </w:rPr>
            <w:tab/>
          </w:r>
          <w:r>
            <w:rPr>
              <w:rStyle w:val="126"/>
              <w:rFonts w:hint="default" w:ascii="Times New Roman" w:hAnsi="Times New Roman" w:cs="Times New Roman"/>
              <w:b/>
              <w:bCs/>
              <w:sz w:val="22"/>
              <w:szCs w:val="22"/>
            </w:rPr>
            <w:t>FORMULAÇÃO DE LANCES</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_Toc149517439 \h</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ab/>
          </w:r>
          <w:r>
            <w:rPr>
              <w:rStyle w:val="126"/>
              <w:rFonts w:hint="default" w:ascii="Times New Roman" w:hAnsi="Times New Roman" w:cs="Times New Roman"/>
              <w:b/>
              <w:bCs/>
              <w:vanish w:val="0"/>
              <w:sz w:val="22"/>
              <w:szCs w:val="22"/>
            </w:rPr>
            <w:t>11</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p>
        <w:p>
          <w:pPr>
            <w:pStyle w:val="41"/>
            <w:tabs>
              <w:tab w:val="left" w:pos="660"/>
              <w:tab w:val="right" w:leader="dot" w:pos="8921"/>
            </w:tabs>
            <w:rPr>
              <w:rFonts w:hint="default" w:ascii="Times New Roman" w:hAnsi="Times New Roman" w:cs="Times New Roman"/>
              <w:b/>
              <w:bCs/>
              <w:sz w:val="22"/>
              <w:szCs w:val="22"/>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"_Toc149517440" \h </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16.</w:t>
          </w:r>
          <w:r>
            <w:rPr>
              <w:rStyle w:val="126"/>
              <w:rFonts w:hint="default" w:ascii="Times New Roman" w:hAnsi="Times New Roman" w:cs="Times New Roman" w:eastAsiaTheme="minorEastAsia"/>
              <w:b/>
              <w:bCs/>
              <w:kern w:val="2"/>
              <w:sz w:val="22"/>
              <w:szCs w:val="22"/>
              <w:lang w:eastAsia="pt-BR"/>
              <w14:ligatures w14:val="standardContextual"/>
            </w:rPr>
            <w:tab/>
          </w:r>
          <w:r>
            <w:rPr>
              <w:rStyle w:val="126"/>
              <w:rFonts w:hint="default" w:ascii="Times New Roman" w:hAnsi="Times New Roman" w:cs="Times New Roman"/>
              <w:b/>
              <w:bCs/>
              <w:sz w:val="22"/>
              <w:szCs w:val="22"/>
            </w:rPr>
            <w:t>DESCONEXÃO DO(A) Pregoeiro</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_Toc149517440 \h</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ab/>
          </w:r>
          <w:r>
            <w:rPr>
              <w:rStyle w:val="126"/>
              <w:rFonts w:hint="default" w:ascii="Times New Roman" w:hAnsi="Times New Roman" w:cs="Times New Roman"/>
              <w:b/>
              <w:bCs/>
              <w:vanish w:val="0"/>
              <w:sz w:val="22"/>
              <w:szCs w:val="22"/>
            </w:rPr>
            <w:t>12</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p>
        <w:p>
          <w:pPr>
            <w:pStyle w:val="41"/>
            <w:tabs>
              <w:tab w:val="left" w:pos="660"/>
              <w:tab w:val="right" w:leader="dot" w:pos="8921"/>
            </w:tabs>
            <w:rPr>
              <w:rFonts w:hint="default" w:ascii="Times New Roman" w:hAnsi="Times New Roman" w:cs="Times New Roman"/>
              <w:b/>
              <w:bCs/>
              <w:sz w:val="22"/>
              <w:szCs w:val="22"/>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"_Toc149517441" \h </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17.</w:t>
          </w:r>
          <w:r>
            <w:rPr>
              <w:rStyle w:val="126"/>
              <w:rFonts w:hint="default" w:ascii="Times New Roman" w:hAnsi="Times New Roman" w:cs="Times New Roman" w:eastAsiaTheme="minorEastAsia"/>
              <w:b/>
              <w:bCs/>
              <w:kern w:val="2"/>
              <w:sz w:val="22"/>
              <w:szCs w:val="22"/>
              <w:lang w:eastAsia="pt-BR"/>
              <w14:ligatures w14:val="standardContextual"/>
            </w:rPr>
            <w:tab/>
          </w:r>
          <w:r>
            <w:rPr>
              <w:rStyle w:val="126"/>
              <w:rFonts w:hint="default" w:ascii="Times New Roman" w:hAnsi="Times New Roman" w:cs="Times New Roman"/>
              <w:b/>
              <w:bCs/>
              <w:sz w:val="22"/>
              <w:szCs w:val="22"/>
            </w:rPr>
            <w:t>BENEFÍCIOS ÀS MICROEMPRESAS E EMPRESAS DE PEQUENO PORTE</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_Toc149517441 \h</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ab/>
          </w:r>
          <w:r>
            <w:rPr>
              <w:rStyle w:val="126"/>
              <w:rFonts w:hint="default" w:ascii="Times New Roman" w:hAnsi="Times New Roman" w:cs="Times New Roman"/>
              <w:b/>
              <w:bCs/>
              <w:vanish w:val="0"/>
              <w:sz w:val="22"/>
              <w:szCs w:val="22"/>
            </w:rPr>
            <w:t>12</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p>
        <w:p>
          <w:pPr>
            <w:pStyle w:val="41"/>
            <w:tabs>
              <w:tab w:val="left" w:pos="660"/>
              <w:tab w:val="right" w:leader="dot" w:pos="8921"/>
            </w:tabs>
            <w:rPr>
              <w:rFonts w:hint="default" w:ascii="Times New Roman" w:hAnsi="Times New Roman" w:cs="Times New Roman"/>
              <w:b/>
              <w:bCs/>
              <w:sz w:val="22"/>
              <w:szCs w:val="22"/>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"_Toc149517442" \h </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18.</w:t>
          </w:r>
          <w:r>
            <w:rPr>
              <w:rStyle w:val="126"/>
              <w:rFonts w:hint="default" w:ascii="Times New Roman" w:hAnsi="Times New Roman" w:cs="Times New Roman" w:eastAsiaTheme="minorEastAsia"/>
              <w:b/>
              <w:bCs/>
              <w:kern w:val="2"/>
              <w:sz w:val="22"/>
              <w:szCs w:val="22"/>
              <w:lang w:eastAsia="pt-BR"/>
              <w14:ligatures w14:val="standardContextual"/>
            </w:rPr>
            <w:tab/>
          </w:r>
          <w:r>
            <w:rPr>
              <w:rStyle w:val="126"/>
              <w:rFonts w:hint="default" w:ascii="Times New Roman" w:hAnsi="Times New Roman" w:cs="Times New Roman"/>
              <w:b/>
              <w:bCs/>
              <w:sz w:val="22"/>
              <w:szCs w:val="22"/>
            </w:rPr>
            <w:t>EMPATE FICTO</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_Toc149517442 \h</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ab/>
          </w:r>
          <w:r>
            <w:rPr>
              <w:rStyle w:val="126"/>
              <w:rFonts w:hint="default" w:ascii="Times New Roman" w:hAnsi="Times New Roman" w:cs="Times New Roman"/>
              <w:b/>
              <w:bCs/>
              <w:vanish w:val="0"/>
              <w:sz w:val="22"/>
              <w:szCs w:val="22"/>
            </w:rPr>
            <w:t>14</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p>
        <w:p>
          <w:pPr>
            <w:pStyle w:val="41"/>
            <w:tabs>
              <w:tab w:val="left" w:pos="660"/>
              <w:tab w:val="right" w:leader="dot" w:pos="8921"/>
            </w:tabs>
            <w:rPr>
              <w:rFonts w:hint="default" w:ascii="Times New Roman" w:hAnsi="Times New Roman" w:cs="Times New Roman"/>
              <w:b/>
              <w:bCs/>
              <w:sz w:val="22"/>
              <w:szCs w:val="22"/>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"_Toc149517443" \h </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19.</w:t>
          </w:r>
          <w:r>
            <w:rPr>
              <w:rStyle w:val="126"/>
              <w:rFonts w:hint="default" w:ascii="Times New Roman" w:hAnsi="Times New Roman" w:cs="Times New Roman" w:eastAsiaTheme="minorEastAsia"/>
              <w:b/>
              <w:bCs/>
              <w:kern w:val="2"/>
              <w:sz w:val="22"/>
              <w:szCs w:val="22"/>
              <w:lang w:eastAsia="pt-BR"/>
              <w14:ligatures w14:val="standardContextual"/>
            </w:rPr>
            <w:tab/>
          </w:r>
          <w:r>
            <w:rPr>
              <w:rStyle w:val="126"/>
              <w:rFonts w:hint="default" w:ascii="Times New Roman" w:hAnsi="Times New Roman" w:cs="Times New Roman"/>
              <w:b/>
              <w:bCs/>
              <w:sz w:val="22"/>
              <w:szCs w:val="22"/>
            </w:rPr>
            <w:t>EMPATE REAL</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_Toc149517443 \h</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ab/>
          </w:r>
          <w:r>
            <w:rPr>
              <w:rStyle w:val="126"/>
              <w:rFonts w:hint="default" w:ascii="Times New Roman" w:hAnsi="Times New Roman" w:cs="Times New Roman"/>
              <w:b/>
              <w:bCs/>
              <w:vanish w:val="0"/>
              <w:sz w:val="22"/>
              <w:szCs w:val="22"/>
            </w:rPr>
            <w:t>14</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p>
        <w:p>
          <w:pPr>
            <w:jc w:val="both"/>
            <w:rPr>
              <w:rFonts w:hint="default" w:ascii="Times New Roman" w:hAnsi="Times New Roman" w:cs="Times New Roman"/>
              <w:b/>
              <w:bCs/>
              <w:sz w:val="22"/>
              <w:szCs w:val="22"/>
              <w:lang w:val="pt-BR"/>
            </w:rPr>
          </w:pPr>
          <w:r>
            <w:rPr>
              <w:rFonts w:hint="default" w:ascii="Times New Roman" w:hAnsi="Times New Roman" w:cs="Times New Roman"/>
              <w:b/>
              <w:bCs/>
              <w:sz w:val="22"/>
              <w:szCs w:val="22"/>
              <w:lang w:val="pt-BR"/>
            </w:rPr>
            <w:t xml:space="preserve">20. </w:t>
          </w:r>
          <w:r>
            <w:rPr>
              <w:rStyle w:val="45"/>
              <w:rFonts w:hint="default" w:ascii="Times New Roman" w:hAnsi="Times New Roman" w:cs="Times New Roman"/>
              <w:b/>
              <w:bCs/>
              <w:sz w:val="22"/>
              <w:szCs w:val="22"/>
            </w:rPr>
            <w:t>CONFORMIDADE DA PROPOSTA CLASSIFICADA EM PRIMEIRO LUGAR</w:t>
          </w:r>
          <w:r>
            <w:rPr>
              <w:rStyle w:val="45"/>
              <w:rFonts w:hint="default" w:ascii="Times New Roman" w:hAnsi="Times New Roman" w:cs="Times New Roman"/>
              <w:b/>
              <w:bCs/>
              <w:sz w:val="22"/>
              <w:szCs w:val="22"/>
              <w:lang w:val="pt-BR"/>
            </w:rPr>
            <w:t>...............................................................................................................................................14</w:t>
          </w:r>
        </w:p>
        <w:p>
          <w:pPr>
            <w:rPr>
              <w:rFonts w:hint="default" w:ascii="Times New Roman" w:hAnsi="Times New Roman" w:cs="Times New Roman"/>
              <w:b/>
              <w:bCs/>
              <w:sz w:val="22"/>
              <w:szCs w:val="22"/>
              <w:lang w:val="pt-BR"/>
            </w:rPr>
          </w:pPr>
          <w:r>
            <w:rPr>
              <w:rFonts w:hint="default" w:ascii="Times New Roman" w:hAnsi="Times New Roman" w:cs="Times New Roman"/>
              <w:b/>
              <w:bCs/>
              <w:sz w:val="22"/>
              <w:szCs w:val="22"/>
              <w:lang w:val="pt-BR"/>
            </w:rPr>
            <w:t>21.       NEGOCIAÇÃO......................................................................................................................15</w:t>
          </w:r>
        </w:p>
        <w:p>
          <w:pPr>
            <w:pStyle w:val="41"/>
            <w:tabs>
              <w:tab w:val="left" w:pos="660"/>
              <w:tab w:val="right" w:leader="dot" w:pos="8921"/>
            </w:tabs>
            <w:rPr>
              <w:rFonts w:hint="default" w:ascii="Times New Roman" w:hAnsi="Times New Roman" w:cs="Times New Roman"/>
              <w:b/>
              <w:bCs/>
              <w:sz w:val="22"/>
              <w:szCs w:val="22"/>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"_Toc149517444" \h </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22.</w:t>
          </w:r>
          <w:r>
            <w:rPr>
              <w:rStyle w:val="126"/>
              <w:rFonts w:hint="default" w:ascii="Times New Roman" w:hAnsi="Times New Roman" w:cs="Times New Roman" w:eastAsiaTheme="minorEastAsia"/>
              <w:b/>
              <w:bCs/>
              <w:kern w:val="2"/>
              <w:sz w:val="22"/>
              <w:szCs w:val="22"/>
              <w:lang w:eastAsia="pt-BR"/>
              <w14:ligatures w14:val="standardContextual"/>
            </w:rPr>
            <w:tab/>
          </w:r>
          <w:r>
            <w:rPr>
              <w:rStyle w:val="126"/>
              <w:rFonts w:hint="default" w:ascii="Times New Roman" w:hAnsi="Times New Roman" w:cs="Times New Roman"/>
              <w:b/>
              <w:bCs/>
              <w:sz w:val="22"/>
              <w:szCs w:val="22"/>
            </w:rPr>
            <w:t>DESCLASSIFICAÇÃO DE PROPOSTA</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_Toc149517444 \h</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ab/>
          </w:r>
          <w:r>
            <w:rPr>
              <w:rStyle w:val="126"/>
              <w:rFonts w:hint="default" w:ascii="Times New Roman" w:hAnsi="Times New Roman" w:cs="Times New Roman"/>
              <w:b/>
              <w:bCs/>
              <w:vanish w:val="0"/>
              <w:sz w:val="22"/>
              <w:szCs w:val="22"/>
            </w:rPr>
            <w:t>15</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p>
        <w:p>
          <w:pPr>
            <w:pStyle w:val="41"/>
            <w:tabs>
              <w:tab w:val="left" w:pos="660"/>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"_Toc149517445" \h </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23.</w:t>
          </w:r>
          <w:r>
            <w:rPr>
              <w:rStyle w:val="126"/>
              <w:rFonts w:hint="default" w:ascii="Times New Roman" w:hAnsi="Times New Roman" w:cs="Times New Roman" w:eastAsiaTheme="minorEastAsia"/>
              <w:b/>
              <w:bCs/>
              <w:kern w:val="2"/>
              <w:sz w:val="22"/>
              <w:szCs w:val="22"/>
              <w:lang w:eastAsia="pt-BR"/>
              <w14:ligatures w14:val="standardContextual"/>
            </w:rPr>
            <w:tab/>
          </w:r>
          <w:r>
            <w:rPr>
              <w:rStyle w:val="126"/>
              <w:rFonts w:hint="default" w:ascii="Times New Roman" w:hAnsi="Times New Roman" w:cs="Times New Roman"/>
              <w:b/>
              <w:bCs/>
              <w:sz w:val="22"/>
              <w:szCs w:val="22"/>
            </w:rPr>
            <w:t>INEXEQUIBILIDADE DE PROPOSTA</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_Toc149517445 \h</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ab/>
          </w:r>
          <w:r>
            <w:rPr>
              <w:rStyle w:val="126"/>
              <w:rFonts w:hint="default" w:ascii="Times New Roman" w:hAnsi="Times New Roman" w:cs="Times New Roman"/>
              <w:b/>
              <w:bCs/>
              <w:vanish w:val="0"/>
              <w:sz w:val="22"/>
              <w:szCs w:val="22"/>
            </w:rPr>
            <w:t>1</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5</w:t>
          </w:r>
        </w:p>
        <w:p>
          <w:pPr>
            <w:pStyle w:val="41"/>
            <w:tabs>
              <w:tab w:val="left" w:pos="660"/>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"_Toc149517446" \h </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24.</w:t>
          </w:r>
          <w:r>
            <w:rPr>
              <w:rStyle w:val="126"/>
              <w:rFonts w:hint="default" w:ascii="Times New Roman" w:hAnsi="Times New Roman" w:cs="Times New Roman" w:eastAsiaTheme="minorEastAsia"/>
              <w:b/>
              <w:bCs/>
              <w:kern w:val="2"/>
              <w:sz w:val="22"/>
              <w:szCs w:val="22"/>
              <w:lang w:eastAsia="pt-BR"/>
              <w14:ligatures w14:val="standardContextual"/>
            </w:rPr>
            <w:tab/>
          </w:r>
          <w:r>
            <w:rPr>
              <w:rStyle w:val="126"/>
              <w:rFonts w:hint="default" w:ascii="Times New Roman" w:hAnsi="Times New Roman" w:cs="Times New Roman"/>
              <w:b/>
              <w:bCs/>
              <w:sz w:val="22"/>
              <w:szCs w:val="22"/>
            </w:rPr>
            <w:t>PROPOSTA CLASSIFICADA EM PRIMEIRO LUGAR</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_Toc149517446 \h</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ab/>
          </w:r>
          <w:r>
            <w:rPr>
              <w:rStyle w:val="126"/>
              <w:rFonts w:hint="default" w:ascii="Times New Roman" w:hAnsi="Times New Roman" w:cs="Times New Roman"/>
              <w:b/>
              <w:bCs/>
              <w:vanish w:val="0"/>
              <w:sz w:val="22"/>
              <w:szCs w:val="22"/>
            </w:rPr>
            <w:t>1</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6</w:t>
          </w:r>
        </w:p>
        <w:p>
          <w:pPr>
            <w:pStyle w:val="41"/>
            <w:tabs>
              <w:tab w:val="left" w:pos="660"/>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"_Toc149517447" \h </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25.</w:t>
          </w:r>
          <w:r>
            <w:rPr>
              <w:rStyle w:val="126"/>
              <w:rFonts w:hint="default" w:ascii="Times New Roman" w:hAnsi="Times New Roman" w:cs="Times New Roman" w:eastAsiaTheme="minorEastAsia"/>
              <w:b/>
              <w:bCs/>
              <w:kern w:val="2"/>
              <w:sz w:val="22"/>
              <w:szCs w:val="22"/>
              <w:lang w:eastAsia="pt-BR"/>
              <w14:ligatures w14:val="standardContextual"/>
            </w:rPr>
            <w:tab/>
          </w:r>
          <w:r>
            <w:rPr>
              <w:rStyle w:val="126"/>
              <w:rFonts w:hint="default" w:ascii="Times New Roman" w:hAnsi="Times New Roman" w:cs="Times New Roman"/>
              <w:b/>
              <w:bCs/>
              <w:sz w:val="22"/>
              <w:szCs w:val="22"/>
            </w:rPr>
            <w:t>ACEITABILIDADE DA PROPOSTA</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_Toc149517447 \h</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ab/>
          </w:r>
          <w:r>
            <w:rPr>
              <w:rStyle w:val="126"/>
              <w:rFonts w:hint="default" w:ascii="Times New Roman" w:hAnsi="Times New Roman" w:cs="Times New Roman"/>
              <w:b/>
              <w:bCs/>
              <w:vanish w:val="0"/>
              <w:sz w:val="22"/>
              <w:szCs w:val="22"/>
            </w:rPr>
            <w:t>1</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7</w:t>
          </w:r>
        </w:p>
        <w:p>
          <w:pPr>
            <w:pStyle w:val="41"/>
            <w:tabs>
              <w:tab w:val="left" w:pos="660"/>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"_Toc149517448" \h </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26.</w:t>
          </w:r>
          <w:r>
            <w:rPr>
              <w:rStyle w:val="126"/>
              <w:rFonts w:hint="default" w:ascii="Times New Roman" w:hAnsi="Times New Roman" w:cs="Times New Roman" w:eastAsiaTheme="minorEastAsia"/>
              <w:b/>
              <w:bCs/>
              <w:kern w:val="2"/>
              <w:sz w:val="22"/>
              <w:szCs w:val="22"/>
              <w:lang w:eastAsia="pt-BR"/>
              <w14:ligatures w14:val="standardContextual"/>
            </w:rPr>
            <w:tab/>
          </w:r>
          <w:r>
            <w:rPr>
              <w:rStyle w:val="126"/>
              <w:rFonts w:hint="default" w:ascii="Times New Roman" w:hAnsi="Times New Roman" w:cs="Times New Roman"/>
              <w:b/>
              <w:bCs/>
              <w:sz w:val="22"/>
              <w:szCs w:val="22"/>
            </w:rPr>
            <w:t>HABILITAÇÃO DA LICITANTE CLASSIFICADA EM PRIMEIRO LUGAR</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_Toc149517448 \h</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ab/>
          </w:r>
          <w:r>
            <w:rPr>
              <w:rStyle w:val="126"/>
              <w:rFonts w:hint="default" w:ascii="Times New Roman" w:hAnsi="Times New Roman" w:cs="Times New Roman"/>
              <w:b/>
              <w:bCs/>
              <w:vanish w:val="0"/>
              <w:sz w:val="22"/>
              <w:szCs w:val="22"/>
            </w:rPr>
            <w:t>1</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8</w:t>
          </w:r>
        </w:p>
        <w:p>
          <w:pPr>
            <w:pStyle w:val="41"/>
            <w:tabs>
              <w:tab w:val="left" w:pos="660"/>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"_Toc149517449" \h </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27.</w:t>
          </w:r>
          <w:r>
            <w:rPr>
              <w:rStyle w:val="126"/>
              <w:rFonts w:hint="default" w:ascii="Times New Roman" w:hAnsi="Times New Roman" w:cs="Times New Roman" w:eastAsiaTheme="minorEastAsia"/>
              <w:b/>
              <w:bCs/>
              <w:kern w:val="2"/>
              <w:sz w:val="22"/>
              <w:szCs w:val="22"/>
              <w:lang w:eastAsia="pt-BR"/>
              <w14:ligatures w14:val="standardContextual"/>
            </w:rPr>
            <w:tab/>
          </w:r>
          <w:r>
            <w:rPr>
              <w:rStyle w:val="126"/>
              <w:rFonts w:hint="default" w:ascii="Times New Roman" w:hAnsi="Times New Roman" w:cs="Times New Roman"/>
              <w:b/>
              <w:bCs/>
              <w:sz w:val="22"/>
              <w:szCs w:val="22"/>
            </w:rPr>
            <w:t>HABILITAÇÃO JURÍDICA</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_Toc149517449 \h</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ab/>
          </w:r>
          <w:r>
            <w:rPr>
              <w:rStyle w:val="126"/>
              <w:rFonts w:hint="default" w:ascii="Times New Roman" w:hAnsi="Times New Roman" w:cs="Times New Roman"/>
              <w:b/>
              <w:bCs/>
              <w:vanish w:val="0"/>
              <w:sz w:val="22"/>
              <w:szCs w:val="22"/>
            </w:rPr>
            <w:t>2</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1</w:t>
          </w:r>
        </w:p>
        <w:p>
          <w:pPr>
            <w:pStyle w:val="41"/>
            <w:tabs>
              <w:tab w:val="left" w:pos="660"/>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"_Toc149517450" \h </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28.</w:t>
          </w:r>
          <w:r>
            <w:rPr>
              <w:rStyle w:val="126"/>
              <w:rFonts w:hint="default" w:ascii="Times New Roman" w:hAnsi="Times New Roman" w:cs="Times New Roman" w:eastAsiaTheme="minorEastAsia"/>
              <w:b/>
              <w:bCs/>
              <w:kern w:val="2"/>
              <w:sz w:val="22"/>
              <w:szCs w:val="22"/>
              <w:lang w:eastAsia="pt-BR"/>
              <w14:ligatures w14:val="standardContextual"/>
            </w:rPr>
            <w:tab/>
          </w:r>
          <w:r>
            <w:rPr>
              <w:rStyle w:val="126"/>
              <w:rFonts w:hint="default" w:ascii="Times New Roman" w:hAnsi="Times New Roman" w:cs="Times New Roman"/>
              <w:b/>
              <w:bCs/>
              <w:sz w:val="22"/>
              <w:szCs w:val="22"/>
            </w:rPr>
            <w:t>QUALIFICAÇÃO TÉCNICO-PROFISSIONAL E TÉCNICO-OPERACIONAL</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_Toc149517450 \h</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ab/>
          </w:r>
          <w:r>
            <w:rPr>
              <w:rStyle w:val="126"/>
              <w:rFonts w:hint="default" w:ascii="Times New Roman" w:hAnsi="Times New Roman" w:cs="Times New Roman"/>
              <w:b/>
              <w:bCs/>
              <w:vanish w:val="0"/>
              <w:sz w:val="22"/>
              <w:szCs w:val="22"/>
            </w:rPr>
            <w:t>2</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1</w:t>
          </w:r>
        </w:p>
        <w:p>
          <w:pPr>
            <w:pStyle w:val="41"/>
            <w:tabs>
              <w:tab w:val="left" w:pos="660"/>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"_Toc149517451" \h </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29.</w:t>
          </w:r>
          <w:r>
            <w:rPr>
              <w:rStyle w:val="126"/>
              <w:rFonts w:hint="default" w:ascii="Times New Roman" w:hAnsi="Times New Roman" w:cs="Times New Roman" w:eastAsiaTheme="minorEastAsia"/>
              <w:b/>
              <w:bCs/>
              <w:kern w:val="2"/>
              <w:sz w:val="22"/>
              <w:szCs w:val="22"/>
              <w:lang w:eastAsia="pt-BR"/>
              <w14:ligatures w14:val="standardContextual"/>
            </w:rPr>
            <w:tab/>
          </w:r>
          <w:r>
            <w:rPr>
              <w:rStyle w:val="126"/>
              <w:rFonts w:hint="default" w:ascii="Times New Roman" w:hAnsi="Times New Roman" w:cs="Times New Roman"/>
              <w:b/>
              <w:bCs/>
              <w:sz w:val="22"/>
              <w:szCs w:val="22"/>
            </w:rPr>
            <w:t>REGULARIDADE FISCAL, SOCIAL E TRABALHISTA</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_Toc149517451 \h</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ab/>
          </w:r>
          <w:r>
            <w:rPr>
              <w:rStyle w:val="126"/>
              <w:rFonts w:hint="default" w:ascii="Times New Roman" w:hAnsi="Times New Roman" w:cs="Times New Roman"/>
              <w:b/>
              <w:bCs/>
              <w:vanish w:val="0"/>
              <w:sz w:val="22"/>
              <w:szCs w:val="22"/>
            </w:rPr>
            <w:t>2</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2</w:t>
          </w:r>
        </w:p>
        <w:p>
          <w:pPr>
            <w:pStyle w:val="41"/>
            <w:tabs>
              <w:tab w:val="left" w:pos="660"/>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"_Toc149517452" \h </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30.</w:t>
          </w:r>
          <w:r>
            <w:rPr>
              <w:rStyle w:val="126"/>
              <w:rFonts w:hint="default" w:ascii="Times New Roman" w:hAnsi="Times New Roman" w:cs="Times New Roman" w:eastAsiaTheme="minorEastAsia"/>
              <w:b/>
              <w:bCs/>
              <w:kern w:val="2"/>
              <w:sz w:val="22"/>
              <w:szCs w:val="22"/>
              <w:lang w:eastAsia="pt-BR"/>
              <w14:ligatures w14:val="standardContextual"/>
            </w:rPr>
            <w:tab/>
          </w:r>
          <w:r>
            <w:rPr>
              <w:rStyle w:val="126"/>
              <w:rFonts w:hint="default" w:ascii="Times New Roman" w:hAnsi="Times New Roman" w:cs="Times New Roman"/>
              <w:b/>
              <w:bCs/>
              <w:sz w:val="22"/>
              <w:szCs w:val="22"/>
            </w:rPr>
            <w:t>HABILITAÇÃO ECONÔMICO-FINANCEIRA</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_Toc149517452 \h</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ab/>
          </w:r>
          <w:r>
            <w:rPr>
              <w:rStyle w:val="126"/>
              <w:rFonts w:hint="default" w:ascii="Times New Roman" w:hAnsi="Times New Roman" w:cs="Times New Roman"/>
              <w:b/>
              <w:bCs/>
              <w:vanish w:val="0"/>
              <w:sz w:val="22"/>
              <w:szCs w:val="22"/>
            </w:rPr>
            <w:t>2</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2</w:t>
          </w:r>
        </w:p>
        <w:p>
          <w:pPr>
            <w:pStyle w:val="41"/>
            <w:tabs>
              <w:tab w:val="left" w:pos="660"/>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"_Toc149517453" \h </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31.</w:t>
          </w:r>
          <w:r>
            <w:rPr>
              <w:rStyle w:val="126"/>
              <w:rFonts w:hint="default" w:ascii="Times New Roman" w:hAnsi="Times New Roman" w:cs="Times New Roman" w:eastAsiaTheme="minorEastAsia"/>
              <w:b/>
              <w:bCs/>
              <w:kern w:val="2"/>
              <w:sz w:val="22"/>
              <w:szCs w:val="22"/>
              <w:lang w:eastAsia="pt-BR"/>
              <w14:ligatures w14:val="standardContextual"/>
            </w:rPr>
            <w:tab/>
          </w:r>
          <w:r>
            <w:rPr>
              <w:rStyle w:val="126"/>
              <w:rFonts w:hint="default" w:ascii="Times New Roman" w:hAnsi="Times New Roman" w:cs="Times New Roman"/>
              <w:b/>
              <w:bCs/>
              <w:sz w:val="22"/>
              <w:szCs w:val="22"/>
            </w:rPr>
            <w:t>OUTROS DOCUMENTOS</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_Toc149517453 \h</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ab/>
          </w:r>
          <w:r>
            <w:rPr>
              <w:rStyle w:val="126"/>
              <w:rFonts w:hint="default" w:ascii="Times New Roman" w:hAnsi="Times New Roman" w:cs="Times New Roman"/>
              <w:b/>
              <w:bCs/>
              <w:vanish w:val="0"/>
              <w:sz w:val="22"/>
              <w:szCs w:val="22"/>
            </w:rPr>
            <w:t>2</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2</w:t>
          </w:r>
        </w:p>
        <w:p>
          <w:pPr>
            <w:pStyle w:val="41"/>
            <w:tabs>
              <w:tab w:val="left" w:pos="660"/>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"_Toc149517454" \h </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32.</w:t>
          </w:r>
          <w:r>
            <w:rPr>
              <w:rStyle w:val="126"/>
              <w:rFonts w:hint="default" w:ascii="Times New Roman" w:hAnsi="Times New Roman" w:cs="Times New Roman" w:eastAsiaTheme="minorEastAsia"/>
              <w:b/>
              <w:bCs/>
              <w:kern w:val="2"/>
              <w:sz w:val="22"/>
              <w:szCs w:val="22"/>
              <w:lang w:eastAsia="pt-BR"/>
              <w14:ligatures w14:val="standardContextual"/>
            </w:rPr>
            <w:tab/>
          </w:r>
          <w:r>
            <w:rPr>
              <w:rStyle w:val="126"/>
              <w:rFonts w:hint="default" w:ascii="Times New Roman" w:hAnsi="Times New Roman" w:cs="Times New Roman"/>
              <w:b/>
              <w:bCs/>
              <w:sz w:val="22"/>
              <w:szCs w:val="22"/>
            </w:rPr>
            <w:t>ENCAMINHAMENTO DA PROPOSTA VENCEDORA</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_Toc149517454 \h</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ab/>
          </w:r>
          <w:r>
            <w:rPr>
              <w:rStyle w:val="126"/>
              <w:rFonts w:hint="default" w:ascii="Times New Roman" w:hAnsi="Times New Roman" w:cs="Times New Roman"/>
              <w:b/>
              <w:bCs/>
              <w:vanish w:val="0"/>
              <w:sz w:val="22"/>
              <w:szCs w:val="22"/>
            </w:rPr>
            <w:t>2</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3</w:t>
          </w:r>
        </w:p>
        <w:p>
          <w:pPr>
            <w:pStyle w:val="41"/>
            <w:tabs>
              <w:tab w:val="left" w:pos="660"/>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"_Toc149517455" \h </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33.</w:t>
          </w:r>
          <w:r>
            <w:rPr>
              <w:rStyle w:val="126"/>
              <w:rFonts w:hint="default" w:ascii="Times New Roman" w:hAnsi="Times New Roman" w:cs="Times New Roman" w:eastAsiaTheme="minorEastAsia"/>
              <w:b/>
              <w:bCs/>
              <w:kern w:val="2"/>
              <w:sz w:val="22"/>
              <w:szCs w:val="22"/>
              <w:lang w:eastAsia="pt-BR"/>
              <w14:ligatures w14:val="standardContextual"/>
            </w:rPr>
            <w:tab/>
          </w:r>
          <w:r>
            <w:rPr>
              <w:rStyle w:val="126"/>
              <w:rFonts w:hint="default" w:ascii="Times New Roman" w:hAnsi="Times New Roman" w:cs="Times New Roman"/>
              <w:b/>
              <w:bCs/>
              <w:sz w:val="22"/>
              <w:szCs w:val="22"/>
            </w:rPr>
            <w:t>RECURSO(S) ADMINISTRATIVO(S)</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_Toc149517455 \h</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ab/>
          </w:r>
          <w:r>
            <w:rPr>
              <w:rStyle w:val="126"/>
              <w:rFonts w:hint="default" w:ascii="Times New Roman" w:hAnsi="Times New Roman" w:cs="Times New Roman"/>
              <w:b/>
              <w:bCs/>
              <w:vanish w:val="0"/>
              <w:sz w:val="22"/>
              <w:szCs w:val="22"/>
            </w:rPr>
            <w:t>2</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4</w:t>
          </w:r>
        </w:p>
        <w:p>
          <w:pPr>
            <w:pStyle w:val="41"/>
            <w:tabs>
              <w:tab w:val="left" w:pos="660"/>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"_Toc149517456" \h </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34.</w:t>
          </w:r>
          <w:r>
            <w:rPr>
              <w:rStyle w:val="126"/>
              <w:rFonts w:hint="default" w:ascii="Times New Roman" w:hAnsi="Times New Roman" w:cs="Times New Roman" w:eastAsiaTheme="minorEastAsia"/>
              <w:b/>
              <w:bCs/>
              <w:kern w:val="2"/>
              <w:sz w:val="22"/>
              <w:szCs w:val="22"/>
              <w:lang w:eastAsia="pt-BR"/>
              <w14:ligatures w14:val="standardContextual"/>
            </w:rPr>
            <w:tab/>
          </w:r>
          <w:r>
            <w:rPr>
              <w:rStyle w:val="126"/>
              <w:rFonts w:hint="default" w:ascii="Times New Roman" w:hAnsi="Times New Roman" w:cs="Times New Roman"/>
              <w:b/>
              <w:bCs/>
              <w:sz w:val="22"/>
              <w:szCs w:val="22"/>
            </w:rPr>
            <w:t>REABERTURA DA SESSÃO PÚBLICA</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_Toc149517456 \h</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ab/>
          </w:r>
          <w:r>
            <w:rPr>
              <w:rStyle w:val="126"/>
              <w:rFonts w:hint="default" w:ascii="Times New Roman" w:hAnsi="Times New Roman" w:cs="Times New Roman"/>
              <w:b/>
              <w:bCs/>
              <w:vanish w:val="0"/>
              <w:sz w:val="22"/>
              <w:szCs w:val="22"/>
            </w:rPr>
            <w:t>2</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6</w:t>
          </w:r>
        </w:p>
        <w:p>
          <w:pPr>
            <w:pStyle w:val="41"/>
            <w:tabs>
              <w:tab w:val="left" w:pos="660"/>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"_Toc149517457" \h </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35.</w:t>
          </w:r>
          <w:r>
            <w:rPr>
              <w:rStyle w:val="126"/>
              <w:rFonts w:hint="default" w:ascii="Times New Roman" w:hAnsi="Times New Roman" w:cs="Times New Roman" w:eastAsiaTheme="minorEastAsia"/>
              <w:b/>
              <w:bCs/>
              <w:kern w:val="2"/>
              <w:sz w:val="22"/>
              <w:szCs w:val="22"/>
              <w:lang w:eastAsia="pt-BR"/>
              <w14:ligatures w14:val="standardContextual"/>
            </w:rPr>
            <w:tab/>
          </w:r>
          <w:r>
            <w:rPr>
              <w:rStyle w:val="126"/>
              <w:rFonts w:hint="default" w:ascii="Times New Roman" w:hAnsi="Times New Roman" w:cs="Times New Roman"/>
              <w:b/>
              <w:bCs/>
              <w:sz w:val="22"/>
              <w:szCs w:val="22"/>
            </w:rPr>
            <w:t>ENCERRAMENTO DA LICITAÇÃO</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_Toc149517457 \h</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ab/>
          </w:r>
          <w:r>
            <w:rPr>
              <w:rStyle w:val="126"/>
              <w:rFonts w:hint="default" w:ascii="Times New Roman" w:hAnsi="Times New Roman" w:cs="Times New Roman"/>
              <w:b/>
              <w:bCs/>
              <w:vanish w:val="0"/>
              <w:sz w:val="22"/>
              <w:szCs w:val="22"/>
            </w:rPr>
            <w:t>2</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6</w:t>
          </w:r>
        </w:p>
        <w:p>
          <w:pPr>
            <w:pStyle w:val="41"/>
            <w:tabs>
              <w:tab w:val="left" w:pos="660"/>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"_Toc149517458" \h </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36.</w:t>
          </w:r>
          <w:r>
            <w:rPr>
              <w:rStyle w:val="126"/>
              <w:rFonts w:hint="default" w:ascii="Times New Roman" w:hAnsi="Times New Roman" w:cs="Times New Roman" w:eastAsiaTheme="minorEastAsia"/>
              <w:b/>
              <w:bCs/>
              <w:kern w:val="2"/>
              <w:sz w:val="22"/>
              <w:szCs w:val="22"/>
              <w:lang w:eastAsia="pt-BR"/>
              <w14:ligatures w14:val="standardContextual"/>
            </w:rPr>
            <w:tab/>
          </w:r>
          <w:r>
            <w:rPr>
              <w:rStyle w:val="126"/>
              <w:rFonts w:hint="default" w:ascii="Times New Roman" w:hAnsi="Times New Roman" w:cs="Times New Roman"/>
              <w:b/>
              <w:bCs/>
              <w:sz w:val="22"/>
              <w:szCs w:val="22"/>
            </w:rPr>
            <w:t>REGISTRO DE PREÇOS</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_Toc149517458 \h</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ab/>
          </w:r>
          <w:r>
            <w:rPr>
              <w:rStyle w:val="126"/>
              <w:rFonts w:hint="default" w:ascii="Times New Roman" w:hAnsi="Times New Roman" w:cs="Times New Roman"/>
              <w:b/>
              <w:bCs/>
              <w:vanish w:val="0"/>
              <w:sz w:val="22"/>
              <w:szCs w:val="22"/>
            </w:rPr>
            <w:t>2</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6</w:t>
          </w:r>
        </w:p>
        <w:p>
          <w:pPr>
            <w:pStyle w:val="41"/>
            <w:tabs>
              <w:tab w:val="left" w:pos="660"/>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"_Toc149517459" \h </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37.</w:t>
          </w:r>
          <w:r>
            <w:rPr>
              <w:rStyle w:val="126"/>
              <w:rFonts w:hint="default" w:ascii="Times New Roman" w:hAnsi="Times New Roman" w:cs="Times New Roman" w:eastAsiaTheme="minorEastAsia"/>
              <w:b/>
              <w:bCs/>
              <w:kern w:val="2"/>
              <w:sz w:val="22"/>
              <w:szCs w:val="22"/>
              <w:lang w:eastAsia="pt-BR"/>
              <w14:ligatures w14:val="standardContextual"/>
            </w:rPr>
            <w:tab/>
          </w:r>
          <w:r>
            <w:rPr>
              <w:rStyle w:val="126"/>
              <w:rFonts w:hint="default" w:ascii="Times New Roman" w:hAnsi="Times New Roman" w:cs="Times New Roman"/>
              <w:b/>
              <w:bCs/>
              <w:sz w:val="22"/>
              <w:szCs w:val="22"/>
            </w:rPr>
            <w:t>FORMAÇÃO DO CADASTRO DE RESERVA</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_Toc149517459 \h</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ab/>
          </w:r>
          <w:r>
            <w:rPr>
              <w:rStyle w:val="126"/>
              <w:rFonts w:hint="default" w:ascii="Times New Roman" w:hAnsi="Times New Roman" w:cs="Times New Roman"/>
              <w:b/>
              <w:bCs/>
              <w:vanish w:val="0"/>
              <w:sz w:val="22"/>
              <w:szCs w:val="22"/>
            </w:rPr>
            <w:t>2</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8</w:t>
          </w:r>
        </w:p>
        <w:p>
          <w:pPr>
            <w:pStyle w:val="41"/>
            <w:tabs>
              <w:tab w:val="left" w:pos="660"/>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"_Toc149517460" \h </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38.</w:t>
          </w:r>
          <w:r>
            <w:rPr>
              <w:rStyle w:val="126"/>
              <w:rFonts w:hint="default" w:ascii="Times New Roman" w:hAnsi="Times New Roman" w:cs="Times New Roman" w:eastAsiaTheme="minorEastAsia"/>
              <w:b/>
              <w:bCs/>
              <w:kern w:val="2"/>
              <w:sz w:val="22"/>
              <w:szCs w:val="22"/>
              <w:lang w:eastAsia="pt-BR"/>
              <w14:ligatures w14:val="standardContextual"/>
            </w:rPr>
            <w:tab/>
          </w:r>
          <w:r>
            <w:rPr>
              <w:rStyle w:val="126"/>
              <w:rFonts w:hint="default" w:ascii="Times New Roman" w:hAnsi="Times New Roman" w:cs="Times New Roman"/>
              <w:b/>
              <w:bCs/>
              <w:sz w:val="22"/>
              <w:szCs w:val="22"/>
            </w:rPr>
            <w:t>CONTRATAÇÃO</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_Toc149517460 \h</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ab/>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28</w:t>
          </w:r>
        </w:p>
        <w:p>
          <w:pPr>
            <w:pStyle w:val="41"/>
            <w:tabs>
              <w:tab w:val="left" w:pos="660"/>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"_Toc149517461" \h </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39.</w:t>
          </w:r>
          <w:r>
            <w:rPr>
              <w:rStyle w:val="126"/>
              <w:rFonts w:hint="default" w:ascii="Times New Roman" w:hAnsi="Times New Roman" w:cs="Times New Roman" w:eastAsiaTheme="minorEastAsia"/>
              <w:b/>
              <w:bCs/>
              <w:kern w:val="2"/>
              <w:sz w:val="22"/>
              <w:szCs w:val="22"/>
              <w:lang w:eastAsia="pt-BR"/>
              <w14:ligatures w14:val="standardContextual"/>
            </w:rPr>
            <w:tab/>
          </w:r>
          <w:r>
            <w:rPr>
              <w:rStyle w:val="126"/>
              <w:rFonts w:hint="default" w:ascii="Times New Roman" w:hAnsi="Times New Roman" w:cs="Times New Roman"/>
              <w:b/>
              <w:bCs/>
              <w:sz w:val="22"/>
              <w:szCs w:val="22"/>
            </w:rPr>
            <w:t>SANÇÕES ADMINISTRATIVAS DE LICITAÇÃO</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_Toc149517461 \h</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ab/>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30</w:t>
          </w:r>
        </w:p>
        <w:p>
          <w:pPr>
            <w:pStyle w:val="41"/>
            <w:tabs>
              <w:tab w:val="left" w:pos="660"/>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"_Toc149517462" \h </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40.</w:t>
          </w:r>
          <w:r>
            <w:rPr>
              <w:rStyle w:val="126"/>
              <w:rFonts w:hint="default" w:ascii="Times New Roman" w:hAnsi="Times New Roman" w:cs="Times New Roman" w:eastAsiaTheme="minorEastAsia"/>
              <w:b/>
              <w:bCs/>
              <w:kern w:val="2"/>
              <w:sz w:val="22"/>
              <w:szCs w:val="22"/>
              <w:lang w:eastAsia="pt-BR"/>
              <w14:ligatures w14:val="standardContextual"/>
            </w:rPr>
            <w:tab/>
          </w:r>
          <w:r>
            <w:rPr>
              <w:rStyle w:val="126"/>
              <w:rFonts w:hint="default" w:ascii="Times New Roman" w:hAnsi="Times New Roman" w:cs="Times New Roman"/>
              <w:b/>
              <w:bCs/>
              <w:sz w:val="22"/>
              <w:szCs w:val="22"/>
            </w:rPr>
            <w:t>PROTEÇÃO DOS DADOS NA LICITAÇÃO</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_Toc149517462 \h</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ab/>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30</w:t>
          </w:r>
        </w:p>
        <w:p>
          <w:pPr>
            <w:pStyle w:val="41"/>
            <w:tabs>
              <w:tab w:val="left" w:pos="660"/>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"_Toc149517463" \h </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41.</w:t>
          </w:r>
          <w:r>
            <w:rPr>
              <w:rStyle w:val="126"/>
              <w:rFonts w:hint="default" w:ascii="Times New Roman" w:hAnsi="Times New Roman" w:cs="Times New Roman" w:eastAsiaTheme="minorEastAsia"/>
              <w:b/>
              <w:bCs/>
              <w:kern w:val="2"/>
              <w:sz w:val="22"/>
              <w:szCs w:val="22"/>
              <w:lang w:eastAsia="pt-BR"/>
              <w14:ligatures w14:val="standardContextual"/>
            </w:rPr>
            <w:tab/>
          </w:r>
          <w:r>
            <w:rPr>
              <w:rStyle w:val="126"/>
              <w:rFonts w:hint="default" w:ascii="Times New Roman" w:hAnsi="Times New Roman" w:cs="Times New Roman"/>
              <w:b/>
              <w:bCs/>
              <w:sz w:val="22"/>
              <w:szCs w:val="22"/>
            </w:rPr>
            <w:t>CRÉDITOS ORÇAMENTÁRIOS </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_Toc149517463 \h</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ab/>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31</w:t>
          </w:r>
        </w:p>
        <w:p>
          <w:pPr>
            <w:pStyle w:val="41"/>
            <w:tabs>
              <w:tab w:val="left" w:pos="660"/>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"_Toc149517464" \h </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42.</w:t>
          </w:r>
          <w:r>
            <w:rPr>
              <w:rStyle w:val="126"/>
              <w:rFonts w:hint="default" w:ascii="Times New Roman" w:hAnsi="Times New Roman" w:cs="Times New Roman" w:eastAsiaTheme="minorEastAsia"/>
              <w:b/>
              <w:bCs/>
              <w:kern w:val="2"/>
              <w:sz w:val="22"/>
              <w:szCs w:val="22"/>
              <w:lang w:eastAsia="pt-BR"/>
              <w14:ligatures w14:val="standardContextual"/>
            </w:rPr>
            <w:tab/>
          </w:r>
          <w:r>
            <w:rPr>
              <w:rStyle w:val="126"/>
              <w:rFonts w:hint="default" w:ascii="Times New Roman" w:hAnsi="Times New Roman" w:cs="Times New Roman" w:eastAsiaTheme="minorEastAsia"/>
              <w:b/>
              <w:bCs/>
              <w:kern w:val="2"/>
              <w:sz w:val="22"/>
              <w:szCs w:val="22"/>
              <w:lang w:val="en-US" w:eastAsia="pt-BR"/>
              <w14:ligatures w14:val="standardContextual"/>
            </w:rPr>
            <w:t>FORO</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_Toc149517464 \h</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ab/>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32</w:t>
          </w:r>
        </w:p>
        <w:p>
          <w:pPr>
            <w:pStyle w:val="41"/>
            <w:tabs>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"_Toc149517466" \h </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ANEXO I - TERMO DE REFERÊNCIA</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_Toc149517466 \h</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ab/>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33</w:t>
          </w:r>
        </w:p>
        <w:p>
          <w:pPr>
            <w:pStyle w:val="41"/>
            <w:tabs>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"_Toc149517467" \h </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ANEXO II - MODELO DE DECLARAÇÕES</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_Toc149517467 \h</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ab/>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41</w:t>
          </w:r>
        </w:p>
        <w:p>
          <w:pPr>
            <w:pStyle w:val="41"/>
            <w:tabs>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"_Toc149517468" \h </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ANEXO III - MODELO DE PROPOSTA</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_Toc149517468 \h</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ab/>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42</w:t>
          </w:r>
        </w:p>
        <w:p>
          <w:pPr>
            <w:pStyle w:val="41"/>
            <w:tabs>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"_Toc149517469" \h </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ANEXO IV - MINUTA DA ATA DE REGISTRO DE PREÇOS</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_Toc149517469 \h</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ab/>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43</w:t>
          </w:r>
        </w:p>
        <w:p>
          <w:pPr>
            <w:pStyle w:val="41"/>
            <w:tabs>
              <w:tab w:val="right" w:leader="dot" w:pos="8921"/>
            </w:tabs>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"_Toc149517470" \h </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ANEXO V - MINUTA DO INSTRUMENTO DE CONTRATO</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_Toc149517470 \h</w:instrText>
          </w:r>
          <w:r>
            <w:rPr>
              <w:rFonts w:hint="default" w:ascii="Times New Roman" w:hAnsi="Times New Roman" w:cs="Times New Roman"/>
              <w:b/>
              <w:bCs/>
              <w:sz w:val="22"/>
              <w:szCs w:val="22"/>
            </w:rPr>
            <w:fldChar w:fldCharType="separate"/>
          </w:r>
          <w:r>
            <w:rPr>
              <w:rStyle w:val="126"/>
              <w:rFonts w:hint="default" w:ascii="Times New Roman" w:hAnsi="Times New Roman" w:cs="Times New Roman"/>
              <w:b/>
              <w:bCs/>
              <w:vanish w:val="0"/>
              <w:sz w:val="22"/>
              <w:szCs w:val="22"/>
            </w:rPr>
            <w:tab/>
          </w:r>
          <w:r>
            <w:rPr>
              <w:rStyle w:val="126"/>
              <w:rFonts w:hint="default" w:ascii="Times New Roman" w:hAnsi="Times New Roman" w:cs="Times New Roman"/>
              <w:b/>
              <w:bCs/>
              <w:vanish w:val="0"/>
              <w:sz w:val="22"/>
              <w:szCs w:val="22"/>
            </w:rPr>
            <w:t>5</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r>
            <w:rPr>
              <w:rStyle w:val="126"/>
              <w:rFonts w:hint="default" w:ascii="Times New Roman" w:hAnsi="Times New Roman" w:cs="Times New Roman"/>
              <w:b/>
              <w:bCs/>
              <w:vanish w:val="0"/>
              <w:sz w:val="22"/>
              <w:szCs w:val="22"/>
            </w:rPr>
            <w:fldChar w:fldCharType="end"/>
          </w:r>
          <w:r>
            <w:rPr>
              <w:rStyle w:val="126"/>
              <w:rFonts w:hint="default" w:ascii="Times New Roman" w:hAnsi="Times New Roman" w:cs="Times New Roman"/>
              <w:b/>
              <w:bCs/>
              <w:vanish w:val="0"/>
              <w:sz w:val="22"/>
              <w:szCs w:val="22"/>
              <w:lang w:val="pt-BR"/>
            </w:rPr>
            <w:t>4</w:t>
          </w:r>
        </w:p>
      </w:sdtContent>
    </w:sdt>
    <w:p>
      <w:pPr>
        <w:pStyle w:val="2"/>
        <w:spacing w:before="360" w:after="0"/>
      </w:pPr>
      <w:bookmarkStart w:id="0" w:name="_Toc149517427"/>
      <w:r>
        <w:rPr>
          <w:rStyle w:val="45"/>
          <w:sz w:val="22"/>
          <w:szCs w:val="22"/>
        </w:rPr>
        <w:t>PUBLICIDADE</w:t>
      </w:r>
      <w:bookmarkEnd w:id="0"/>
    </w:p>
    <w:p>
      <w:pPr>
        <w:pStyle w:val="130"/>
        <w:numPr>
          <w:ilvl w:val="1"/>
          <w:numId w:val="1"/>
        </w:numPr>
        <w:tabs>
          <w:tab w:val="left" w:pos="1134"/>
        </w:tabs>
        <w:spacing w:before="120" w:beforeAutospacing="0" w:after="0" w:afterAutospacing="0"/>
        <w:ind w:left="0" w:firstLine="567"/>
        <w:jc w:val="both"/>
        <w:textAlignment w:val="baseline"/>
      </w:pPr>
      <w:r>
        <w:rPr>
          <w:sz w:val="22"/>
          <w:szCs w:val="22"/>
        </w:rPr>
        <w:t xml:space="preserve">A publicidade deste Edital será realizada mediante divulgação e manutenção do inteiro teor do ato convocatório e de seus anexos no Portal Nacional de Contratações Públicas - PNCP, disponível no endereço eletrônico: </w:t>
      </w:r>
      <w:r>
        <w:fldChar w:fldCharType="begin"/>
      </w:r>
      <w:r>
        <w:instrText xml:space="preserve"> HYPERLINK "https://pncp.gov.br/" \h </w:instrText>
      </w:r>
      <w:r>
        <w:fldChar w:fldCharType="separate"/>
      </w:r>
      <w:r>
        <w:rPr>
          <w:rStyle w:val="54"/>
          <w:sz w:val="22"/>
          <w:szCs w:val="22"/>
        </w:rPr>
        <w:t>https://pncp.gov.br/</w:t>
      </w:r>
      <w:r>
        <w:rPr>
          <w:rStyle w:val="54"/>
          <w:sz w:val="22"/>
          <w:szCs w:val="22"/>
        </w:rPr>
        <w:fldChar w:fldCharType="end"/>
      </w:r>
      <w:r>
        <w:rPr>
          <w:sz w:val="22"/>
          <w:szCs w:val="22"/>
        </w:rPr>
        <w:t xml:space="preserve">, nos termos fixados nos </w:t>
      </w:r>
      <w:r>
        <w:fldChar w:fldCharType="begin"/>
      </w:r>
      <w:r>
        <w:rPr>
          <w:rStyle w:val="54"/>
          <w:sz w:val="22"/>
          <w:szCs w:val="22"/>
        </w:rPr>
        <w:instrText xml:space="preserve"> HYPERLINK "https://www.planalto.gov.br/ccivil_03/_ato2019-2022/2021/lei/l14133.htm" \l "art54"</w:instrText>
      </w:r>
      <w:r>
        <w:rPr>
          <w:rStyle w:val="54"/>
          <w:sz w:val="22"/>
          <w:szCs w:val="22"/>
        </w:rPr>
        <w:fldChar w:fldCharType="separate"/>
      </w:r>
      <w:r>
        <w:rPr>
          <w:rStyle w:val="54"/>
          <w:sz w:val="22"/>
          <w:szCs w:val="22"/>
        </w:rPr>
        <w:t>art. 54 da Lei Federal nº 14.133, de 2021</w:t>
      </w:r>
      <w:r>
        <w:rPr>
          <w:rStyle w:val="54"/>
          <w:sz w:val="22"/>
          <w:szCs w:val="22"/>
        </w:rPr>
        <w:fldChar w:fldCharType="end"/>
      </w:r>
      <w:r>
        <w:rPr>
          <w:sz w:val="22"/>
          <w:szCs w:val="22"/>
        </w:rPr>
        <w:t>.</w:t>
      </w:r>
    </w:p>
    <w:p>
      <w:pPr>
        <w:pStyle w:val="130"/>
        <w:numPr>
          <w:ilvl w:val="1"/>
          <w:numId w:val="1"/>
        </w:numPr>
        <w:tabs>
          <w:tab w:val="left" w:pos="1134"/>
        </w:tabs>
        <w:spacing w:before="0" w:beforeAutospacing="0" w:after="0" w:afterAutospacing="0"/>
        <w:ind w:left="0" w:firstLine="567"/>
        <w:jc w:val="both"/>
        <w:textAlignment w:val="baseline"/>
      </w:pPr>
      <w:r>
        <w:rPr>
          <w:sz w:val="22"/>
          <w:szCs w:val="22"/>
        </w:rPr>
        <w:t xml:space="preserve">O presente Edital também será publicado, em forma de AVISO, no </w:t>
      </w:r>
      <w:r>
        <w:fldChar w:fldCharType="begin"/>
      </w:r>
      <w:r>
        <w:instrText xml:space="preserve"> HYPERLINK "https://www.in.gov.br/servicos/diario-oficial-da-uniao" \h </w:instrText>
      </w:r>
      <w:r>
        <w:fldChar w:fldCharType="separate"/>
      </w:r>
      <w:r>
        <w:rPr>
          <w:rStyle w:val="54"/>
          <w:sz w:val="22"/>
          <w:szCs w:val="22"/>
        </w:rPr>
        <w:t>Diário Oficial</w:t>
      </w:r>
      <w:r>
        <w:rPr>
          <w:rStyle w:val="54"/>
          <w:sz w:val="22"/>
          <w:szCs w:val="22"/>
        </w:rPr>
        <w:fldChar w:fldCharType="end"/>
      </w:r>
      <w:r>
        <w:rPr>
          <w:sz w:val="22"/>
          <w:szCs w:val="22"/>
        </w:rPr>
        <w:t>, bem como em jornal diário de grande circulação (</w:t>
      </w:r>
      <w:r>
        <w:fldChar w:fldCharType="begin"/>
      </w:r>
      <w:r>
        <w:rPr>
          <w:rStyle w:val="54"/>
          <w:sz w:val="22"/>
          <w:szCs w:val="22"/>
        </w:rPr>
        <w:instrText xml:space="preserve"> HYPERLINK "https://www.planalto.gov.br/ccivil_03/_ato2019-2022/2021/lei/l14133.htm" \l "art54"</w:instrText>
      </w:r>
      <w:r>
        <w:rPr>
          <w:rStyle w:val="54"/>
          <w:sz w:val="22"/>
          <w:szCs w:val="22"/>
        </w:rPr>
        <w:fldChar w:fldCharType="separate"/>
      </w:r>
      <w:r>
        <w:rPr>
          <w:rStyle w:val="54"/>
          <w:sz w:val="22"/>
          <w:szCs w:val="22"/>
        </w:rPr>
        <w:t>art. 54, § 1º, da Lei Federal nº 14.133, de 2021</w:t>
      </w:r>
      <w:r>
        <w:rPr>
          <w:rStyle w:val="54"/>
          <w:sz w:val="22"/>
          <w:szCs w:val="22"/>
        </w:rPr>
        <w:fldChar w:fldCharType="end"/>
      </w:r>
      <w:r>
        <w:rPr>
          <w:sz w:val="22"/>
          <w:szCs w:val="22"/>
        </w:rPr>
        <w:t>).</w:t>
      </w:r>
    </w:p>
    <w:p>
      <w:pPr>
        <w:pStyle w:val="130"/>
        <w:numPr>
          <w:ilvl w:val="1"/>
          <w:numId w:val="1"/>
        </w:numPr>
        <w:tabs>
          <w:tab w:val="left" w:pos="1134"/>
        </w:tabs>
        <w:spacing w:before="0" w:beforeAutospacing="0" w:after="0" w:afterAutospacing="0"/>
        <w:ind w:left="0" w:firstLine="567"/>
        <w:jc w:val="both"/>
        <w:textAlignment w:val="baseline"/>
      </w:pPr>
      <w:r>
        <w:rPr>
          <w:sz w:val="22"/>
          <w:szCs w:val="22"/>
        </w:rPr>
        <w:t xml:space="preserve">A íntegra do presente Edital e seus Anexos, bem como todos os documentos, os esclarecimentos, impugnações, atos decisórios do procedimento licitatório durante a FASE EXTERNA serão divulgados no Portal Licitanet, disponível no endereço eletrônico: </w:t>
      </w:r>
      <w:r>
        <w:fldChar w:fldCharType="begin"/>
      </w:r>
      <w:r>
        <w:instrText xml:space="preserve"> HYPERLINK "https://www.licitanet.com.br/" \h </w:instrText>
      </w:r>
      <w:r>
        <w:fldChar w:fldCharType="separate"/>
      </w:r>
      <w:r>
        <w:rPr>
          <w:rStyle w:val="54"/>
          <w:sz w:val="22"/>
          <w:szCs w:val="22"/>
        </w:rPr>
        <w:t>https://www.licitanet.com.br/</w:t>
      </w:r>
      <w:r>
        <w:rPr>
          <w:rStyle w:val="54"/>
          <w:sz w:val="22"/>
          <w:szCs w:val="22"/>
        </w:rPr>
        <w:fldChar w:fldCharType="end"/>
      </w:r>
      <w:r>
        <w:rPr>
          <w:sz w:val="22"/>
          <w:szCs w:val="22"/>
        </w:rPr>
        <w:t xml:space="preserve">, e no sítio internet da Câmara Municipal de Primavera do Leste - MT, disponível no endereço eletrônico: </w:t>
      </w:r>
      <w:r>
        <w:fldChar w:fldCharType="begin"/>
      </w:r>
      <w:r>
        <w:instrText xml:space="preserve"> HYPERLINK "https://www.primaveradoleste.mt.leg.br/" \h </w:instrText>
      </w:r>
      <w:r>
        <w:fldChar w:fldCharType="separate"/>
      </w:r>
      <w:r>
        <w:rPr>
          <w:rStyle w:val="54"/>
          <w:sz w:val="22"/>
          <w:szCs w:val="22"/>
        </w:rPr>
        <w:t>https://www.primaveradoleste.mt.leg.br/</w:t>
      </w:r>
      <w:r>
        <w:rPr>
          <w:rStyle w:val="54"/>
          <w:sz w:val="22"/>
          <w:szCs w:val="22"/>
        </w:rPr>
        <w:fldChar w:fldCharType="end"/>
      </w:r>
      <w:r>
        <w:rPr>
          <w:sz w:val="22"/>
          <w:szCs w:val="22"/>
        </w:rPr>
        <w:t>.</w:t>
      </w:r>
    </w:p>
    <w:p>
      <w:pPr>
        <w:pStyle w:val="2"/>
        <w:spacing w:before="360" w:after="0"/>
      </w:pPr>
      <w:bookmarkStart w:id="1" w:name="_Toc149517428"/>
      <w:r>
        <w:rPr>
          <w:rStyle w:val="45"/>
          <w:sz w:val="22"/>
          <w:szCs w:val="22"/>
        </w:rPr>
        <w:t>PLATAFORMA ELETRÔNICA</w:t>
      </w:r>
      <w:bookmarkEnd w:id="1"/>
    </w:p>
    <w:p>
      <w:pPr>
        <w:pStyle w:val="130"/>
        <w:numPr>
          <w:ilvl w:val="1"/>
          <w:numId w:val="1"/>
        </w:numPr>
        <w:tabs>
          <w:tab w:val="left" w:pos="1134"/>
        </w:tabs>
        <w:spacing w:before="120" w:beforeAutospacing="0" w:after="0" w:afterAutospacing="0"/>
        <w:ind w:left="0" w:firstLine="567"/>
        <w:jc w:val="both"/>
        <w:textAlignment w:val="baseline"/>
      </w:pPr>
      <w:r>
        <w:rPr>
          <w:sz w:val="22"/>
          <w:szCs w:val="22"/>
        </w:rPr>
        <w:t>O Pregão</w:t>
      </w:r>
      <w:r>
        <w:rPr>
          <w:rStyle w:val="45"/>
          <w:color w:val="000000"/>
          <w:sz w:val="22"/>
          <w:szCs w:val="22"/>
        </w:rPr>
        <w:t>, em sua forma eletrônica (</w:t>
      </w:r>
      <w:r>
        <w:fldChar w:fldCharType="begin"/>
      </w:r>
      <w:r>
        <w:rPr>
          <w:rStyle w:val="54"/>
          <w:sz w:val="22"/>
          <w:szCs w:val="22"/>
        </w:rPr>
        <w:instrText xml:space="preserve"> HYPERLINK "http://www.planalto.gov.br/ccivil_03/_ato2019-2022/2021/lei/L14133.htm" \l "art17"</w:instrText>
      </w:r>
      <w:r>
        <w:rPr>
          <w:rStyle w:val="54"/>
          <w:sz w:val="22"/>
          <w:szCs w:val="22"/>
        </w:rPr>
        <w:fldChar w:fldCharType="separate"/>
      </w:r>
      <w:r>
        <w:rPr>
          <w:rStyle w:val="54"/>
          <w:sz w:val="22"/>
          <w:szCs w:val="22"/>
        </w:rPr>
        <w:t>art. 17, § 2º, da Lei Federal nº 14.133, de 2021</w:t>
      </w:r>
      <w:r>
        <w:rPr>
          <w:rStyle w:val="54"/>
          <w:sz w:val="22"/>
          <w:szCs w:val="22"/>
        </w:rPr>
        <w:fldChar w:fldCharType="end"/>
      </w:r>
      <w:r>
        <w:rPr>
          <w:rStyle w:val="45"/>
          <w:color w:val="000000"/>
          <w:sz w:val="22"/>
          <w:szCs w:val="22"/>
        </w:rPr>
        <w:t>)</w:t>
      </w:r>
      <w:r>
        <w:rPr>
          <w:sz w:val="22"/>
          <w:szCs w:val="22"/>
        </w:rPr>
        <w:t xml:space="preserve">, será realizada em sessão pública, por intermédio da INTERNET (rede mundial de computadores), mediante condições de segurança, criptografia e autenticação em todas as suas fases no Portal Licitanet, disponível no endereço eletrônico: </w:t>
      </w:r>
      <w:r>
        <w:fldChar w:fldCharType="begin"/>
      </w:r>
      <w:r>
        <w:instrText xml:space="preserve"> HYPERLINK "https://www.licitanet.com.br/" \h </w:instrText>
      </w:r>
      <w:r>
        <w:fldChar w:fldCharType="separate"/>
      </w:r>
      <w:r>
        <w:rPr>
          <w:rStyle w:val="54"/>
          <w:sz w:val="22"/>
          <w:szCs w:val="22"/>
        </w:rPr>
        <w:t>https://www.licitanet.com.br/</w:t>
      </w:r>
      <w:r>
        <w:rPr>
          <w:rStyle w:val="54"/>
          <w:sz w:val="22"/>
          <w:szCs w:val="22"/>
        </w:rPr>
        <w:fldChar w:fldCharType="end"/>
      </w:r>
      <w:r>
        <w:rPr>
          <w:sz w:val="22"/>
          <w:szCs w:val="22"/>
        </w:rPr>
        <w:t>.</w:t>
      </w:r>
    </w:p>
    <w:p>
      <w:pPr>
        <w:pStyle w:val="2"/>
        <w:spacing w:before="360" w:after="0"/>
      </w:pPr>
      <w:bookmarkStart w:id="2" w:name="_DATA_E_HORÁRIO"/>
      <w:bookmarkEnd w:id="2"/>
      <w:bookmarkStart w:id="3" w:name="_Toc149517429"/>
      <w:r>
        <w:rPr>
          <w:rStyle w:val="45"/>
          <w:sz w:val="22"/>
          <w:szCs w:val="22"/>
        </w:rPr>
        <w:t>DATA E HORÁRIO</w:t>
      </w:r>
      <w:bookmarkEnd w:id="3"/>
    </w:p>
    <w:p>
      <w:pPr>
        <w:pStyle w:val="130"/>
        <w:numPr>
          <w:ilvl w:val="1"/>
          <w:numId w:val="1"/>
        </w:numPr>
        <w:tabs>
          <w:tab w:val="left" w:pos="1134"/>
        </w:tabs>
        <w:spacing w:before="120" w:beforeAutospacing="0" w:after="0" w:afterAutospacing="0"/>
        <w:ind w:left="0" w:firstLine="567"/>
        <w:jc w:val="both"/>
        <w:textAlignment w:val="baseline"/>
      </w:pPr>
      <w:r>
        <w:rPr>
          <w:sz w:val="22"/>
          <w:szCs w:val="22"/>
        </w:rPr>
        <w:t>A(s) proposta(s) de preços e os documentos de habilitação deverão ser cadastrados no Portal Licitanet (</w:t>
      </w:r>
      <w:r>
        <w:fldChar w:fldCharType="begin"/>
      </w:r>
      <w:r>
        <w:instrText xml:space="preserve"> HYPERLINK "https://www.licitanet.com.br/" \h </w:instrText>
      </w:r>
      <w:r>
        <w:fldChar w:fldCharType="separate"/>
      </w:r>
      <w:r>
        <w:rPr>
          <w:rStyle w:val="54"/>
          <w:sz w:val="22"/>
          <w:szCs w:val="22"/>
        </w:rPr>
        <w:t>https://www.licitanet.com.br/</w:t>
      </w:r>
      <w:r>
        <w:rPr>
          <w:rStyle w:val="54"/>
          <w:sz w:val="22"/>
          <w:szCs w:val="22"/>
        </w:rPr>
        <w:fldChar w:fldCharType="end"/>
      </w:r>
      <w:r>
        <w:rPr>
          <w:sz w:val="22"/>
          <w:szCs w:val="22"/>
        </w:rPr>
        <w:t>) at</w:t>
      </w:r>
      <w:r>
        <w:rPr>
          <w:sz w:val="22"/>
          <w:szCs w:val="22"/>
          <w:highlight w:val="none"/>
        </w:rPr>
        <w:t xml:space="preserve">é às </w:t>
      </w:r>
      <w:r>
        <w:rPr>
          <w:rFonts w:hint="default"/>
          <w:b/>
          <w:bCs/>
          <w:sz w:val="22"/>
          <w:szCs w:val="22"/>
          <w:highlight w:val="none"/>
          <w:lang w:val="pt-BR"/>
        </w:rPr>
        <w:t>09</w:t>
      </w:r>
      <w:r>
        <w:rPr>
          <w:b/>
          <w:bCs/>
          <w:sz w:val="22"/>
          <w:szCs w:val="22"/>
          <w:highlight w:val="none"/>
        </w:rPr>
        <w:t>h</w:t>
      </w:r>
      <w:r>
        <w:rPr>
          <w:rFonts w:hint="default"/>
          <w:b/>
          <w:bCs/>
          <w:sz w:val="22"/>
          <w:szCs w:val="22"/>
          <w:highlight w:val="none"/>
          <w:lang w:val="pt-BR"/>
        </w:rPr>
        <w:t>00</w:t>
      </w:r>
      <w:r>
        <w:rPr>
          <w:b/>
          <w:bCs/>
          <w:sz w:val="22"/>
          <w:szCs w:val="22"/>
          <w:highlight w:val="none"/>
        </w:rPr>
        <w:t xml:space="preserve"> horas (horário oficial de Brasília/DF) do dia </w:t>
      </w:r>
      <w:r>
        <w:rPr>
          <w:rFonts w:hint="default"/>
          <w:b/>
          <w:bCs/>
          <w:sz w:val="22"/>
          <w:szCs w:val="22"/>
          <w:highlight w:val="none"/>
          <w:lang w:val="pt-BR"/>
        </w:rPr>
        <w:t>12</w:t>
      </w:r>
      <w:r>
        <w:rPr>
          <w:b/>
          <w:bCs/>
          <w:sz w:val="22"/>
          <w:szCs w:val="22"/>
          <w:highlight w:val="none"/>
        </w:rPr>
        <w:t xml:space="preserve"> de </w:t>
      </w:r>
      <w:r>
        <w:rPr>
          <w:rFonts w:hint="default"/>
          <w:b/>
          <w:bCs/>
          <w:sz w:val="22"/>
          <w:szCs w:val="22"/>
          <w:highlight w:val="none"/>
          <w:lang w:val="pt-BR"/>
        </w:rPr>
        <w:t xml:space="preserve">abril </w:t>
      </w:r>
      <w:r>
        <w:rPr>
          <w:b/>
          <w:bCs/>
          <w:sz w:val="22"/>
          <w:szCs w:val="22"/>
          <w:highlight w:val="none"/>
        </w:rPr>
        <w:t>de 2024 (</w:t>
      </w:r>
      <w:r>
        <w:rPr>
          <w:rFonts w:hint="default"/>
          <w:b/>
          <w:bCs/>
          <w:sz w:val="22"/>
          <w:szCs w:val="22"/>
          <w:highlight w:val="none"/>
          <w:lang w:val="pt-BR"/>
        </w:rPr>
        <w:t>sexta</w:t>
      </w:r>
      <w:r>
        <w:rPr>
          <w:b/>
          <w:bCs/>
          <w:sz w:val="22"/>
          <w:szCs w:val="22"/>
          <w:highlight w:val="none"/>
        </w:rPr>
        <w:t>-feira)</w:t>
      </w:r>
      <w:r>
        <w:rPr>
          <w:sz w:val="22"/>
          <w:szCs w:val="22"/>
          <w:highlight w:val="none"/>
        </w:rPr>
        <w:t>, quando se da</w:t>
      </w:r>
      <w:r>
        <w:rPr>
          <w:sz w:val="22"/>
          <w:szCs w:val="22"/>
        </w:rPr>
        <w:t>rá a abertura da sessão pública.</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sz w:val="22"/>
          <w:szCs w:val="22"/>
        </w:rPr>
        <w:t>Não havendo expediente ou ocorrendo qualquer fato superveniente que impeça a realização do certame na data marcada, a sessão será automaticamente transferida para o primeiro dia útil subsequente, no mesmo horário e endereço eletrônico anteriormente estabelecidos, desde que não haja comunicação do Pregoeiro em contrário.</w:t>
      </w:r>
    </w:p>
    <w:p>
      <w:pPr>
        <w:pStyle w:val="130"/>
        <w:numPr>
          <w:ilvl w:val="0"/>
          <w:numId w:val="0"/>
        </w:numPr>
        <w:tabs>
          <w:tab w:val="left" w:pos="1134"/>
        </w:tabs>
        <w:spacing w:before="0" w:beforeAutospacing="0" w:after="0" w:afterAutospacing="0"/>
        <w:ind w:left="0" w:firstLine="0"/>
        <w:jc w:val="both"/>
        <w:textAlignment w:val="baseline"/>
        <w:rPr>
          <w:rFonts w:ascii="Times New Roman" w:hAnsi="Times New Roman"/>
        </w:rPr>
      </w:pPr>
    </w:p>
    <w:p>
      <w:pPr>
        <w:pStyle w:val="2"/>
        <w:spacing w:before="360" w:after="0"/>
      </w:pPr>
      <w:bookmarkStart w:id="4" w:name="_Toc149517430"/>
      <w:r>
        <w:rPr>
          <w:rStyle w:val="45"/>
          <w:sz w:val="22"/>
          <w:szCs w:val="22"/>
        </w:rPr>
        <w:t>AGENTE DE CONTRAÇÃO</w:t>
      </w:r>
      <w:bookmarkEnd w:id="4"/>
    </w:p>
    <w:p>
      <w:pPr>
        <w:pStyle w:val="130"/>
        <w:numPr>
          <w:ilvl w:val="1"/>
          <w:numId w:val="1"/>
        </w:numPr>
        <w:tabs>
          <w:tab w:val="left" w:pos="1134"/>
        </w:tabs>
        <w:spacing w:before="120" w:beforeAutospacing="0" w:after="0" w:afterAutospacing="0"/>
        <w:ind w:left="0" w:firstLine="567"/>
        <w:jc w:val="both"/>
        <w:textAlignment w:val="baseline"/>
      </w:pPr>
      <w:r>
        <w:rPr>
          <w:sz w:val="22"/>
          <w:szCs w:val="22"/>
        </w:rPr>
        <w:t xml:space="preserve">Os trabalhos do certame licitatório serão conduzidos pelo  servidor </w:t>
      </w:r>
      <w:r>
        <w:rPr>
          <w:rStyle w:val="45"/>
          <w:b/>
          <w:bCs/>
          <w:color w:val="000000" w:themeColor="text1"/>
          <w:sz w:val="22"/>
          <w:szCs w:val="22"/>
          <w:shd w:val="clear" w:fill="auto"/>
        </w:rPr>
        <w:t>Wender de Souza Barros</w:t>
      </w:r>
      <w:r>
        <w:rPr>
          <w:b/>
          <w:bCs/>
          <w:sz w:val="22"/>
          <w:szCs w:val="22"/>
          <w:shd w:val="clear" w:fill="auto"/>
        </w:rPr>
        <w:t>,</w:t>
      </w:r>
      <w:r>
        <w:rPr>
          <w:sz w:val="22"/>
          <w:szCs w:val="22"/>
        </w:rPr>
        <w:t xml:space="preserve"> designado Pregoeiro (</w:t>
      </w:r>
      <w:r>
        <w:fldChar w:fldCharType="begin"/>
      </w:r>
      <w:r>
        <w:rPr>
          <w:rStyle w:val="54"/>
          <w:sz w:val="22"/>
          <w:szCs w:val="22"/>
        </w:rPr>
        <w:instrText xml:space="preserve"> HYPERLINK "https://www.planalto.gov.br/ccivil_03/_ato2019-2022/2021/lei/l14133.htm" \l "art8"</w:instrText>
      </w:r>
      <w:r>
        <w:rPr>
          <w:rStyle w:val="54"/>
          <w:sz w:val="22"/>
          <w:szCs w:val="22"/>
        </w:rPr>
        <w:fldChar w:fldCharType="separate"/>
      </w:r>
      <w:r>
        <w:rPr>
          <w:rStyle w:val="54"/>
          <w:sz w:val="22"/>
          <w:szCs w:val="22"/>
        </w:rPr>
        <w:t>art. 8º da Lei Federal nº 14.133, de 2021</w:t>
      </w:r>
      <w:r>
        <w:rPr>
          <w:rStyle w:val="54"/>
          <w:sz w:val="22"/>
          <w:szCs w:val="22"/>
        </w:rPr>
        <w:fldChar w:fldCharType="end"/>
      </w:r>
      <w:r>
        <w:rPr>
          <w:sz w:val="22"/>
          <w:szCs w:val="22"/>
        </w:rPr>
        <w:t>) por intermédio da Portaria nº 077 de 2024, e que nesta licitação será denominado(a) PREGOEIRO (</w:t>
      </w:r>
      <w:r>
        <w:fldChar w:fldCharType="begin"/>
      </w:r>
      <w:r>
        <w:rPr>
          <w:rStyle w:val="54"/>
          <w:sz w:val="22"/>
          <w:szCs w:val="22"/>
        </w:rPr>
        <w:instrText xml:space="preserve"> HYPERLINK "https://www.planalto.gov.br/ccivil_03/_ato2019-2022/2021/lei/l14133.htm" \l "art8"</w:instrText>
      </w:r>
      <w:r>
        <w:rPr>
          <w:rStyle w:val="54"/>
          <w:sz w:val="22"/>
          <w:szCs w:val="22"/>
        </w:rPr>
        <w:fldChar w:fldCharType="separate"/>
      </w:r>
      <w:r>
        <w:rPr>
          <w:rStyle w:val="54"/>
          <w:sz w:val="22"/>
          <w:szCs w:val="22"/>
        </w:rPr>
        <w:t>art. 8º, §5º, da Lei Federal nº 14.133, de 2021</w:t>
      </w:r>
      <w:r>
        <w:rPr>
          <w:rStyle w:val="54"/>
          <w:sz w:val="22"/>
          <w:szCs w:val="22"/>
        </w:rPr>
        <w:fldChar w:fldCharType="end"/>
      </w:r>
      <w:r>
        <w:rPr>
          <w:sz w:val="22"/>
          <w:szCs w:val="22"/>
        </w:rPr>
        <w:t>).</w:t>
      </w:r>
    </w:p>
    <w:p>
      <w:pPr>
        <w:pStyle w:val="130"/>
        <w:numPr>
          <w:ilvl w:val="1"/>
          <w:numId w:val="1"/>
        </w:numPr>
        <w:tabs>
          <w:tab w:val="left" w:pos="1134"/>
        </w:tabs>
        <w:spacing w:before="0" w:beforeAutospacing="0" w:after="0" w:afterAutospacing="0"/>
        <w:ind w:left="0" w:firstLine="567"/>
        <w:jc w:val="both"/>
        <w:textAlignment w:val="baseline"/>
      </w:pPr>
      <w:r>
        <w:rPr>
          <w:sz w:val="22"/>
          <w:szCs w:val="22"/>
        </w:rPr>
        <w:t>O(A) Pregoeiro será auxiliada por equipe de ap</w:t>
      </w:r>
      <w:r>
        <w:rPr>
          <w:sz w:val="22"/>
          <w:szCs w:val="22"/>
          <w:shd w:val="clear" w:fill="auto"/>
        </w:rPr>
        <w:t>oio (</w:t>
      </w:r>
      <w:r>
        <w:fldChar w:fldCharType="begin"/>
      </w:r>
      <w:r>
        <w:rPr>
          <w:rStyle w:val="54"/>
          <w:sz w:val="22"/>
          <w:szCs w:val="22"/>
          <w:shd w:val="clear" w:fill="auto"/>
        </w:rPr>
        <w:instrText xml:space="preserve"> HYPERLINK "https://www.planalto.gov.br/ccivil_03/_ato2019-2022/2021/lei/l14133.htm" \l "art8"</w:instrText>
      </w:r>
      <w:r>
        <w:rPr>
          <w:rStyle w:val="54"/>
          <w:sz w:val="22"/>
          <w:szCs w:val="22"/>
          <w:shd w:val="clear" w:fill="auto"/>
        </w:rPr>
        <w:fldChar w:fldCharType="separate"/>
      </w:r>
      <w:r>
        <w:rPr>
          <w:rStyle w:val="54"/>
          <w:sz w:val="22"/>
          <w:szCs w:val="22"/>
          <w:shd w:val="clear" w:fill="auto"/>
        </w:rPr>
        <w:t>art. 8º, §1º, da Lei Federal nº 14.133, de 2021</w:t>
      </w:r>
      <w:r>
        <w:rPr>
          <w:rStyle w:val="54"/>
          <w:sz w:val="22"/>
          <w:szCs w:val="22"/>
          <w:shd w:val="clear" w:fill="auto"/>
        </w:rPr>
        <w:fldChar w:fldCharType="end"/>
      </w:r>
      <w:r>
        <w:rPr>
          <w:sz w:val="22"/>
          <w:szCs w:val="22"/>
          <w:shd w:val="clear" w:fill="auto"/>
        </w:rPr>
        <w:t xml:space="preserve">) designada pela Portaria nº 077 de 2024, </w:t>
      </w:r>
      <w:r>
        <w:rPr>
          <w:sz w:val="22"/>
          <w:szCs w:val="22"/>
        </w:rPr>
        <w:t>e responderá individualmente pelos atos que praticar.</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sz w:val="22"/>
          <w:szCs w:val="22"/>
        </w:rPr>
        <w:t>Em caso de impedimento na condução do certame licitatório, o Pregoeiro será substituído automaticamente por outro Pregoeiro designado pela Portaria nº 077, de 2024, seguindo a ordem de substituição definida na referida portaria.</w:t>
      </w:r>
    </w:p>
    <w:p>
      <w:pPr>
        <w:pStyle w:val="2"/>
        <w:spacing w:before="360" w:after="0"/>
      </w:pPr>
      <w:bookmarkStart w:id="5" w:name="_Toc149517431"/>
      <w:r>
        <w:rPr>
          <w:rStyle w:val="45"/>
          <w:sz w:val="22"/>
          <w:szCs w:val="22"/>
        </w:rPr>
        <w:t>OBJETO</w:t>
      </w:r>
      <w:bookmarkEnd w:id="5"/>
      <w:r>
        <w:rPr>
          <w:rStyle w:val="45"/>
          <w:sz w:val="22"/>
          <w:szCs w:val="22"/>
        </w:rPr>
        <w:t> </w:t>
      </w:r>
    </w:p>
    <w:p>
      <w:pPr>
        <w:pStyle w:val="130"/>
        <w:numPr>
          <w:ilvl w:val="1"/>
          <w:numId w:val="1"/>
        </w:numPr>
        <w:tabs>
          <w:tab w:val="left" w:pos="1134"/>
        </w:tabs>
        <w:spacing w:before="120" w:beforeAutospacing="0" w:after="0" w:afterAutospacing="0"/>
        <w:ind w:left="0" w:firstLine="567"/>
        <w:jc w:val="both"/>
        <w:textAlignment w:val="baseline"/>
      </w:pPr>
      <w:r>
        <w:rPr>
          <w:rStyle w:val="45"/>
          <w:color w:val="000000"/>
          <w:sz w:val="22"/>
          <w:szCs w:val="22"/>
        </w:rPr>
        <w:t xml:space="preserve">A presente licitação, por item, tem por objeto a </w:t>
      </w:r>
      <w:r>
        <w:rPr>
          <w:color w:val="000000"/>
          <w:sz w:val="22"/>
          <w:szCs w:val="22"/>
        </w:rPr>
        <w:t xml:space="preserve">contratação, pelo </w:t>
      </w:r>
      <w:r>
        <w:rPr>
          <w:sz w:val="22"/>
          <w:szCs w:val="22"/>
        </w:rPr>
        <w:t>Sistema de Registro de Preços,</w:t>
      </w:r>
      <w:r>
        <w:rPr>
          <w:color w:val="000000"/>
          <w:sz w:val="22"/>
          <w:szCs w:val="22"/>
        </w:rPr>
        <w:t xml:space="preserve">  de</w:t>
      </w:r>
      <w:r>
        <w:rPr>
          <w:color w:val="000000"/>
          <w:sz w:val="22"/>
          <w:szCs w:val="22"/>
          <w:shd w:val="clear" w:fill="auto"/>
        </w:rPr>
        <w:t xml:space="preserve"> </w:t>
      </w:r>
      <w:r>
        <w:rPr>
          <w:b/>
          <w:bCs/>
          <w:color w:val="000000"/>
          <w:kern w:val="0"/>
          <w:sz w:val="22"/>
          <w:szCs w:val="22"/>
          <w:shd w:val="clear" w:fill="auto"/>
          <w:lang w:val="pt-BR" w:bidi="ar-SA"/>
        </w:rPr>
        <w:t>Aquisição de Gêneros Alimentícios, para atender as Sessões Ordinárias, Extraordinárias e Eventos da Câmara Municipal de Primavera do Leste-MT,</w:t>
      </w:r>
      <w:r>
        <w:rPr>
          <w:rStyle w:val="45"/>
          <w:color w:val="000000"/>
          <w:sz w:val="22"/>
          <w:szCs w:val="22"/>
        </w:rPr>
        <w:t xml:space="preserve"> conforme especificações, condições, quantidades e prazos constantes do</w:t>
      </w:r>
      <w:r>
        <w:rPr>
          <w:rStyle w:val="45"/>
          <w:b/>
          <w:bCs/>
          <w:color w:val="000000"/>
          <w:sz w:val="22"/>
          <w:szCs w:val="22"/>
        </w:rPr>
        <w:t xml:space="preserve"> </w:t>
      </w:r>
      <w:r>
        <w:fldChar w:fldCharType="begin"/>
      </w:r>
      <w:r>
        <w:instrText xml:space="preserve"> HYPERLINK \l "_ANEXO_I_-_1" \h </w:instrText>
      </w:r>
      <w:r>
        <w:fldChar w:fldCharType="separate"/>
      </w:r>
      <w:r>
        <w:rPr>
          <w:rStyle w:val="54"/>
          <w:b/>
          <w:bCs/>
          <w:sz w:val="22"/>
          <w:szCs w:val="22"/>
        </w:rPr>
        <w:t>Termo de Referência - Anexo I deste Edital</w:t>
      </w:r>
      <w:r>
        <w:rPr>
          <w:rStyle w:val="54"/>
          <w:b/>
          <w:bCs/>
          <w:sz w:val="22"/>
          <w:szCs w:val="22"/>
        </w:rPr>
        <w:fldChar w:fldCharType="end"/>
      </w:r>
      <w:r>
        <w:rPr>
          <w:rStyle w:val="45"/>
          <w:b/>
          <w:bCs/>
          <w:color w:val="000000"/>
          <w:sz w:val="22"/>
          <w:szCs w:val="22"/>
        </w:rPr>
        <w:t>.</w:t>
      </w:r>
    </w:p>
    <w:p>
      <w:pPr>
        <w:pStyle w:val="130"/>
        <w:numPr>
          <w:ilvl w:val="1"/>
          <w:numId w:val="1"/>
        </w:numPr>
        <w:tabs>
          <w:tab w:val="left" w:pos="1134"/>
        </w:tabs>
        <w:spacing w:before="0" w:beforeAutospacing="0" w:after="120" w:afterAutospacing="0"/>
        <w:ind w:left="0" w:firstLine="567"/>
        <w:jc w:val="both"/>
        <w:textAlignment w:val="baseline"/>
      </w:pPr>
      <w:r>
        <w:rPr>
          <w:rStyle w:val="45"/>
          <w:b/>
          <w:bCs/>
          <w:sz w:val="22"/>
          <w:szCs w:val="22"/>
        </w:rPr>
        <w:t>Descrição do objeto da contratação:</w:t>
      </w:r>
      <w:r>
        <w:rPr>
          <w:rStyle w:val="45"/>
          <w:sz w:val="22"/>
          <w:szCs w:val="22"/>
        </w:rPr>
        <w:t xml:space="preserve"> </w:t>
      </w:r>
    </w:p>
    <w:p>
      <w:pPr>
        <w:numPr>
          <w:ilvl w:val="0"/>
          <w:numId w:val="0"/>
        </w:numPr>
        <w:tabs>
          <w:tab w:val="left" w:pos="426"/>
        </w:tabs>
        <w:spacing w:line="276" w:lineRule="auto"/>
        <w:ind w:leftChars="0" w:right="0" w:rightChars="0"/>
        <w:rPr>
          <w:rFonts w:hint="default" w:ascii="Times New Roman" w:hAnsi="Times New Roman" w:eastAsia="Times New Roman" w:cs="Times New Roman"/>
          <w:sz w:val="18"/>
          <w:szCs w:val="18"/>
          <w:lang w:eastAsia="en-US"/>
        </w:rPr>
      </w:pPr>
    </w:p>
    <w:tbl>
      <w:tblPr>
        <w:tblStyle w:val="10"/>
        <w:tblW w:w="8957" w:type="dxa"/>
        <w:tblInd w:w="40" w:type="dxa"/>
        <w:tblLayout w:type="fixed"/>
        <w:tblCellMar>
          <w:top w:w="0" w:type="dxa"/>
          <w:left w:w="108" w:type="dxa"/>
          <w:bottom w:w="0" w:type="dxa"/>
          <w:right w:w="108" w:type="dxa"/>
        </w:tblCellMar>
      </w:tblPr>
      <w:tblGrid>
        <w:gridCol w:w="675"/>
        <w:gridCol w:w="945"/>
        <w:gridCol w:w="1050"/>
        <w:gridCol w:w="720"/>
        <w:gridCol w:w="1245"/>
        <w:gridCol w:w="1528"/>
        <w:gridCol w:w="633"/>
        <w:gridCol w:w="1000"/>
        <w:gridCol w:w="1161"/>
      </w:tblGrid>
      <w:tr>
        <w:tblPrEx>
          <w:tblCellMar>
            <w:top w:w="0" w:type="dxa"/>
            <w:left w:w="108" w:type="dxa"/>
            <w:bottom w:w="0" w:type="dxa"/>
            <w:right w:w="108" w:type="dxa"/>
          </w:tblCellMar>
        </w:tblPrEx>
        <w:trPr>
          <w:trHeight w:val="756" w:hRule="atLeast"/>
        </w:trPr>
        <w:tc>
          <w:tcPr>
            <w:tcW w:w="8957" w:type="dxa"/>
            <w:gridSpan w:val="9"/>
            <w:tcBorders>
              <w:top w:val="single" w:color="000000" w:sz="4" w:space="0"/>
              <w:left w:val="single" w:color="000000" w:sz="4" w:space="0"/>
              <w:bottom w:val="single" w:color="000000" w:sz="4" w:space="0"/>
              <w:right w:val="single" w:color="000000" w:sz="4" w:space="0"/>
            </w:tcBorders>
            <w:shd w:val="clear" w:color="auto" w:fill="BFBFBF"/>
            <w:noWrap w:val="0"/>
            <w:vAlign w:val="top"/>
          </w:tcPr>
          <w:p>
            <w:pPr>
              <w:pStyle w:val="174"/>
              <w:snapToGrid w:val="0"/>
              <w:jc w:val="center"/>
              <w:rPr>
                <w:rFonts w:hint="default" w:ascii="Times New Roman" w:hAnsi="Times New Roman" w:eastAsia="Arial" w:cs="Times New Roman"/>
                <w:b/>
                <w:sz w:val="18"/>
                <w:szCs w:val="18"/>
              </w:rPr>
            </w:pPr>
          </w:p>
          <w:p>
            <w:pPr>
              <w:pStyle w:val="174"/>
              <w:snapToGrid w:val="0"/>
              <w:jc w:val="center"/>
              <w:rPr>
                <w:rFonts w:hint="default" w:ascii="Times New Roman" w:hAnsi="Times New Roman" w:eastAsia="Arial" w:cs="Times New Roman"/>
                <w:b/>
                <w:sz w:val="18"/>
                <w:szCs w:val="18"/>
              </w:rPr>
            </w:pPr>
            <w:r>
              <w:rPr>
                <w:rStyle w:val="128"/>
                <w:rFonts w:hint="default" w:ascii="Times New Roman" w:hAnsi="Times New Roman" w:eastAsia="Arial" w:cs="Times New Roman"/>
                <w:b/>
                <w:sz w:val="18"/>
                <w:szCs w:val="18"/>
              </w:rPr>
              <w:t>03 – DERIVADOS ALIMENTÍCIOS PARA SESSÃO PARLAMENTAR/EVENTOS</w:t>
            </w:r>
          </w:p>
        </w:tc>
      </w:tr>
      <w:tr>
        <w:tblPrEx>
          <w:tblCellMar>
            <w:top w:w="0" w:type="dxa"/>
            <w:left w:w="108" w:type="dxa"/>
            <w:bottom w:w="0" w:type="dxa"/>
            <w:right w:w="108" w:type="dxa"/>
          </w:tblCellMar>
        </w:tblPrEx>
        <w:trPr>
          <w:trHeight w:val="653" w:hRule="atLeast"/>
        </w:trPr>
        <w:tc>
          <w:tcPr>
            <w:tcW w:w="8957" w:type="dxa"/>
            <w:gridSpan w:val="9"/>
            <w:tcBorders>
              <w:left w:val="single" w:color="000000" w:sz="4" w:space="0"/>
              <w:bottom w:val="single" w:color="000000" w:sz="4" w:space="0"/>
              <w:right w:val="single" w:color="000000" w:sz="4" w:space="0"/>
            </w:tcBorders>
            <w:shd w:val="clear" w:color="auto" w:fill="BFBFBF"/>
            <w:noWrap w:val="0"/>
            <w:vAlign w:val="top"/>
          </w:tcPr>
          <w:p>
            <w:pPr>
              <w:pStyle w:val="174"/>
              <w:snapToGrid w:val="0"/>
              <w:jc w:val="center"/>
              <w:rPr>
                <w:rFonts w:hint="default" w:ascii="Times New Roman" w:hAnsi="Times New Roman" w:eastAsia="Arial" w:cs="Times New Roman"/>
                <w:b/>
                <w:sz w:val="18"/>
                <w:szCs w:val="18"/>
              </w:rPr>
            </w:pPr>
          </w:p>
          <w:p>
            <w:pPr>
              <w:pStyle w:val="174"/>
              <w:snapToGrid w:val="0"/>
              <w:jc w:val="center"/>
              <w:rPr>
                <w:rFonts w:hint="default" w:ascii="Times New Roman" w:hAnsi="Times New Roman" w:eastAsia="Arial" w:cs="Times New Roman"/>
                <w:b/>
                <w:sz w:val="18"/>
                <w:szCs w:val="18"/>
              </w:rPr>
            </w:pPr>
            <w:r>
              <w:rPr>
                <w:rFonts w:hint="default" w:ascii="Times New Roman" w:hAnsi="Times New Roman" w:eastAsia="Arial" w:cs="Times New Roman"/>
                <w:b/>
                <w:sz w:val="18"/>
                <w:szCs w:val="18"/>
              </w:rPr>
              <w:t>LOTE 1 - BOLOS</w:t>
            </w:r>
          </w:p>
        </w:tc>
      </w:tr>
      <w:tr>
        <w:tblPrEx>
          <w:tblCellMar>
            <w:top w:w="0" w:type="dxa"/>
            <w:left w:w="108" w:type="dxa"/>
            <w:bottom w:w="0" w:type="dxa"/>
            <w:right w:w="108" w:type="dxa"/>
          </w:tblCellMar>
        </w:tblPrEx>
        <w:trPr>
          <w:trHeight w:val="756" w:hRule="atLeast"/>
        </w:trPr>
        <w:tc>
          <w:tcPr>
            <w:tcW w:w="675" w:type="dxa"/>
            <w:tcBorders>
              <w:top w:val="single" w:color="000000" w:sz="4" w:space="0"/>
              <w:left w:val="single" w:color="000000" w:sz="4" w:space="0"/>
              <w:bottom w:val="single" w:color="000000" w:sz="4" w:space="0"/>
            </w:tcBorders>
            <w:shd w:val="clear" w:color="auto" w:fill="BFBFBF"/>
            <w:noWrap w:val="0"/>
            <w:vAlign w:val="top"/>
          </w:tcPr>
          <w:p>
            <w:pPr>
              <w:pStyle w:val="174"/>
              <w:snapToGrid w:val="0"/>
              <w:jc w:val="center"/>
              <w:rPr>
                <w:rFonts w:hint="default" w:ascii="Times New Roman" w:hAnsi="Times New Roman" w:eastAsia="Arial" w:cs="Times New Roman"/>
                <w:b/>
                <w:bCs/>
                <w:sz w:val="18"/>
                <w:szCs w:val="18"/>
              </w:rPr>
            </w:pPr>
          </w:p>
          <w:p>
            <w:pPr>
              <w:pStyle w:val="174"/>
              <w:jc w:val="center"/>
              <w:rPr>
                <w:rFonts w:hint="default" w:ascii="Times New Roman" w:hAnsi="Times New Roman" w:eastAsia="Arial" w:cs="Times New Roman"/>
                <w:b/>
                <w:sz w:val="18"/>
                <w:szCs w:val="18"/>
              </w:rPr>
            </w:pPr>
            <w:r>
              <w:rPr>
                <w:rFonts w:hint="default" w:ascii="Times New Roman" w:hAnsi="Times New Roman" w:cs="Times New Roman"/>
                <w:b/>
                <w:bCs/>
                <w:sz w:val="18"/>
                <w:szCs w:val="18"/>
              </w:rPr>
              <w:t>ITEM</w:t>
            </w:r>
          </w:p>
        </w:tc>
        <w:tc>
          <w:tcPr>
            <w:tcW w:w="945" w:type="dxa"/>
            <w:tcBorders>
              <w:top w:val="single" w:color="000000" w:sz="4" w:space="0"/>
              <w:left w:val="single" w:color="000000" w:sz="4" w:space="0"/>
              <w:bottom w:val="single" w:color="000000" w:sz="4" w:space="0"/>
              <w:right w:val="single" w:color="000000" w:sz="4" w:space="0"/>
            </w:tcBorders>
            <w:shd w:val="clear" w:color="auto" w:fill="BFBFBF"/>
            <w:noWrap w:val="0"/>
            <w:vAlign w:val="top"/>
          </w:tcPr>
          <w:p>
            <w:pPr>
              <w:pStyle w:val="174"/>
              <w:snapToGrid w:val="0"/>
              <w:jc w:val="center"/>
              <w:rPr>
                <w:rFonts w:hint="default" w:ascii="Times New Roman" w:hAnsi="Times New Roman" w:eastAsia="Arial" w:cs="Times New Roman"/>
                <w:b/>
                <w:sz w:val="18"/>
                <w:szCs w:val="18"/>
              </w:rPr>
            </w:pPr>
          </w:p>
          <w:p>
            <w:pPr>
              <w:pStyle w:val="174"/>
              <w:jc w:val="center"/>
              <w:rPr>
                <w:rStyle w:val="128"/>
                <w:rFonts w:hint="default" w:ascii="Times New Roman" w:hAnsi="Times New Roman" w:eastAsia="Arial" w:cs="Times New Roman"/>
                <w:b/>
                <w:sz w:val="18"/>
                <w:szCs w:val="18"/>
              </w:rPr>
            </w:pPr>
            <w:r>
              <w:rPr>
                <w:rStyle w:val="128"/>
                <w:rFonts w:hint="default" w:ascii="Times New Roman" w:hAnsi="Times New Roman" w:eastAsia="Arial" w:cs="Times New Roman"/>
                <w:b/>
                <w:sz w:val="18"/>
                <w:szCs w:val="18"/>
              </w:rPr>
              <w:t>CÓD TCE-MT</w:t>
            </w:r>
          </w:p>
        </w:tc>
        <w:tc>
          <w:tcPr>
            <w:tcW w:w="1050"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pStyle w:val="174"/>
              <w:jc w:val="center"/>
              <w:rPr>
                <w:rStyle w:val="128"/>
                <w:rFonts w:hint="default" w:ascii="Times New Roman" w:hAnsi="Times New Roman" w:eastAsia="Arial" w:cs="Times New Roman"/>
                <w:b/>
                <w:sz w:val="18"/>
                <w:szCs w:val="18"/>
              </w:rPr>
            </w:pPr>
            <w:r>
              <w:rPr>
                <w:rStyle w:val="128"/>
                <w:rFonts w:hint="default" w:ascii="Times New Roman" w:hAnsi="Times New Roman" w:eastAsia="Arial" w:cs="Times New Roman"/>
                <w:b/>
                <w:sz w:val="18"/>
                <w:szCs w:val="18"/>
              </w:rPr>
              <w:t>COD SISTEMA</w:t>
            </w:r>
          </w:p>
        </w:tc>
        <w:tc>
          <w:tcPr>
            <w:tcW w:w="720"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pStyle w:val="174"/>
              <w:jc w:val="center"/>
              <w:rPr>
                <w:rStyle w:val="128"/>
                <w:rFonts w:hint="default" w:ascii="Times New Roman" w:hAnsi="Times New Roman" w:eastAsia="Arial" w:cs="Times New Roman"/>
                <w:b/>
                <w:sz w:val="18"/>
                <w:szCs w:val="18"/>
              </w:rPr>
            </w:pPr>
            <w:r>
              <w:rPr>
                <w:rStyle w:val="128"/>
                <w:rFonts w:hint="default" w:ascii="Times New Roman" w:hAnsi="Times New Roman" w:eastAsia="Arial" w:cs="Times New Roman"/>
                <w:b/>
                <w:sz w:val="18"/>
                <w:szCs w:val="18"/>
              </w:rPr>
              <w:t>UNID</w:t>
            </w:r>
          </w:p>
        </w:tc>
        <w:tc>
          <w:tcPr>
            <w:tcW w:w="1245"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pStyle w:val="174"/>
              <w:jc w:val="center"/>
              <w:rPr>
                <w:rStyle w:val="128"/>
                <w:rFonts w:hint="default" w:ascii="Times New Roman" w:hAnsi="Times New Roman" w:cs="Times New Roman"/>
                <w:b/>
                <w:sz w:val="18"/>
                <w:szCs w:val="18"/>
              </w:rPr>
            </w:pPr>
            <w:r>
              <w:rPr>
                <w:rStyle w:val="128"/>
                <w:rFonts w:hint="default" w:ascii="Times New Roman" w:hAnsi="Times New Roman" w:eastAsia="Arial" w:cs="Times New Roman"/>
                <w:b/>
                <w:sz w:val="18"/>
                <w:szCs w:val="18"/>
              </w:rPr>
              <w:t>PRODUTO</w:t>
            </w:r>
          </w:p>
        </w:tc>
        <w:tc>
          <w:tcPr>
            <w:tcW w:w="1528"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spacing w:line="100" w:lineRule="atLeast"/>
              <w:jc w:val="center"/>
              <w:rPr>
                <w:rStyle w:val="128"/>
                <w:rFonts w:hint="default" w:ascii="Times New Roman" w:hAnsi="Times New Roman" w:cs="Times New Roman"/>
                <w:b/>
                <w:sz w:val="18"/>
                <w:szCs w:val="18"/>
              </w:rPr>
            </w:pPr>
            <w:r>
              <w:rPr>
                <w:rStyle w:val="128"/>
                <w:rFonts w:hint="default" w:ascii="Times New Roman" w:hAnsi="Times New Roman" w:cs="Times New Roman"/>
                <w:b/>
                <w:sz w:val="18"/>
                <w:szCs w:val="18"/>
              </w:rPr>
              <w:t>DESCRIÇÃO</w:t>
            </w:r>
          </w:p>
        </w:tc>
        <w:tc>
          <w:tcPr>
            <w:tcW w:w="633"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spacing w:line="100" w:lineRule="atLeast"/>
              <w:jc w:val="center"/>
              <w:rPr>
                <w:rStyle w:val="128"/>
                <w:rFonts w:hint="default" w:ascii="Times New Roman" w:hAnsi="Times New Roman" w:eastAsia="Arial" w:cs="Times New Roman"/>
                <w:b/>
                <w:sz w:val="18"/>
                <w:szCs w:val="18"/>
              </w:rPr>
            </w:pPr>
            <w:r>
              <w:rPr>
                <w:rStyle w:val="128"/>
                <w:rFonts w:hint="default" w:ascii="Times New Roman" w:hAnsi="Times New Roman" w:cs="Times New Roman"/>
                <w:b/>
                <w:sz w:val="18"/>
                <w:szCs w:val="18"/>
              </w:rPr>
              <w:t>QTD</w:t>
            </w:r>
          </w:p>
        </w:tc>
        <w:tc>
          <w:tcPr>
            <w:tcW w:w="1000"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pStyle w:val="174"/>
              <w:jc w:val="center"/>
              <w:rPr>
                <w:rStyle w:val="128"/>
                <w:rFonts w:hint="default" w:ascii="Times New Roman" w:hAnsi="Times New Roman" w:eastAsia="Arial" w:cs="Times New Roman"/>
                <w:b/>
                <w:sz w:val="18"/>
                <w:szCs w:val="18"/>
              </w:rPr>
            </w:pPr>
            <w:r>
              <w:rPr>
                <w:rStyle w:val="128"/>
                <w:rFonts w:hint="default" w:ascii="Times New Roman" w:hAnsi="Times New Roman" w:eastAsia="Arial" w:cs="Times New Roman"/>
                <w:b/>
                <w:sz w:val="18"/>
                <w:szCs w:val="18"/>
              </w:rPr>
              <w:t>PREÇO UNIT</w:t>
            </w:r>
          </w:p>
        </w:tc>
        <w:tc>
          <w:tcPr>
            <w:tcW w:w="1161"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pStyle w:val="174"/>
              <w:jc w:val="center"/>
              <w:rPr>
                <w:rFonts w:hint="default" w:ascii="Times New Roman" w:hAnsi="Times New Roman" w:cs="Times New Roman"/>
                <w:sz w:val="18"/>
                <w:szCs w:val="18"/>
              </w:rPr>
            </w:pPr>
            <w:r>
              <w:rPr>
                <w:rStyle w:val="128"/>
                <w:rFonts w:hint="default" w:ascii="Times New Roman" w:hAnsi="Times New Roman" w:eastAsia="Arial" w:cs="Times New Roman"/>
                <w:b/>
                <w:sz w:val="18"/>
                <w:szCs w:val="18"/>
              </w:rPr>
              <w:t>PREÇO TOTAL</w:t>
            </w:r>
          </w:p>
        </w:tc>
      </w:tr>
      <w:tr>
        <w:tblPrEx>
          <w:tblCellMar>
            <w:top w:w="0" w:type="dxa"/>
            <w:left w:w="108" w:type="dxa"/>
            <w:bottom w:w="0" w:type="dxa"/>
            <w:right w:w="108" w:type="dxa"/>
          </w:tblCellMar>
        </w:tblPrEx>
        <w:trPr>
          <w:trHeight w:val="607" w:hRule="atLeast"/>
        </w:trPr>
        <w:tc>
          <w:tcPr>
            <w:tcW w:w="675" w:type="dxa"/>
            <w:tcBorders>
              <w:top w:val="single" w:color="000000" w:sz="4" w:space="0"/>
              <w:left w:val="single" w:color="000000" w:sz="4" w:space="0"/>
              <w:bottom w:val="single" w:color="000000" w:sz="4" w:space="0"/>
            </w:tcBorders>
            <w:shd w:val="clear" w:color="auto" w:fill="auto"/>
            <w:noWrap w:val="0"/>
            <w:vAlign w:val="center"/>
          </w:tcPr>
          <w:p>
            <w:pPr>
              <w:pStyle w:val="174"/>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74"/>
              <w:jc w:val="center"/>
              <w:rPr>
                <w:rFonts w:hint="default" w:ascii="Times New Roman" w:hAnsi="Times New Roman" w:cs="Times New Roman"/>
                <w:sz w:val="18"/>
                <w:szCs w:val="18"/>
              </w:rPr>
            </w:pPr>
            <w:r>
              <w:rPr>
                <w:rFonts w:hint="default" w:ascii="Times New Roman" w:hAnsi="Times New Roman" w:cs="Times New Roman"/>
                <w:sz w:val="18"/>
                <w:szCs w:val="18"/>
              </w:rPr>
              <w:t>00060757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74"/>
              <w:jc w:val="center"/>
              <w:rPr>
                <w:rFonts w:hint="default" w:ascii="Times New Roman" w:hAnsi="Times New Roman" w:cs="Times New Roman"/>
                <w:color w:val="000000"/>
                <w:sz w:val="18"/>
                <w:szCs w:val="18"/>
                <w:lang w:eastAsia="hi-IN"/>
              </w:rPr>
            </w:pPr>
            <w:r>
              <w:rPr>
                <w:rFonts w:hint="default" w:ascii="Times New Roman" w:hAnsi="Times New Roman" w:cs="Times New Roman"/>
                <w:sz w:val="18"/>
                <w:szCs w:val="18"/>
              </w:rPr>
              <w:t>1479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100" w:lineRule="atLeast"/>
              <w:jc w:val="center"/>
              <w:rPr>
                <w:rFonts w:hint="default" w:ascii="Times New Roman" w:hAnsi="Times New Roman" w:cs="Times New Roman"/>
                <w:sz w:val="18"/>
                <w:szCs w:val="18"/>
              </w:rPr>
            </w:pPr>
            <w:r>
              <w:rPr>
                <w:rFonts w:hint="default" w:ascii="Times New Roman" w:hAnsi="Times New Roman" w:cs="Times New Roman"/>
                <w:color w:val="000000"/>
                <w:sz w:val="18"/>
                <w:szCs w:val="18"/>
                <w:lang w:eastAsia="hi-IN"/>
              </w:rPr>
              <w:t>UN</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100" w:lineRule="atLeast"/>
              <w:jc w:val="center"/>
              <w:rPr>
                <w:rFonts w:hint="default" w:ascii="Times New Roman" w:hAnsi="Times New Roman" w:cs="Times New Roman"/>
                <w:b w:val="0"/>
                <w:i w:val="0"/>
                <w:color w:val="000000"/>
                <w:kern w:val="1"/>
                <w:sz w:val="18"/>
                <w:szCs w:val="18"/>
                <w:lang w:eastAsia="zh-CN"/>
              </w:rPr>
            </w:pPr>
            <w:r>
              <w:rPr>
                <w:rFonts w:hint="default" w:ascii="Times New Roman" w:hAnsi="Times New Roman" w:cs="Times New Roman"/>
                <w:sz w:val="18"/>
                <w:szCs w:val="18"/>
              </w:rPr>
              <w:t>BOLO DE BANANA</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pacing w:line="100" w:lineRule="atLeast"/>
              <w:jc w:val="both"/>
              <w:rPr>
                <w:rFonts w:hint="default" w:ascii="Times New Roman" w:hAnsi="Times New Roman" w:cs="Times New Roman"/>
                <w:color w:val="000000"/>
                <w:sz w:val="18"/>
                <w:szCs w:val="18"/>
                <w:lang w:eastAsia="hi-IN"/>
              </w:rPr>
            </w:pPr>
            <w:r>
              <w:rPr>
                <w:rFonts w:hint="default" w:ascii="Times New Roman" w:hAnsi="Times New Roman" w:cs="Times New Roman"/>
                <w:b w:val="0"/>
                <w:i w:val="0"/>
                <w:color w:val="000000"/>
                <w:kern w:val="1"/>
                <w:sz w:val="18"/>
                <w:szCs w:val="18"/>
                <w:lang w:eastAsia="zh-CN"/>
              </w:rPr>
              <w:t>Bolo de banana com nozes, peso unitário 1,5 Kg</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100" w:lineRule="atLeast"/>
              <w:jc w:val="center"/>
              <w:rPr>
                <w:rFonts w:hint="default" w:ascii="Times New Roman" w:hAnsi="Times New Roman" w:cs="Times New Roman"/>
                <w:color w:val="000000"/>
                <w:sz w:val="18"/>
                <w:szCs w:val="18"/>
                <w:lang w:eastAsia="hi-IN"/>
              </w:rPr>
            </w:pPr>
            <w:r>
              <w:rPr>
                <w:rFonts w:hint="default" w:ascii="Times New Roman" w:hAnsi="Times New Roman" w:cs="Times New Roman"/>
                <w:color w:val="000000"/>
                <w:sz w:val="18"/>
                <w:szCs w:val="18"/>
                <w:lang w:eastAsia="hi-IN"/>
              </w:rPr>
              <w:t>30</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100" w:lineRule="atLeast"/>
              <w:jc w:val="center"/>
              <w:rPr>
                <w:rFonts w:hint="default" w:ascii="Times New Roman" w:hAnsi="Times New Roman" w:cs="Times New Roman"/>
                <w:color w:val="000000"/>
                <w:sz w:val="18"/>
                <w:szCs w:val="18"/>
                <w:lang w:eastAsia="hi-IN"/>
              </w:rPr>
            </w:pPr>
            <w:r>
              <w:rPr>
                <w:rFonts w:hint="default" w:ascii="Times New Roman" w:hAnsi="Times New Roman" w:cs="Times New Roman"/>
                <w:color w:val="000000"/>
                <w:sz w:val="18"/>
                <w:szCs w:val="18"/>
                <w:lang w:eastAsia="hi-IN"/>
              </w:rPr>
              <w:t>R$ 53,97</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100" w:lineRule="atLeast"/>
              <w:jc w:val="center"/>
              <w:rPr>
                <w:rFonts w:hint="default" w:ascii="Times New Roman" w:hAnsi="Times New Roman" w:cs="Times New Roman"/>
                <w:sz w:val="18"/>
                <w:szCs w:val="18"/>
              </w:rPr>
            </w:pPr>
            <w:r>
              <w:rPr>
                <w:rFonts w:hint="default" w:ascii="Times New Roman" w:hAnsi="Times New Roman" w:cs="Times New Roman"/>
                <w:color w:val="000000"/>
                <w:sz w:val="18"/>
                <w:szCs w:val="18"/>
                <w:lang w:eastAsia="hi-IN"/>
              </w:rPr>
              <w:t>R$1.619,10</w:t>
            </w:r>
          </w:p>
        </w:tc>
      </w:tr>
      <w:tr>
        <w:tblPrEx>
          <w:tblCellMar>
            <w:top w:w="0" w:type="dxa"/>
            <w:left w:w="108" w:type="dxa"/>
            <w:bottom w:w="0" w:type="dxa"/>
            <w:right w:w="108" w:type="dxa"/>
          </w:tblCellMar>
        </w:tblPrEx>
        <w:trPr>
          <w:trHeight w:val="809" w:hRule="atLeast"/>
        </w:trPr>
        <w:tc>
          <w:tcPr>
            <w:tcW w:w="675" w:type="dxa"/>
            <w:tcBorders>
              <w:left w:val="single" w:color="000000" w:sz="4" w:space="0"/>
              <w:bottom w:val="single" w:color="000000" w:sz="4" w:space="0"/>
            </w:tcBorders>
            <w:shd w:val="clear" w:color="auto" w:fill="auto"/>
            <w:noWrap w:val="0"/>
            <w:vAlign w:val="center"/>
          </w:tcPr>
          <w:p>
            <w:pPr>
              <w:pStyle w:val="174"/>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945" w:type="dxa"/>
            <w:tcBorders>
              <w:left w:val="single" w:color="000000" w:sz="4" w:space="0"/>
              <w:bottom w:val="single" w:color="000000" w:sz="4" w:space="0"/>
              <w:right w:val="single" w:color="000000" w:sz="4" w:space="0"/>
            </w:tcBorders>
            <w:shd w:val="clear" w:color="auto" w:fill="auto"/>
            <w:noWrap w:val="0"/>
            <w:vAlign w:val="center"/>
          </w:tcPr>
          <w:p>
            <w:pPr>
              <w:pStyle w:val="174"/>
              <w:jc w:val="center"/>
              <w:rPr>
                <w:rFonts w:hint="default" w:ascii="Times New Roman" w:hAnsi="Times New Roman" w:cs="Times New Roman"/>
                <w:sz w:val="18"/>
                <w:szCs w:val="18"/>
              </w:rPr>
            </w:pPr>
            <w:r>
              <w:rPr>
                <w:rFonts w:hint="default" w:ascii="Times New Roman" w:hAnsi="Times New Roman" w:cs="Times New Roman"/>
                <w:sz w:val="18"/>
                <w:szCs w:val="18"/>
              </w:rPr>
              <w:t>260908-8</w:t>
            </w:r>
          </w:p>
        </w:tc>
        <w:tc>
          <w:tcPr>
            <w:tcW w:w="1050" w:type="dxa"/>
            <w:tcBorders>
              <w:left w:val="single" w:color="000000" w:sz="4" w:space="0"/>
              <w:bottom w:val="single" w:color="000000" w:sz="4" w:space="0"/>
              <w:right w:val="single" w:color="000000" w:sz="4" w:space="0"/>
            </w:tcBorders>
            <w:shd w:val="clear" w:color="auto" w:fill="auto"/>
            <w:noWrap w:val="0"/>
            <w:vAlign w:val="center"/>
          </w:tcPr>
          <w:p>
            <w:pPr>
              <w:pStyle w:val="174"/>
              <w:jc w:val="center"/>
              <w:rPr>
                <w:rFonts w:hint="default" w:ascii="Times New Roman" w:hAnsi="Times New Roman" w:cs="Times New Roman"/>
                <w:color w:val="000000"/>
                <w:sz w:val="18"/>
                <w:szCs w:val="18"/>
                <w:lang w:eastAsia="hi-IN"/>
              </w:rPr>
            </w:pPr>
            <w:r>
              <w:rPr>
                <w:rFonts w:hint="default" w:ascii="Times New Roman" w:hAnsi="Times New Roman" w:cs="Times New Roman"/>
                <w:sz w:val="18"/>
                <w:szCs w:val="18"/>
              </w:rPr>
              <w:t>1480</w:t>
            </w:r>
          </w:p>
        </w:tc>
        <w:tc>
          <w:tcPr>
            <w:tcW w:w="720" w:type="dxa"/>
            <w:tcBorders>
              <w:left w:val="single" w:color="000000" w:sz="4" w:space="0"/>
              <w:bottom w:val="single" w:color="000000" w:sz="4" w:space="0"/>
              <w:right w:val="single" w:color="000000" w:sz="4" w:space="0"/>
            </w:tcBorders>
            <w:shd w:val="clear" w:color="auto" w:fill="auto"/>
            <w:noWrap w:val="0"/>
            <w:vAlign w:val="center"/>
          </w:tcPr>
          <w:p>
            <w:pPr>
              <w:spacing w:line="100" w:lineRule="atLeast"/>
              <w:jc w:val="center"/>
              <w:rPr>
                <w:rFonts w:hint="default" w:ascii="Times New Roman" w:hAnsi="Times New Roman" w:cs="Times New Roman"/>
                <w:sz w:val="18"/>
                <w:szCs w:val="18"/>
              </w:rPr>
            </w:pPr>
            <w:r>
              <w:rPr>
                <w:rFonts w:hint="default" w:ascii="Times New Roman" w:hAnsi="Times New Roman" w:cs="Times New Roman"/>
                <w:color w:val="000000"/>
                <w:sz w:val="18"/>
                <w:szCs w:val="18"/>
                <w:lang w:eastAsia="hi-IN"/>
              </w:rPr>
              <w:t>UN</w:t>
            </w:r>
          </w:p>
        </w:tc>
        <w:tc>
          <w:tcPr>
            <w:tcW w:w="1245" w:type="dxa"/>
            <w:tcBorders>
              <w:left w:val="single" w:color="000000" w:sz="4" w:space="0"/>
              <w:bottom w:val="single" w:color="000000" w:sz="4" w:space="0"/>
              <w:right w:val="single" w:color="000000" w:sz="4" w:space="0"/>
            </w:tcBorders>
            <w:shd w:val="clear" w:color="auto" w:fill="auto"/>
            <w:noWrap w:val="0"/>
            <w:vAlign w:val="center"/>
          </w:tcPr>
          <w:p>
            <w:pPr>
              <w:spacing w:line="100" w:lineRule="atLeast"/>
              <w:jc w:val="center"/>
              <w:rPr>
                <w:rFonts w:hint="default" w:ascii="Times New Roman" w:hAnsi="Times New Roman" w:cs="Times New Roman"/>
                <w:b w:val="0"/>
                <w:i w:val="0"/>
                <w:color w:val="000000"/>
                <w:kern w:val="1"/>
                <w:sz w:val="18"/>
                <w:szCs w:val="18"/>
                <w:lang w:eastAsia="zh-CN"/>
              </w:rPr>
            </w:pPr>
            <w:r>
              <w:rPr>
                <w:rFonts w:hint="default" w:ascii="Times New Roman" w:hAnsi="Times New Roman" w:cs="Times New Roman"/>
                <w:sz w:val="18"/>
                <w:szCs w:val="18"/>
              </w:rPr>
              <w:t>BOLO DE CENOURA</w:t>
            </w:r>
          </w:p>
        </w:tc>
        <w:tc>
          <w:tcPr>
            <w:tcW w:w="1528" w:type="dxa"/>
            <w:tcBorders>
              <w:left w:val="single" w:color="000000" w:sz="4" w:space="0"/>
              <w:bottom w:val="single" w:color="000000" w:sz="4" w:space="0"/>
              <w:right w:val="single" w:color="000000" w:sz="4" w:space="0"/>
            </w:tcBorders>
            <w:shd w:val="clear" w:color="auto" w:fill="auto"/>
            <w:noWrap w:val="0"/>
            <w:vAlign w:val="center"/>
          </w:tcPr>
          <w:p>
            <w:pPr>
              <w:widowControl w:val="0"/>
              <w:spacing w:line="100" w:lineRule="atLeast"/>
              <w:jc w:val="both"/>
              <w:rPr>
                <w:rFonts w:hint="default" w:ascii="Times New Roman" w:hAnsi="Times New Roman" w:cs="Times New Roman"/>
                <w:color w:val="000000"/>
                <w:sz w:val="18"/>
                <w:szCs w:val="18"/>
                <w:lang w:eastAsia="hi-IN"/>
              </w:rPr>
            </w:pPr>
            <w:r>
              <w:rPr>
                <w:rFonts w:hint="default" w:ascii="Times New Roman" w:hAnsi="Times New Roman" w:cs="Times New Roman"/>
                <w:b w:val="0"/>
                <w:i w:val="0"/>
                <w:color w:val="000000"/>
                <w:kern w:val="1"/>
                <w:sz w:val="18"/>
                <w:szCs w:val="18"/>
                <w:lang w:eastAsia="zh-CN"/>
              </w:rPr>
              <w:t>Bolo de cenoura com cobertura de chocolate  peso unitário 1,5kg</w:t>
            </w:r>
          </w:p>
        </w:tc>
        <w:tc>
          <w:tcPr>
            <w:tcW w:w="633" w:type="dxa"/>
            <w:tcBorders>
              <w:left w:val="single" w:color="000000" w:sz="4" w:space="0"/>
              <w:bottom w:val="single" w:color="000000" w:sz="4" w:space="0"/>
              <w:right w:val="single" w:color="000000" w:sz="4" w:space="0"/>
            </w:tcBorders>
            <w:shd w:val="clear" w:color="auto" w:fill="auto"/>
            <w:noWrap w:val="0"/>
            <w:vAlign w:val="center"/>
          </w:tcPr>
          <w:p>
            <w:pPr>
              <w:spacing w:line="100" w:lineRule="atLeast"/>
              <w:jc w:val="center"/>
              <w:rPr>
                <w:rFonts w:hint="default" w:ascii="Times New Roman" w:hAnsi="Times New Roman" w:cs="Times New Roman"/>
                <w:color w:val="000000"/>
                <w:sz w:val="18"/>
                <w:szCs w:val="18"/>
                <w:lang w:eastAsia="hi-IN"/>
              </w:rPr>
            </w:pPr>
            <w:r>
              <w:rPr>
                <w:rFonts w:hint="default" w:ascii="Times New Roman" w:hAnsi="Times New Roman" w:cs="Times New Roman"/>
                <w:color w:val="000000"/>
                <w:sz w:val="18"/>
                <w:szCs w:val="18"/>
                <w:lang w:eastAsia="hi-IN"/>
              </w:rPr>
              <w:t>30</w:t>
            </w:r>
          </w:p>
        </w:tc>
        <w:tc>
          <w:tcPr>
            <w:tcW w:w="1000" w:type="dxa"/>
            <w:tcBorders>
              <w:left w:val="single" w:color="000000" w:sz="4" w:space="0"/>
              <w:bottom w:val="single" w:color="000000" w:sz="4" w:space="0"/>
              <w:right w:val="single" w:color="000000" w:sz="4" w:space="0"/>
            </w:tcBorders>
            <w:shd w:val="clear" w:color="auto" w:fill="auto"/>
            <w:noWrap w:val="0"/>
            <w:vAlign w:val="center"/>
          </w:tcPr>
          <w:p>
            <w:pPr>
              <w:spacing w:line="100" w:lineRule="atLeast"/>
              <w:jc w:val="center"/>
              <w:rPr>
                <w:rFonts w:hint="default" w:ascii="Times New Roman" w:hAnsi="Times New Roman" w:cs="Times New Roman"/>
                <w:color w:val="000000"/>
                <w:sz w:val="18"/>
                <w:szCs w:val="18"/>
                <w:lang w:eastAsia="hi-IN"/>
              </w:rPr>
            </w:pPr>
            <w:r>
              <w:rPr>
                <w:rFonts w:hint="default" w:ascii="Times New Roman" w:hAnsi="Times New Roman" w:cs="Times New Roman"/>
                <w:color w:val="000000"/>
                <w:sz w:val="18"/>
                <w:szCs w:val="18"/>
                <w:lang w:eastAsia="hi-IN"/>
              </w:rPr>
              <w:t>R$54,95</w:t>
            </w:r>
          </w:p>
        </w:tc>
        <w:tc>
          <w:tcPr>
            <w:tcW w:w="1161" w:type="dxa"/>
            <w:tcBorders>
              <w:left w:val="single" w:color="000000" w:sz="4" w:space="0"/>
              <w:bottom w:val="single" w:color="000000" w:sz="4" w:space="0"/>
              <w:right w:val="single" w:color="000000" w:sz="4" w:space="0"/>
            </w:tcBorders>
            <w:shd w:val="clear" w:color="auto" w:fill="auto"/>
            <w:noWrap w:val="0"/>
            <w:vAlign w:val="center"/>
          </w:tcPr>
          <w:p>
            <w:pPr>
              <w:spacing w:line="100" w:lineRule="atLeast"/>
              <w:jc w:val="center"/>
              <w:rPr>
                <w:rFonts w:hint="default" w:ascii="Times New Roman" w:hAnsi="Times New Roman" w:cs="Times New Roman"/>
                <w:sz w:val="18"/>
                <w:szCs w:val="18"/>
              </w:rPr>
            </w:pPr>
            <w:r>
              <w:rPr>
                <w:rFonts w:hint="default" w:ascii="Times New Roman" w:hAnsi="Times New Roman" w:cs="Times New Roman"/>
                <w:color w:val="000000"/>
                <w:sz w:val="18"/>
                <w:szCs w:val="18"/>
                <w:lang w:eastAsia="hi-IN"/>
              </w:rPr>
              <w:t>R$1.648,50</w:t>
            </w:r>
          </w:p>
        </w:tc>
      </w:tr>
      <w:tr>
        <w:tblPrEx>
          <w:tblCellMar>
            <w:top w:w="0" w:type="dxa"/>
            <w:left w:w="108" w:type="dxa"/>
            <w:bottom w:w="0" w:type="dxa"/>
            <w:right w:w="108" w:type="dxa"/>
          </w:tblCellMar>
        </w:tblPrEx>
        <w:trPr>
          <w:trHeight w:val="1011" w:hRule="atLeast"/>
        </w:trPr>
        <w:tc>
          <w:tcPr>
            <w:tcW w:w="675" w:type="dxa"/>
            <w:tcBorders>
              <w:left w:val="single" w:color="000000" w:sz="4" w:space="0"/>
              <w:bottom w:val="single" w:color="000000" w:sz="4" w:space="0"/>
            </w:tcBorders>
            <w:shd w:val="clear" w:color="auto" w:fill="auto"/>
            <w:noWrap w:val="0"/>
            <w:vAlign w:val="center"/>
          </w:tcPr>
          <w:p>
            <w:pPr>
              <w:pStyle w:val="174"/>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945" w:type="dxa"/>
            <w:tcBorders>
              <w:left w:val="single" w:color="000000" w:sz="4" w:space="0"/>
              <w:bottom w:val="single" w:color="000000" w:sz="4" w:space="0"/>
              <w:right w:val="single" w:color="000000" w:sz="4" w:space="0"/>
            </w:tcBorders>
            <w:shd w:val="clear" w:color="auto" w:fill="auto"/>
            <w:noWrap w:val="0"/>
            <w:vAlign w:val="center"/>
          </w:tcPr>
          <w:p>
            <w:pPr>
              <w:pStyle w:val="174"/>
              <w:jc w:val="center"/>
              <w:rPr>
                <w:rFonts w:hint="default" w:ascii="Times New Roman" w:hAnsi="Times New Roman" w:cs="Times New Roman"/>
                <w:sz w:val="18"/>
                <w:szCs w:val="18"/>
              </w:rPr>
            </w:pPr>
            <w:r>
              <w:rPr>
                <w:rFonts w:hint="default" w:ascii="Times New Roman" w:hAnsi="Times New Roman" w:cs="Times New Roman"/>
                <w:sz w:val="18"/>
                <w:szCs w:val="18"/>
              </w:rPr>
              <w:t>161725-7</w:t>
            </w:r>
          </w:p>
        </w:tc>
        <w:tc>
          <w:tcPr>
            <w:tcW w:w="1050" w:type="dxa"/>
            <w:tcBorders>
              <w:left w:val="single" w:color="000000" w:sz="4" w:space="0"/>
              <w:bottom w:val="single" w:color="000000" w:sz="4" w:space="0"/>
              <w:right w:val="single" w:color="000000" w:sz="4" w:space="0"/>
            </w:tcBorders>
            <w:shd w:val="clear" w:color="auto" w:fill="auto"/>
            <w:noWrap w:val="0"/>
            <w:vAlign w:val="center"/>
          </w:tcPr>
          <w:p>
            <w:pPr>
              <w:pStyle w:val="174"/>
              <w:jc w:val="center"/>
              <w:rPr>
                <w:rFonts w:hint="default" w:ascii="Times New Roman" w:hAnsi="Times New Roman" w:cs="Times New Roman"/>
                <w:color w:val="000000"/>
                <w:sz w:val="18"/>
                <w:szCs w:val="18"/>
                <w:lang w:eastAsia="hi-IN"/>
              </w:rPr>
            </w:pPr>
            <w:r>
              <w:rPr>
                <w:rFonts w:hint="default" w:ascii="Times New Roman" w:hAnsi="Times New Roman" w:cs="Times New Roman"/>
                <w:sz w:val="18"/>
                <w:szCs w:val="18"/>
              </w:rPr>
              <w:t>1481</w:t>
            </w:r>
          </w:p>
        </w:tc>
        <w:tc>
          <w:tcPr>
            <w:tcW w:w="720" w:type="dxa"/>
            <w:tcBorders>
              <w:left w:val="single" w:color="000000" w:sz="4" w:space="0"/>
              <w:bottom w:val="single" w:color="000000" w:sz="4" w:space="0"/>
              <w:right w:val="single" w:color="000000" w:sz="4" w:space="0"/>
            </w:tcBorders>
            <w:shd w:val="clear" w:color="auto" w:fill="auto"/>
            <w:noWrap w:val="0"/>
            <w:vAlign w:val="center"/>
          </w:tcPr>
          <w:p>
            <w:pPr>
              <w:spacing w:line="100" w:lineRule="atLeast"/>
              <w:jc w:val="center"/>
              <w:rPr>
                <w:rFonts w:hint="default" w:ascii="Times New Roman" w:hAnsi="Times New Roman" w:cs="Times New Roman"/>
                <w:sz w:val="18"/>
                <w:szCs w:val="18"/>
              </w:rPr>
            </w:pPr>
            <w:r>
              <w:rPr>
                <w:rFonts w:hint="default" w:ascii="Times New Roman" w:hAnsi="Times New Roman" w:cs="Times New Roman"/>
                <w:color w:val="000000"/>
                <w:sz w:val="18"/>
                <w:szCs w:val="18"/>
                <w:lang w:eastAsia="hi-IN"/>
              </w:rPr>
              <w:t>UN</w:t>
            </w:r>
          </w:p>
        </w:tc>
        <w:tc>
          <w:tcPr>
            <w:tcW w:w="1245" w:type="dxa"/>
            <w:tcBorders>
              <w:left w:val="single" w:color="000000" w:sz="4" w:space="0"/>
              <w:bottom w:val="single" w:color="000000" w:sz="4" w:space="0"/>
              <w:right w:val="single" w:color="000000" w:sz="4" w:space="0"/>
            </w:tcBorders>
            <w:shd w:val="clear" w:color="auto" w:fill="auto"/>
            <w:noWrap w:val="0"/>
            <w:vAlign w:val="center"/>
          </w:tcPr>
          <w:p>
            <w:pPr>
              <w:spacing w:line="100" w:lineRule="atLeast"/>
              <w:jc w:val="center"/>
              <w:rPr>
                <w:rFonts w:hint="default" w:ascii="Times New Roman" w:hAnsi="Times New Roman" w:cs="Times New Roman"/>
                <w:b w:val="0"/>
                <w:i w:val="0"/>
                <w:color w:val="000000"/>
                <w:kern w:val="1"/>
                <w:sz w:val="18"/>
                <w:szCs w:val="18"/>
                <w:lang w:eastAsia="zh-CN"/>
              </w:rPr>
            </w:pPr>
            <w:r>
              <w:rPr>
                <w:rFonts w:hint="default" w:ascii="Times New Roman" w:hAnsi="Times New Roman" w:cs="Times New Roman"/>
                <w:sz w:val="18"/>
                <w:szCs w:val="18"/>
              </w:rPr>
              <w:t>BOLO DE CHOCOLATE</w:t>
            </w:r>
          </w:p>
        </w:tc>
        <w:tc>
          <w:tcPr>
            <w:tcW w:w="1528" w:type="dxa"/>
            <w:tcBorders>
              <w:left w:val="single" w:color="000000" w:sz="4" w:space="0"/>
              <w:bottom w:val="single" w:color="000000" w:sz="4" w:space="0"/>
              <w:right w:val="single" w:color="000000" w:sz="4" w:space="0"/>
            </w:tcBorders>
            <w:shd w:val="clear" w:color="auto" w:fill="auto"/>
            <w:noWrap w:val="0"/>
            <w:vAlign w:val="center"/>
          </w:tcPr>
          <w:p>
            <w:pPr>
              <w:widowControl w:val="0"/>
              <w:spacing w:line="100" w:lineRule="atLeast"/>
              <w:jc w:val="both"/>
              <w:rPr>
                <w:rFonts w:hint="default" w:ascii="Times New Roman" w:hAnsi="Times New Roman" w:cs="Times New Roman"/>
                <w:color w:val="000000"/>
                <w:sz w:val="18"/>
                <w:szCs w:val="18"/>
                <w:lang w:eastAsia="hi-IN"/>
              </w:rPr>
            </w:pPr>
            <w:r>
              <w:rPr>
                <w:rFonts w:hint="default" w:ascii="Times New Roman" w:hAnsi="Times New Roman" w:cs="Times New Roman"/>
                <w:b w:val="0"/>
                <w:i w:val="0"/>
                <w:color w:val="000000"/>
                <w:kern w:val="1"/>
                <w:sz w:val="18"/>
                <w:szCs w:val="18"/>
                <w:lang w:eastAsia="zh-CN"/>
              </w:rPr>
              <w:t>Bolo de chocolate com cobertura de chocolate, ingredientes, peso unitário 1,5 kg.</w:t>
            </w:r>
          </w:p>
        </w:tc>
        <w:tc>
          <w:tcPr>
            <w:tcW w:w="633" w:type="dxa"/>
            <w:tcBorders>
              <w:left w:val="single" w:color="000000" w:sz="4" w:space="0"/>
              <w:bottom w:val="single" w:color="000000" w:sz="4" w:space="0"/>
              <w:right w:val="single" w:color="000000" w:sz="4" w:space="0"/>
            </w:tcBorders>
            <w:shd w:val="clear" w:color="auto" w:fill="auto"/>
            <w:noWrap w:val="0"/>
            <w:vAlign w:val="center"/>
          </w:tcPr>
          <w:p>
            <w:pPr>
              <w:spacing w:line="100" w:lineRule="atLeast"/>
              <w:jc w:val="center"/>
              <w:rPr>
                <w:rFonts w:hint="default" w:ascii="Times New Roman" w:hAnsi="Times New Roman" w:cs="Times New Roman"/>
                <w:color w:val="000000"/>
                <w:sz w:val="18"/>
                <w:szCs w:val="18"/>
                <w:lang w:eastAsia="hi-IN"/>
              </w:rPr>
            </w:pPr>
            <w:r>
              <w:rPr>
                <w:rFonts w:hint="default" w:ascii="Times New Roman" w:hAnsi="Times New Roman" w:cs="Times New Roman"/>
                <w:color w:val="000000"/>
                <w:sz w:val="18"/>
                <w:szCs w:val="18"/>
                <w:lang w:eastAsia="hi-IN"/>
              </w:rPr>
              <w:t>30</w:t>
            </w:r>
          </w:p>
        </w:tc>
        <w:tc>
          <w:tcPr>
            <w:tcW w:w="1000" w:type="dxa"/>
            <w:tcBorders>
              <w:left w:val="single" w:color="000000" w:sz="4" w:space="0"/>
              <w:bottom w:val="single" w:color="000000" w:sz="4" w:space="0"/>
              <w:right w:val="single" w:color="000000" w:sz="4" w:space="0"/>
            </w:tcBorders>
            <w:shd w:val="clear" w:color="auto" w:fill="auto"/>
            <w:noWrap w:val="0"/>
            <w:vAlign w:val="center"/>
          </w:tcPr>
          <w:p>
            <w:pPr>
              <w:spacing w:line="100" w:lineRule="atLeast"/>
              <w:jc w:val="center"/>
              <w:rPr>
                <w:rFonts w:hint="default" w:ascii="Times New Roman" w:hAnsi="Times New Roman" w:cs="Times New Roman"/>
                <w:color w:val="000000"/>
                <w:sz w:val="18"/>
                <w:szCs w:val="18"/>
                <w:lang w:eastAsia="hi-IN"/>
              </w:rPr>
            </w:pPr>
            <w:r>
              <w:rPr>
                <w:rFonts w:hint="default" w:ascii="Times New Roman" w:hAnsi="Times New Roman" w:cs="Times New Roman"/>
                <w:color w:val="000000"/>
                <w:sz w:val="18"/>
                <w:szCs w:val="18"/>
                <w:lang w:eastAsia="hi-IN"/>
              </w:rPr>
              <w:t>R$55,45</w:t>
            </w:r>
          </w:p>
        </w:tc>
        <w:tc>
          <w:tcPr>
            <w:tcW w:w="1161" w:type="dxa"/>
            <w:tcBorders>
              <w:left w:val="single" w:color="000000" w:sz="4" w:space="0"/>
              <w:bottom w:val="single" w:color="000000" w:sz="4" w:space="0"/>
              <w:right w:val="single" w:color="000000" w:sz="4" w:space="0"/>
            </w:tcBorders>
            <w:shd w:val="clear" w:color="auto" w:fill="auto"/>
            <w:noWrap w:val="0"/>
            <w:vAlign w:val="center"/>
          </w:tcPr>
          <w:p>
            <w:pPr>
              <w:spacing w:line="100" w:lineRule="atLeast"/>
              <w:jc w:val="center"/>
              <w:rPr>
                <w:rFonts w:hint="default" w:ascii="Times New Roman" w:hAnsi="Times New Roman" w:cs="Times New Roman"/>
                <w:sz w:val="18"/>
                <w:szCs w:val="18"/>
              </w:rPr>
            </w:pPr>
            <w:r>
              <w:rPr>
                <w:rFonts w:hint="default" w:ascii="Times New Roman" w:hAnsi="Times New Roman" w:cs="Times New Roman"/>
                <w:color w:val="000000"/>
                <w:sz w:val="18"/>
                <w:szCs w:val="18"/>
                <w:lang w:eastAsia="hi-IN"/>
              </w:rPr>
              <w:t>R$1.663,50</w:t>
            </w:r>
          </w:p>
        </w:tc>
      </w:tr>
      <w:tr>
        <w:tblPrEx>
          <w:tblCellMar>
            <w:top w:w="0" w:type="dxa"/>
            <w:left w:w="108" w:type="dxa"/>
            <w:bottom w:w="0" w:type="dxa"/>
            <w:right w:w="108" w:type="dxa"/>
          </w:tblCellMar>
        </w:tblPrEx>
        <w:trPr>
          <w:trHeight w:val="607" w:hRule="atLeast"/>
        </w:trPr>
        <w:tc>
          <w:tcPr>
            <w:tcW w:w="675" w:type="dxa"/>
            <w:tcBorders>
              <w:left w:val="single" w:color="000000" w:sz="4" w:space="0"/>
              <w:bottom w:val="single" w:color="000000" w:sz="4" w:space="0"/>
            </w:tcBorders>
            <w:shd w:val="clear" w:color="auto" w:fill="auto"/>
            <w:noWrap w:val="0"/>
            <w:vAlign w:val="center"/>
          </w:tcPr>
          <w:p>
            <w:pPr>
              <w:pStyle w:val="174"/>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945" w:type="dxa"/>
            <w:tcBorders>
              <w:left w:val="single" w:color="000000" w:sz="4" w:space="0"/>
              <w:bottom w:val="single" w:color="000000" w:sz="4" w:space="0"/>
              <w:right w:val="single" w:color="000000" w:sz="4" w:space="0"/>
            </w:tcBorders>
            <w:shd w:val="clear" w:color="auto" w:fill="auto"/>
            <w:noWrap w:val="0"/>
            <w:vAlign w:val="center"/>
          </w:tcPr>
          <w:p>
            <w:pPr>
              <w:pStyle w:val="174"/>
              <w:jc w:val="center"/>
              <w:rPr>
                <w:rFonts w:hint="default" w:ascii="Times New Roman" w:hAnsi="Times New Roman" w:cs="Times New Roman"/>
                <w:sz w:val="18"/>
                <w:szCs w:val="18"/>
              </w:rPr>
            </w:pPr>
            <w:r>
              <w:rPr>
                <w:rFonts w:hint="default" w:ascii="Times New Roman" w:hAnsi="Times New Roman" w:cs="Times New Roman"/>
                <w:sz w:val="18"/>
                <w:szCs w:val="18"/>
              </w:rPr>
              <w:t>0009058</w:t>
            </w:r>
          </w:p>
        </w:tc>
        <w:tc>
          <w:tcPr>
            <w:tcW w:w="1050" w:type="dxa"/>
            <w:tcBorders>
              <w:left w:val="single" w:color="000000" w:sz="4" w:space="0"/>
              <w:bottom w:val="single" w:color="000000" w:sz="4" w:space="0"/>
              <w:right w:val="single" w:color="000000" w:sz="4" w:space="0"/>
            </w:tcBorders>
            <w:shd w:val="clear" w:color="auto" w:fill="auto"/>
            <w:noWrap w:val="0"/>
            <w:vAlign w:val="center"/>
          </w:tcPr>
          <w:p>
            <w:pPr>
              <w:pStyle w:val="174"/>
              <w:jc w:val="center"/>
              <w:rPr>
                <w:rFonts w:hint="default" w:ascii="Times New Roman" w:hAnsi="Times New Roman" w:cs="Times New Roman"/>
                <w:color w:val="000000"/>
                <w:sz w:val="18"/>
                <w:szCs w:val="18"/>
                <w:lang w:eastAsia="hi-IN"/>
              </w:rPr>
            </w:pPr>
            <w:r>
              <w:rPr>
                <w:rFonts w:hint="default" w:ascii="Times New Roman" w:hAnsi="Times New Roman" w:cs="Times New Roman"/>
                <w:sz w:val="18"/>
                <w:szCs w:val="18"/>
              </w:rPr>
              <w:t>1482</w:t>
            </w:r>
          </w:p>
        </w:tc>
        <w:tc>
          <w:tcPr>
            <w:tcW w:w="720" w:type="dxa"/>
            <w:tcBorders>
              <w:left w:val="single" w:color="000000" w:sz="4" w:space="0"/>
              <w:bottom w:val="single" w:color="000000" w:sz="4" w:space="0"/>
              <w:right w:val="single" w:color="000000" w:sz="4" w:space="0"/>
            </w:tcBorders>
            <w:shd w:val="clear" w:color="auto" w:fill="auto"/>
            <w:noWrap w:val="0"/>
            <w:vAlign w:val="center"/>
          </w:tcPr>
          <w:p>
            <w:pPr>
              <w:spacing w:line="100" w:lineRule="atLeast"/>
              <w:jc w:val="center"/>
              <w:rPr>
                <w:rFonts w:hint="default" w:ascii="Times New Roman" w:hAnsi="Times New Roman" w:cs="Times New Roman"/>
                <w:sz w:val="18"/>
                <w:szCs w:val="18"/>
              </w:rPr>
            </w:pPr>
            <w:r>
              <w:rPr>
                <w:rFonts w:hint="default" w:ascii="Times New Roman" w:hAnsi="Times New Roman" w:cs="Times New Roman"/>
                <w:color w:val="000000"/>
                <w:sz w:val="18"/>
                <w:szCs w:val="18"/>
                <w:lang w:eastAsia="hi-IN"/>
              </w:rPr>
              <w:t>UN</w:t>
            </w:r>
          </w:p>
        </w:tc>
        <w:tc>
          <w:tcPr>
            <w:tcW w:w="1245" w:type="dxa"/>
            <w:tcBorders>
              <w:left w:val="single" w:color="000000" w:sz="4" w:space="0"/>
              <w:bottom w:val="single" w:color="000000" w:sz="4" w:space="0"/>
              <w:right w:val="single" w:color="000000" w:sz="4" w:space="0"/>
            </w:tcBorders>
            <w:shd w:val="clear" w:color="auto" w:fill="auto"/>
            <w:noWrap w:val="0"/>
            <w:vAlign w:val="center"/>
          </w:tcPr>
          <w:p>
            <w:pPr>
              <w:spacing w:line="100" w:lineRule="atLeast"/>
              <w:jc w:val="center"/>
              <w:rPr>
                <w:rFonts w:hint="default" w:ascii="Times New Roman" w:hAnsi="Times New Roman" w:cs="Times New Roman"/>
                <w:b w:val="0"/>
                <w:i w:val="0"/>
                <w:color w:val="000000"/>
                <w:kern w:val="1"/>
                <w:sz w:val="18"/>
                <w:szCs w:val="18"/>
                <w:lang w:eastAsia="zh-CN"/>
              </w:rPr>
            </w:pPr>
            <w:r>
              <w:rPr>
                <w:rFonts w:hint="default" w:ascii="Times New Roman" w:hAnsi="Times New Roman" w:cs="Times New Roman"/>
                <w:sz w:val="18"/>
                <w:szCs w:val="18"/>
              </w:rPr>
              <w:t>BOLO DE COCO</w:t>
            </w:r>
          </w:p>
        </w:tc>
        <w:tc>
          <w:tcPr>
            <w:tcW w:w="1528" w:type="dxa"/>
            <w:tcBorders>
              <w:left w:val="single" w:color="000000" w:sz="4" w:space="0"/>
              <w:bottom w:val="single" w:color="000000" w:sz="4" w:space="0"/>
              <w:right w:val="single" w:color="000000" w:sz="4" w:space="0"/>
            </w:tcBorders>
            <w:shd w:val="clear" w:color="auto" w:fill="auto"/>
            <w:noWrap w:val="0"/>
            <w:vAlign w:val="center"/>
          </w:tcPr>
          <w:p>
            <w:pPr>
              <w:widowControl w:val="0"/>
              <w:spacing w:line="100" w:lineRule="atLeast"/>
              <w:jc w:val="both"/>
              <w:rPr>
                <w:rFonts w:hint="default" w:ascii="Times New Roman" w:hAnsi="Times New Roman" w:cs="Times New Roman"/>
                <w:color w:val="000000"/>
                <w:sz w:val="18"/>
                <w:szCs w:val="18"/>
                <w:lang w:eastAsia="hi-IN"/>
              </w:rPr>
            </w:pPr>
            <w:r>
              <w:rPr>
                <w:rFonts w:hint="default" w:ascii="Times New Roman" w:hAnsi="Times New Roman" w:cs="Times New Roman"/>
                <w:b w:val="0"/>
                <w:i w:val="0"/>
                <w:color w:val="000000"/>
                <w:kern w:val="1"/>
                <w:sz w:val="18"/>
                <w:szCs w:val="18"/>
                <w:lang w:eastAsia="zh-CN"/>
              </w:rPr>
              <w:t xml:space="preserve">Bolo de coco, peso unitário 1,5Kg </w:t>
            </w:r>
          </w:p>
        </w:tc>
        <w:tc>
          <w:tcPr>
            <w:tcW w:w="633" w:type="dxa"/>
            <w:tcBorders>
              <w:left w:val="single" w:color="000000" w:sz="4" w:space="0"/>
              <w:bottom w:val="single" w:color="000000" w:sz="4" w:space="0"/>
              <w:right w:val="single" w:color="000000" w:sz="4" w:space="0"/>
            </w:tcBorders>
            <w:shd w:val="clear" w:color="auto" w:fill="auto"/>
            <w:noWrap w:val="0"/>
            <w:vAlign w:val="center"/>
          </w:tcPr>
          <w:p>
            <w:pPr>
              <w:spacing w:line="100" w:lineRule="atLeast"/>
              <w:jc w:val="center"/>
              <w:rPr>
                <w:rFonts w:hint="default" w:ascii="Times New Roman" w:hAnsi="Times New Roman" w:cs="Times New Roman"/>
                <w:color w:val="000000"/>
                <w:sz w:val="18"/>
                <w:szCs w:val="18"/>
                <w:lang w:eastAsia="hi-IN"/>
              </w:rPr>
            </w:pPr>
            <w:r>
              <w:rPr>
                <w:rFonts w:hint="default" w:ascii="Times New Roman" w:hAnsi="Times New Roman" w:cs="Times New Roman"/>
                <w:color w:val="000000"/>
                <w:sz w:val="18"/>
                <w:szCs w:val="18"/>
                <w:lang w:eastAsia="hi-IN"/>
              </w:rPr>
              <w:t>30</w:t>
            </w:r>
          </w:p>
        </w:tc>
        <w:tc>
          <w:tcPr>
            <w:tcW w:w="1000" w:type="dxa"/>
            <w:tcBorders>
              <w:left w:val="single" w:color="000000" w:sz="4" w:space="0"/>
              <w:bottom w:val="single" w:color="000000" w:sz="4" w:space="0"/>
              <w:right w:val="single" w:color="000000" w:sz="4" w:space="0"/>
            </w:tcBorders>
            <w:shd w:val="clear" w:color="auto" w:fill="auto"/>
            <w:noWrap w:val="0"/>
            <w:vAlign w:val="center"/>
          </w:tcPr>
          <w:p>
            <w:pPr>
              <w:spacing w:line="100" w:lineRule="atLeast"/>
              <w:jc w:val="center"/>
              <w:rPr>
                <w:rFonts w:hint="default" w:ascii="Times New Roman" w:hAnsi="Times New Roman" w:cs="Times New Roman"/>
                <w:color w:val="000000"/>
                <w:sz w:val="18"/>
                <w:szCs w:val="18"/>
                <w:lang w:eastAsia="hi-IN"/>
              </w:rPr>
            </w:pPr>
            <w:r>
              <w:rPr>
                <w:rFonts w:hint="default" w:ascii="Times New Roman" w:hAnsi="Times New Roman" w:cs="Times New Roman"/>
                <w:color w:val="000000"/>
                <w:sz w:val="18"/>
                <w:szCs w:val="18"/>
                <w:lang w:eastAsia="hi-IN"/>
              </w:rPr>
              <w:t>R$48,70</w:t>
            </w:r>
          </w:p>
        </w:tc>
        <w:tc>
          <w:tcPr>
            <w:tcW w:w="1161" w:type="dxa"/>
            <w:tcBorders>
              <w:left w:val="single" w:color="000000" w:sz="4" w:space="0"/>
              <w:bottom w:val="single" w:color="000000" w:sz="4" w:space="0"/>
              <w:right w:val="single" w:color="000000" w:sz="4" w:space="0"/>
            </w:tcBorders>
            <w:shd w:val="clear" w:color="auto" w:fill="auto"/>
            <w:noWrap w:val="0"/>
            <w:vAlign w:val="center"/>
          </w:tcPr>
          <w:p>
            <w:pPr>
              <w:spacing w:line="100" w:lineRule="atLeast"/>
              <w:jc w:val="center"/>
              <w:rPr>
                <w:rFonts w:hint="default" w:ascii="Times New Roman" w:hAnsi="Times New Roman" w:cs="Times New Roman"/>
                <w:sz w:val="18"/>
                <w:szCs w:val="18"/>
              </w:rPr>
            </w:pPr>
            <w:r>
              <w:rPr>
                <w:rFonts w:hint="default" w:ascii="Times New Roman" w:hAnsi="Times New Roman" w:cs="Times New Roman"/>
                <w:color w:val="000000"/>
                <w:sz w:val="18"/>
                <w:szCs w:val="18"/>
                <w:lang w:eastAsia="hi-IN"/>
              </w:rPr>
              <w:t>R$1.461,00</w:t>
            </w:r>
          </w:p>
        </w:tc>
      </w:tr>
      <w:tr>
        <w:tblPrEx>
          <w:tblCellMar>
            <w:top w:w="0" w:type="dxa"/>
            <w:left w:w="108" w:type="dxa"/>
            <w:bottom w:w="0" w:type="dxa"/>
            <w:right w:w="108" w:type="dxa"/>
          </w:tblCellMar>
        </w:tblPrEx>
        <w:trPr>
          <w:trHeight w:val="417" w:hRule="atLeast"/>
        </w:trPr>
        <w:tc>
          <w:tcPr>
            <w:tcW w:w="675" w:type="dxa"/>
            <w:tcBorders>
              <w:left w:val="single" w:color="000000" w:sz="4" w:space="0"/>
              <w:bottom w:val="single" w:color="000000" w:sz="4" w:space="0"/>
            </w:tcBorders>
            <w:shd w:val="clear" w:color="auto" w:fill="auto"/>
            <w:noWrap w:val="0"/>
            <w:vAlign w:val="center"/>
          </w:tcPr>
          <w:p>
            <w:pPr>
              <w:pStyle w:val="174"/>
              <w:jc w:val="center"/>
              <w:rPr>
                <w:rFonts w:hint="default" w:ascii="Times New Roman" w:hAnsi="Times New Roman" w:cs="Times New Roman"/>
                <w:sz w:val="18"/>
                <w:szCs w:val="18"/>
              </w:rPr>
            </w:pPr>
          </w:p>
        </w:tc>
        <w:tc>
          <w:tcPr>
            <w:tcW w:w="7121" w:type="dxa"/>
            <w:gridSpan w:val="7"/>
            <w:tcBorders>
              <w:left w:val="single" w:color="000000" w:sz="4" w:space="0"/>
              <w:bottom w:val="single" w:color="000000" w:sz="4" w:space="0"/>
              <w:right w:val="single" w:color="000000" w:sz="4" w:space="0"/>
            </w:tcBorders>
            <w:shd w:val="clear" w:color="auto" w:fill="auto"/>
            <w:noWrap w:val="0"/>
            <w:vAlign w:val="center"/>
          </w:tcPr>
          <w:p>
            <w:pPr>
              <w:pStyle w:val="174"/>
              <w:jc w:val="center"/>
              <w:rPr>
                <w:rFonts w:hint="default" w:ascii="Times New Roman" w:hAnsi="Times New Roman" w:cs="Times New Roman"/>
                <w:color w:val="000000"/>
                <w:sz w:val="18"/>
                <w:szCs w:val="18"/>
                <w:lang w:eastAsia="hi-IN"/>
              </w:rPr>
            </w:pPr>
            <w:r>
              <w:rPr>
                <w:rFonts w:hint="default" w:ascii="Times New Roman" w:hAnsi="Times New Roman" w:cs="Times New Roman"/>
                <w:b/>
                <w:bCs/>
                <w:sz w:val="18"/>
                <w:szCs w:val="18"/>
              </w:rPr>
              <w:t>VALOR DO LOTE</w:t>
            </w:r>
          </w:p>
        </w:tc>
        <w:tc>
          <w:tcPr>
            <w:tcW w:w="1161" w:type="dxa"/>
            <w:tcBorders>
              <w:left w:val="single" w:color="000000" w:sz="4" w:space="0"/>
              <w:bottom w:val="single" w:color="000000" w:sz="4" w:space="0"/>
              <w:right w:val="single" w:color="000000" w:sz="4" w:space="0"/>
            </w:tcBorders>
            <w:shd w:val="clear" w:color="auto" w:fill="auto"/>
            <w:noWrap w:val="0"/>
            <w:vAlign w:val="center"/>
          </w:tcPr>
          <w:p>
            <w:pPr>
              <w:spacing w:line="100" w:lineRule="atLeast"/>
              <w:jc w:val="center"/>
              <w:rPr>
                <w:rFonts w:hint="default" w:ascii="Times New Roman" w:hAnsi="Times New Roman" w:cs="Times New Roman"/>
                <w:sz w:val="18"/>
                <w:szCs w:val="18"/>
              </w:rPr>
            </w:pPr>
            <w:r>
              <w:rPr>
                <w:rFonts w:hint="default" w:ascii="Times New Roman" w:hAnsi="Times New Roman" w:cs="Times New Roman"/>
                <w:color w:val="000000"/>
                <w:sz w:val="18"/>
                <w:szCs w:val="18"/>
                <w:lang w:eastAsia="hi-IN"/>
              </w:rPr>
              <w:t>R$ 6.392,10</w:t>
            </w:r>
          </w:p>
        </w:tc>
      </w:tr>
    </w:tbl>
    <w:p>
      <w:pPr>
        <w:rPr>
          <w:rFonts w:hint="default" w:ascii="Times New Roman" w:hAnsi="Times New Roman" w:cs="Times New Roman"/>
          <w:sz w:val="18"/>
          <w:szCs w:val="18"/>
        </w:rPr>
      </w:pPr>
    </w:p>
    <w:tbl>
      <w:tblPr>
        <w:tblStyle w:val="10"/>
        <w:tblpPr w:leftFromText="180" w:rightFromText="180" w:vertAnchor="text" w:horzAnchor="page" w:tblpX="1567" w:tblpY="422"/>
        <w:tblOverlap w:val="never"/>
        <w:tblW w:w="9130" w:type="dxa"/>
        <w:tblInd w:w="0" w:type="dxa"/>
        <w:tblLayout w:type="fixed"/>
        <w:tblCellMar>
          <w:top w:w="0" w:type="dxa"/>
          <w:left w:w="108" w:type="dxa"/>
          <w:bottom w:w="0" w:type="dxa"/>
          <w:right w:w="108" w:type="dxa"/>
        </w:tblCellMar>
      </w:tblPr>
      <w:tblGrid>
        <w:gridCol w:w="632"/>
        <w:gridCol w:w="936"/>
        <w:gridCol w:w="949"/>
        <w:gridCol w:w="797"/>
        <w:gridCol w:w="1050"/>
        <w:gridCol w:w="1969"/>
        <w:gridCol w:w="720"/>
        <w:gridCol w:w="960"/>
        <w:gridCol w:w="1117"/>
      </w:tblGrid>
      <w:tr>
        <w:tblPrEx>
          <w:tblCellMar>
            <w:top w:w="0" w:type="dxa"/>
            <w:left w:w="108" w:type="dxa"/>
            <w:bottom w:w="0" w:type="dxa"/>
            <w:right w:w="108" w:type="dxa"/>
          </w:tblCellMar>
        </w:tblPrEx>
        <w:trPr>
          <w:trHeight w:val="669" w:hRule="atLeast"/>
        </w:trPr>
        <w:tc>
          <w:tcPr>
            <w:tcW w:w="9130" w:type="dxa"/>
            <w:gridSpan w:val="9"/>
            <w:tcBorders>
              <w:top w:val="single" w:color="000000" w:sz="4" w:space="0"/>
              <w:left w:val="single" w:color="000000" w:sz="4" w:space="0"/>
              <w:bottom w:val="single" w:color="000000" w:sz="4" w:space="0"/>
              <w:right w:val="single" w:color="000000" w:sz="4" w:space="0"/>
            </w:tcBorders>
            <w:shd w:val="clear" w:color="auto" w:fill="BFBFBF"/>
            <w:noWrap w:val="0"/>
            <w:vAlign w:val="top"/>
          </w:tcPr>
          <w:p>
            <w:pPr>
              <w:pStyle w:val="174"/>
              <w:snapToGrid w:val="0"/>
              <w:jc w:val="center"/>
              <w:rPr>
                <w:rFonts w:hint="default" w:ascii="Times New Roman" w:hAnsi="Times New Roman" w:eastAsia="Arial" w:cs="Times New Roman"/>
                <w:b/>
                <w:sz w:val="18"/>
                <w:szCs w:val="18"/>
              </w:rPr>
            </w:pPr>
          </w:p>
          <w:p>
            <w:pPr>
              <w:pStyle w:val="174"/>
              <w:snapToGrid w:val="0"/>
              <w:jc w:val="center"/>
              <w:rPr>
                <w:rFonts w:hint="default" w:ascii="Times New Roman" w:hAnsi="Times New Roman" w:eastAsia="Arial" w:cs="Times New Roman"/>
                <w:b/>
                <w:sz w:val="18"/>
                <w:szCs w:val="18"/>
              </w:rPr>
            </w:pPr>
            <w:r>
              <w:rPr>
                <w:rFonts w:hint="default" w:ascii="Times New Roman" w:hAnsi="Times New Roman" w:eastAsia="Arial" w:cs="Times New Roman"/>
                <w:b/>
                <w:sz w:val="18"/>
                <w:szCs w:val="18"/>
              </w:rPr>
              <w:t>LOTE 2 - SALGADOS</w:t>
            </w:r>
          </w:p>
        </w:tc>
      </w:tr>
      <w:tr>
        <w:tblPrEx>
          <w:tblCellMar>
            <w:top w:w="0" w:type="dxa"/>
            <w:left w:w="108" w:type="dxa"/>
            <w:bottom w:w="0" w:type="dxa"/>
            <w:right w:w="108" w:type="dxa"/>
          </w:tblCellMar>
        </w:tblPrEx>
        <w:trPr>
          <w:trHeight w:val="776" w:hRule="atLeast"/>
        </w:trPr>
        <w:tc>
          <w:tcPr>
            <w:tcW w:w="632" w:type="dxa"/>
            <w:tcBorders>
              <w:top w:val="single" w:color="000000" w:sz="4" w:space="0"/>
              <w:left w:val="single" w:color="000000" w:sz="4" w:space="0"/>
              <w:bottom w:val="single" w:color="000000" w:sz="4" w:space="0"/>
            </w:tcBorders>
            <w:shd w:val="clear" w:color="auto" w:fill="BFBFBF"/>
            <w:noWrap w:val="0"/>
            <w:vAlign w:val="top"/>
          </w:tcPr>
          <w:p>
            <w:pPr>
              <w:pStyle w:val="174"/>
              <w:snapToGrid w:val="0"/>
              <w:jc w:val="center"/>
              <w:rPr>
                <w:rFonts w:hint="default" w:ascii="Times New Roman" w:hAnsi="Times New Roman" w:eastAsia="Arial" w:cs="Times New Roman"/>
                <w:b/>
                <w:bCs/>
                <w:sz w:val="18"/>
                <w:szCs w:val="18"/>
              </w:rPr>
            </w:pPr>
          </w:p>
          <w:p>
            <w:pPr>
              <w:pStyle w:val="174"/>
              <w:jc w:val="center"/>
              <w:rPr>
                <w:rFonts w:hint="default" w:ascii="Times New Roman" w:hAnsi="Times New Roman" w:eastAsia="Arial" w:cs="Times New Roman"/>
                <w:b/>
                <w:sz w:val="18"/>
                <w:szCs w:val="18"/>
              </w:rPr>
            </w:pPr>
            <w:r>
              <w:rPr>
                <w:rFonts w:hint="default" w:ascii="Times New Roman" w:hAnsi="Times New Roman" w:cs="Times New Roman"/>
                <w:b/>
                <w:bCs/>
                <w:sz w:val="18"/>
                <w:szCs w:val="18"/>
              </w:rPr>
              <w:t>ITEM</w:t>
            </w:r>
          </w:p>
        </w:tc>
        <w:tc>
          <w:tcPr>
            <w:tcW w:w="936" w:type="dxa"/>
            <w:tcBorders>
              <w:top w:val="single" w:color="000000" w:sz="4" w:space="0"/>
              <w:left w:val="single" w:color="000000" w:sz="4" w:space="0"/>
              <w:bottom w:val="single" w:color="000000" w:sz="4" w:space="0"/>
              <w:right w:val="single" w:color="000000" w:sz="4" w:space="0"/>
            </w:tcBorders>
            <w:shd w:val="clear" w:color="auto" w:fill="BFBFBF"/>
            <w:noWrap w:val="0"/>
            <w:vAlign w:val="top"/>
          </w:tcPr>
          <w:p>
            <w:pPr>
              <w:pStyle w:val="174"/>
              <w:snapToGrid w:val="0"/>
              <w:jc w:val="center"/>
              <w:rPr>
                <w:rFonts w:hint="default" w:ascii="Times New Roman" w:hAnsi="Times New Roman" w:eastAsia="Arial" w:cs="Times New Roman"/>
                <w:b/>
                <w:sz w:val="18"/>
                <w:szCs w:val="18"/>
              </w:rPr>
            </w:pPr>
          </w:p>
          <w:p>
            <w:pPr>
              <w:pStyle w:val="174"/>
              <w:jc w:val="center"/>
              <w:rPr>
                <w:rStyle w:val="128"/>
                <w:rFonts w:hint="default" w:ascii="Times New Roman" w:hAnsi="Times New Roman" w:eastAsia="Arial" w:cs="Times New Roman"/>
                <w:b/>
                <w:sz w:val="18"/>
                <w:szCs w:val="18"/>
              </w:rPr>
            </w:pPr>
            <w:r>
              <w:rPr>
                <w:rStyle w:val="128"/>
                <w:rFonts w:hint="default" w:ascii="Times New Roman" w:hAnsi="Times New Roman" w:eastAsia="Arial" w:cs="Times New Roman"/>
                <w:b/>
                <w:sz w:val="18"/>
                <w:szCs w:val="18"/>
              </w:rPr>
              <w:t>CÓDIGO TCE-MT</w:t>
            </w:r>
          </w:p>
        </w:tc>
        <w:tc>
          <w:tcPr>
            <w:tcW w:w="949"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pStyle w:val="174"/>
              <w:jc w:val="center"/>
              <w:rPr>
                <w:rStyle w:val="128"/>
                <w:rFonts w:hint="default" w:ascii="Times New Roman" w:hAnsi="Times New Roman" w:eastAsia="Arial" w:cs="Times New Roman"/>
                <w:b/>
                <w:sz w:val="18"/>
                <w:szCs w:val="18"/>
              </w:rPr>
            </w:pPr>
            <w:r>
              <w:rPr>
                <w:rStyle w:val="128"/>
                <w:rFonts w:hint="default" w:ascii="Times New Roman" w:hAnsi="Times New Roman" w:eastAsia="Arial" w:cs="Times New Roman"/>
                <w:b/>
                <w:sz w:val="18"/>
                <w:szCs w:val="18"/>
              </w:rPr>
              <w:t>COD SISTEMA</w:t>
            </w:r>
          </w:p>
        </w:tc>
        <w:tc>
          <w:tcPr>
            <w:tcW w:w="797"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pStyle w:val="174"/>
              <w:jc w:val="center"/>
              <w:rPr>
                <w:rStyle w:val="128"/>
                <w:rFonts w:hint="default" w:ascii="Times New Roman" w:hAnsi="Times New Roman" w:eastAsia="Arial" w:cs="Times New Roman"/>
                <w:b/>
                <w:sz w:val="18"/>
                <w:szCs w:val="18"/>
              </w:rPr>
            </w:pPr>
            <w:r>
              <w:rPr>
                <w:rStyle w:val="128"/>
                <w:rFonts w:hint="default" w:ascii="Times New Roman" w:hAnsi="Times New Roman" w:eastAsia="Arial" w:cs="Times New Roman"/>
                <w:b/>
                <w:sz w:val="18"/>
                <w:szCs w:val="18"/>
              </w:rPr>
              <w:t>UNID.</w:t>
            </w:r>
          </w:p>
        </w:tc>
        <w:tc>
          <w:tcPr>
            <w:tcW w:w="1050"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pStyle w:val="174"/>
              <w:jc w:val="center"/>
              <w:rPr>
                <w:rStyle w:val="128"/>
                <w:rFonts w:hint="default" w:ascii="Times New Roman" w:hAnsi="Times New Roman" w:cs="Times New Roman"/>
                <w:b/>
                <w:sz w:val="18"/>
                <w:szCs w:val="18"/>
              </w:rPr>
            </w:pPr>
            <w:r>
              <w:rPr>
                <w:rStyle w:val="128"/>
                <w:rFonts w:hint="default" w:ascii="Times New Roman" w:hAnsi="Times New Roman" w:eastAsia="Arial" w:cs="Times New Roman"/>
                <w:b/>
                <w:sz w:val="18"/>
                <w:szCs w:val="18"/>
              </w:rPr>
              <w:t>PRODUTO</w:t>
            </w:r>
          </w:p>
        </w:tc>
        <w:tc>
          <w:tcPr>
            <w:tcW w:w="1969"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spacing w:line="100" w:lineRule="atLeast"/>
              <w:jc w:val="center"/>
              <w:rPr>
                <w:rStyle w:val="128"/>
                <w:rFonts w:hint="default" w:ascii="Times New Roman" w:hAnsi="Times New Roman" w:cs="Times New Roman"/>
                <w:b/>
                <w:sz w:val="18"/>
                <w:szCs w:val="18"/>
              </w:rPr>
            </w:pPr>
            <w:r>
              <w:rPr>
                <w:rStyle w:val="128"/>
                <w:rFonts w:hint="default" w:ascii="Times New Roman" w:hAnsi="Times New Roman" w:cs="Times New Roman"/>
                <w:b/>
                <w:sz w:val="18"/>
                <w:szCs w:val="18"/>
              </w:rPr>
              <w:t>DESCRIÇÃO</w:t>
            </w:r>
          </w:p>
        </w:tc>
        <w:tc>
          <w:tcPr>
            <w:tcW w:w="720"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spacing w:line="100" w:lineRule="atLeast"/>
              <w:jc w:val="center"/>
              <w:rPr>
                <w:rStyle w:val="128"/>
                <w:rFonts w:hint="default" w:ascii="Times New Roman" w:hAnsi="Times New Roman" w:eastAsia="Arial" w:cs="Times New Roman"/>
                <w:b/>
                <w:sz w:val="18"/>
                <w:szCs w:val="18"/>
              </w:rPr>
            </w:pPr>
            <w:r>
              <w:rPr>
                <w:rStyle w:val="128"/>
                <w:rFonts w:hint="default" w:ascii="Times New Roman" w:hAnsi="Times New Roman" w:cs="Times New Roman"/>
                <w:b/>
                <w:sz w:val="18"/>
                <w:szCs w:val="18"/>
              </w:rPr>
              <w:t>QTD</w:t>
            </w:r>
          </w:p>
        </w:tc>
        <w:tc>
          <w:tcPr>
            <w:tcW w:w="960"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pStyle w:val="174"/>
              <w:jc w:val="center"/>
              <w:rPr>
                <w:rStyle w:val="128"/>
                <w:rFonts w:hint="default" w:ascii="Times New Roman" w:hAnsi="Times New Roman" w:eastAsia="Arial" w:cs="Times New Roman"/>
                <w:b/>
                <w:sz w:val="18"/>
                <w:szCs w:val="18"/>
              </w:rPr>
            </w:pPr>
            <w:r>
              <w:rPr>
                <w:rStyle w:val="128"/>
                <w:rFonts w:hint="default" w:ascii="Times New Roman" w:hAnsi="Times New Roman" w:eastAsia="Arial" w:cs="Times New Roman"/>
                <w:b/>
                <w:sz w:val="18"/>
                <w:szCs w:val="18"/>
              </w:rPr>
              <w:t>PREÇO UNIT</w:t>
            </w:r>
          </w:p>
        </w:tc>
        <w:tc>
          <w:tcPr>
            <w:tcW w:w="1117"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pStyle w:val="174"/>
              <w:jc w:val="center"/>
              <w:rPr>
                <w:rFonts w:hint="default" w:ascii="Times New Roman" w:hAnsi="Times New Roman" w:cs="Times New Roman"/>
              </w:rPr>
            </w:pPr>
            <w:r>
              <w:rPr>
                <w:rStyle w:val="128"/>
                <w:rFonts w:hint="default" w:ascii="Times New Roman" w:hAnsi="Times New Roman" w:eastAsia="Arial" w:cs="Times New Roman"/>
                <w:b/>
                <w:sz w:val="18"/>
                <w:szCs w:val="18"/>
              </w:rPr>
              <w:t>PREÇO TOTAL</w:t>
            </w:r>
          </w:p>
        </w:tc>
      </w:tr>
      <w:tr>
        <w:tblPrEx>
          <w:tblCellMar>
            <w:top w:w="0" w:type="dxa"/>
            <w:left w:w="108" w:type="dxa"/>
            <w:bottom w:w="0" w:type="dxa"/>
            <w:right w:w="108" w:type="dxa"/>
          </w:tblCellMar>
        </w:tblPrEx>
        <w:trPr>
          <w:trHeight w:val="1807" w:hRule="atLeast"/>
        </w:trPr>
        <w:tc>
          <w:tcPr>
            <w:tcW w:w="632" w:type="dxa"/>
            <w:tcBorders>
              <w:top w:val="single" w:color="000000" w:sz="4" w:space="0"/>
              <w:left w:val="single" w:color="000000" w:sz="4" w:space="0"/>
              <w:bottom w:val="single" w:color="000000" w:sz="4" w:space="0"/>
            </w:tcBorders>
            <w:shd w:val="clear" w:color="auto" w:fill="auto"/>
            <w:noWrap w:val="0"/>
            <w:vAlign w:val="center"/>
          </w:tcPr>
          <w:p>
            <w:pPr>
              <w:pStyle w:val="174"/>
              <w:jc w:val="center"/>
              <w:rPr>
                <w:rStyle w:val="128"/>
                <w:rFonts w:hint="default" w:ascii="Times New Roman" w:hAnsi="Times New Roman" w:eastAsia="Arial" w:cs="Times New Roman"/>
                <w:sz w:val="18"/>
                <w:szCs w:val="18"/>
              </w:rPr>
            </w:pPr>
            <w:r>
              <w:rPr>
                <w:rFonts w:hint="default" w:ascii="Times New Roman" w:hAnsi="Times New Roman" w:cs="Times New Roman"/>
                <w:sz w:val="18"/>
                <w:szCs w:val="18"/>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74"/>
              <w:jc w:val="center"/>
              <w:rPr>
                <w:rStyle w:val="128"/>
                <w:rFonts w:hint="default" w:ascii="Times New Roman" w:hAnsi="Times New Roman" w:eastAsia="Arial" w:cs="Times New Roman"/>
                <w:sz w:val="18"/>
                <w:szCs w:val="18"/>
              </w:rPr>
            </w:pPr>
            <w:r>
              <w:rPr>
                <w:rStyle w:val="128"/>
                <w:rFonts w:hint="default" w:ascii="Times New Roman" w:hAnsi="Times New Roman" w:eastAsia="Arial" w:cs="Times New Roman"/>
                <w:sz w:val="18"/>
                <w:szCs w:val="18"/>
              </w:rPr>
              <w:t>0004658</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74"/>
              <w:jc w:val="center"/>
              <w:rPr>
                <w:rFonts w:hint="default" w:ascii="Times New Roman" w:hAnsi="Times New Roman" w:cs="Times New Roman"/>
                <w:color w:val="000000"/>
                <w:sz w:val="18"/>
                <w:szCs w:val="18"/>
                <w:lang w:eastAsia="hi-IN"/>
              </w:rPr>
            </w:pPr>
            <w:r>
              <w:rPr>
                <w:rStyle w:val="128"/>
                <w:rFonts w:hint="default" w:ascii="Times New Roman" w:hAnsi="Times New Roman" w:eastAsia="Arial" w:cs="Times New Roman"/>
                <w:sz w:val="18"/>
                <w:szCs w:val="18"/>
              </w:rPr>
              <w:t>244</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spacing w:line="100" w:lineRule="atLeast"/>
              <w:jc w:val="center"/>
              <w:rPr>
                <w:rFonts w:hint="default" w:ascii="Times New Roman" w:hAnsi="Times New Roman" w:cs="Times New Roman"/>
                <w:color w:val="000000"/>
                <w:sz w:val="18"/>
                <w:szCs w:val="18"/>
                <w:lang w:eastAsia="hi-IN"/>
              </w:rPr>
            </w:pPr>
          </w:p>
          <w:p>
            <w:pPr>
              <w:spacing w:line="100" w:lineRule="atLeast"/>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eastAsia="hi-IN"/>
              </w:rPr>
              <w:t>CENTO</w:t>
            </w:r>
          </w:p>
          <w:p>
            <w:pPr>
              <w:spacing w:line="100" w:lineRule="atLeast"/>
              <w:jc w:val="center"/>
              <w:rPr>
                <w:rFonts w:hint="default" w:ascii="Times New Roman" w:hAnsi="Times New Roman" w:cs="Times New Roman"/>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spacing w:line="100" w:lineRule="atLeast"/>
              <w:jc w:val="center"/>
              <w:rPr>
                <w:rFonts w:hint="default" w:ascii="Times New Roman" w:hAnsi="Times New Roman" w:cs="Times New Roman"/>
                <w:color w:val="000000"/>
                <w:sz w:val="18"/>
                <w:szCs w:val="18"/>
              </w:rPr>
            </w:pPr>
          </w:p>
          <w:p>
            <w:pPr>
              <w:spacing w:line="100" w:lineRule="atLeast"/>
              <w:jc w:val="center"/>
              <w:rPr>
                <w:rFonts w:hint="default" w:ascii="Times New Roman" w:hAnsi="Times New Roman" w:cs="Times New Roman"/>
                <w:sz w:val="18"/>
                <w:szCs w:val="18"/>
              </w:rPr>
            </w:pPr>
            <w:r>
              <w:rPr>
                <w:rStyle w:val="128"/>
                <w:rFonts w:hint="default" w:ascii="Times New Roman" w:hAnsi="Times New Roman" w:cs="Times New Roman"/>
                <w:color w:val="000000"/>
                <w:sz w:val="18"/>
                <w:szCs w:val="18"/>
              </w:rPr>
              <w:t>SALGADO ASSADO</w:t>
            </w:r>
          </w:p>
          <w:p>
            <w:pPr>
              <w:spacing w:line="100" w:lineRule="atLeast"/>
              <w:jc w:val="center"/>
              <w:rPr>
                <w:rFonts w:hint="default" w:ascii="Times New Roman" w:hAnsi="Times New Roman" w:cs="Times New Roman"/>
                <w:sz w:val="18"/>
                <w:szCs w:val="18"/>
              </w:rPr>
            </w:pPr>
          </w:p>
          <w:p>
            <w:pPr>
              <w:spacing w:line="100" w:lineRule="atLeast"/>
              <w:jc w:val="center"/>
              <w:rPr>
                <w:rFonts w:hint="default" w:ascii="Times New Roman" w:hAnsi="Times New Roman" w:cs="Times New Roman"/>
                <w:color w:val="000000"/>
                <w:sz w:val="18"/>
                <w:szCs w:val="18"/>
                <w:shd w:val="clear" w:color="auto" w:fill="FFFF00"/>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pacing w:line="100" w:lineRule="atLeast"/>
              <w:jc w:val="both"/>
              <w:rPr>
                <w:rFonts w:hint="default" w:ascii="Times New Roman" w:hAnsi="Times New Roman" w:cs="Times New Roman"/>
                <w:color w:val="000000"/>
                <w:sz w:val="18"/>
                <w:szCs w:val="18"/>
                <w:lang w:eastAsia="hi-IN"/>
              </w:rPr>
            </w:pPr>
            <w:r>
              <w:rPr>
                <w:rStyle w:val="128"/>
                <w:rFonts w:hint="default" w:ascii="Times New Roman" w:hAnsi="Times New Roman" w:cs="Times New Roman"/>
                <w:b w:val="0"/>
                <w:i w:val="0"/>
                <w:color w:val="000000"/>
                <w:kern w:val="1"/>
                <w:sz w:val="18"/>
                <w:szCs w:val="18"/>
                <w:lang w:eastAsia="zh-CN"/>
              </w:rPr>
              <w:t>Combo de mini salgados assados: Pastel de carne; esfirra de carne; empadinhas de carne e de frango; enroladinho de presunto e de queijo e mini pizza de presunto, queijo e calabresa, croissant de chocolate.</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100" w:lineRule="atLeast"/>
              <w:jc w:val="center"/>
              <w:rPr>
                <w:rFonts w:hint="default" w:ascii="Times New Roman" w:hAnsi="Times New Roman" w:cs="Times New Roman"/>
                <w:color w:val="000000"/>
                <w:sz w:val="18"/>
                <w:szCs w:val="18"/>
                <w:lang w:eastAsia="hi-IN"/>
              </w:rPr>
            </w:pPr>
            <w:r>
              <w:rPr>
                <w:rFonts w:hint="default" w:ascii="Times New Roman" w:hAnsi="Times New Roman" w:cs="Times New Roman"/>
                <w:color w:val="000000"/>
                <w:sz w:val="18"/>
                <w:szCs w:val="18"/>
                <w:lang w:eastAsia="hi-IN"/>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100" w:lineRule="atLeast"/>
              <w:jc w:val="center"/>
              <w:rPr>
                <w:rFonts w:hint="default" w:ascii="Times New Roman" w:hAnsi="Times New Roman" w:cs="Times New Roman"/>
                <w:color w:val="000000"/>
                <w:sz w:val="18"/>
                <w:szCs w:val="18"/>
                <w:lang w:eastAsia="hi-IN"/>
              </w:rPr>
            </w:pPr>
            <w:r>
              <w:rPr>
                <w:rFonts w:hint="default" w:ascii="Times New Roman" w:hAnsi="Times New Roman" w:cs="Times New Roman"/>
                <w:color w:val="000000"/>
                <w:sz w:val="18"/>
                <w:szCs w:val="18"/>
                <w:lang w:eastAsia="hi-IN"/>
              </w:rPr>
              <w:t>R$113,98</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100" w:lineRule="atLeast"/>
              <w:jc w:val="center"/>
              <w:rPr>
                <w:rFonts w:hint="default" w:ascii="Times New Roman" w:hAnsi="Times New Roman" w:cs="Times New Roman"/>
              </w:rPr>
            </w:pPr>
            <w:r>
              <w:rPr>
                <w:rFonts w:hint="default" w:ascii="Times New Roman" w:hAnsi="Times New Roman" w:cs="Times New Roman"/>
                <w:color w:val="000000"/>
                <w:sz w:val="18"/>
                <w:szCs w:val="18"/>
                <w:lang w:eastAsia="hi-IN"/>
              </w:rPr>
              <w:t>R$11.398,00</w:t>
            </w:r>
          </w:p>
        </w:tc>
      </w:tr>
      <w:tr>
        <w:tblPrEx>
          <w:tblCellMar>
            <w:top w:w="0" w:type="dxa"/>
            <w:left w:w="108" w:type="dxa"/>
            <w:bottom w:w="0" w:type="dxa"/>
            <w:right w:w="108" w:type="dxa"/>
          </w:tblCellMar>
        </w:tblPrEx>
        <w:trPr>
          <w:trHeight w:val="2209" w:hRule="atLeast"/>
        </w:trPr>
        <w:tc>
          <w:tcPr>
            <w:tcW w:w="632" w:type="dxa"/>
            <w:tcBorders>
              <w:top w:val="single" w:color="000000" w:sz="4" w:space="0"/>
              <w:left w:val="single" w:color="000000" w:sz="4" w:space="0"/>
              <w:bottom w:val="single" w:color="000000" w:sz="4" w:space="0"/>
            </w:tcBorders>
            <w:shd w:val="clear" w:color="auto" w:fill="auto"/>
            <w:noWrap w:val="0"/>
            <w:vAlign w:val="center"/>
          </w:tcPr>
          <w:p>
            <w:pPr>
              <w:pStyle w:val="174"/>
              <w:jc w:val="center"/>
              <w:rPr>
                <w:rFonts w:hint="default" w:ascii="Times New Roman" w:hAnsi="Times New Roman" w:cs="Times New Roman"/>
                <w:b w:val="0"/>
                <w:bCs w:val="0"/>
                <w:color w:val="000000"/>
                <w:sz w:val="18"/>
                <w:szCs w:val="18"/>
                <w:shd w:val="clear" w:color="auto" w:fill="auto"/>
                <w:lang w:eastAsia="ar-SA"/>
              </w:rPr>
            </w:pPr>
            <w:r>
              <w:rPr>
                <w:rStyle w:val="128"/>
                <w:rFonts w:hint="default" w:ascii="Times New Roman" w:hAnsi="Times New Roman" w:eastAsia="Arial" w:cs="Times New Roman"/>
                <w:sz w:val="18"/>
                <w:szCs w:val="18"/>
                <w:shd w:val="clear" w:color="auto" w:fill="auto"/>
              </w:rPr>
              <w:t>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4"/>
              <w:spacing w:before="200" w:after="0"/>
              <w:ind w:left="0" w:right="0" w:firstLine="0"/>
              <w:jc w:val="center"/>
              <w:rPr>
                <w:rFonts w:hint="default" w:ascii="Times New Roman" w:hAnsi="Times New Roman" w:eastAsia="Arial" w:cs="Times New Roman"/>
                <w:sz w:val="18"/>
                <w:szCs w:val="18"/>
                <w:shd w:val="clear" w:color="auto" w:fill="FFFF00"/>
              </w:rPr>
            </w:pPr>
            <w:r>
              <w:rPr>
                <w:rFonts w:hint="default" w:ascii="Times New Roman" w:hAnsi="Times New Roman" w:cs="Times New Roman"/>
                <w:b w:val="0"/>
                <w:bCs w:val="0"/>
                <w:color w:val="000000"/>
                <w:sz w:val="18"/>
                <w:szCs w:val="18"/>
                <w:shd w:val="clear" w:color="auto" w:fill="auto"/>
                <w:lang w:eastAsia="ar-SA"/>
              </w:rPr>
              <w:t>0000689</w:t>
            </w:r>
          </w:p>
          <w:p>
            <w:pPr>
              <w:pStyle w:val="174"/>
              <w:jc w:val="center"/>
              <w:rPr>
                <w:rFonts w:hint="default" w:ascii="Times New Roman" w:hAnsi="Times New Roman" w:eastAsia="Arial" w:cs="Times New Roman"/>
                <w:sz w:val="18"/>
                <w:szCs w:val="18"/>
                <w:shd w:val="clear" w:color="auto" w:fill="FFFF00"/>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74"/>
              <w:jc w:val="center"/>
              <w:rPr>
                <w:rFonts w:hint="default" w:ascii="Times New Roman" w:hAnsi="Times New Roman" w:cs="Times New Roman"/>
                <w:color w:val="000000"/>
                <w:sz w:val="18"/>
                <w:szCs w:val="18"/>
                <w:lang w:eastAsia="hi-IN"/>
              </w:rPr>
            </w:pPr>
            <w:r>
              <w:rPr>
                <w:rStyle w:val="128"/>
                <w:rFonts w:hint="default" w:ascii="Times New Roman" w:hAnsi="Times New Roman" w:eastAsia="Arial" w:cs="Times New Roman"/>
                <w:sz w:val="18"/>
                <w:szCs w:val="18"/>
                <w:shd w:val="clear" w:color="auto" w:fill="auto"/>
              </w:rPr>
              <w:t>149</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100" w:lineRule="atLeast"/>
              <w:jc w:val="center"/>
              <w:rPr>
                <w:rFonts w:hint="default" w:ascii="Times New Roman" w:hAnsi="Times New Roman" w:cs="Times New Roman"/>
                <w:sz w:val="18"/>
                <w:szCs w:val="18"/>
              </w:rPr>
            </w:pPr>
            <w:r>
              <w:rPr>
                <w:rFonts w:hint="default" w:ascii="Times New Roman" w:hAnsi="Times New Roman" w:cs="Times New Roman"/>
                <w:color w:val="000000"/>
                <w:sz w:val="18"/>
                <w:szCs w:val="18"/>
                <w:lang w:eastAsia="hi-IN"/>
              </w:rPr>
              <w:t>CENTO</w:t>
            </w:r>
          </w:p>
          <w:p>
            <w:pPr>
              <w:spacing w:line="100" w:lineRule="atLeast"/>
              <w:jc w:val="center"/>
              <w:rPr>
                <w:rFonts w:hint="default" w:ascii="Times New Roman" w:hAnsi="Times New Roman" w:cs="Times New Roman"/>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100" w:lineRule="atLeast"/>
              <w:jc w:val="center"/>
              <w:rPr>
                <w:rFonts w:hint="default" w:ascii="Times New Roman" w:hAnsi="Times New Roman" w:cs="Times New Roman"/>
                <w:color w:val="000000"/>
                <w:sz w:val="18"/>
                <w:szCs w:val="18"/>
                <w:shd w:val="clear" w:color="auto" w:fill="FFFF00"/>
              </w:rPr>
            </w:pPr>
            <w:r>
              <w:rPr>
                <w:rFonts w:hint="default" w:ascii="Times New Roman" w:hAnsi="Times New Roman" w:cs="Times New Roman"/>
                <w:color w:val="000000"/>
                <w:sz w:val="18"/>
                <w:szCs w:val="18"/>
                <w:lang w:eastAsia="hi-IN"/>
              </w:rPr>
              <w:t>MINI SALGADO FRITO</w:t>
            </w:r>
          </w:p>
          <w:p>
            <w:pPr>
              <w:spacing w:line="100" w:lineRule="atLeast"/>
              <w:jc w:val="center"/>
              <w:rPr>
                <w:rFonts w:hint="default" w:ascii="Times New Roman" w:hAnsi="Times New Roman" w:cs="Times New Roman"/>
                <w:color w:val="000000"/>
                <w:sz w:val="18"/>
                <w:szCs w:val="18"/>
                <w:shd w:val="clear" w:color="auto" w:fill="FFFF00"/>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pacing w:line="100" w:lineRule="atLeast"/>
              <w:jc w:val="both"/>
              <w:rPr>
                <w:rFonts w:hint="default" w:ascii="Times New Roman" w:hAnsi="Times New Roman" w:cs="Times New Roman"/>
                <w:color w:val="000000"/>
                <w:sz w:val="18"/>
                <w:szCs w:val="18"/>
                <w:lang w:eastAsia="hi-IN"/>
              </w:rPr>
            </w:pPr>
            <w:r>
              <w:rPr>
                <w:rStyle w:val="128"/>
                <w:rFonts w:hint="default" w:ascii="Times New Roman" w:hAnsi="Times New Roman" w:cs="Times New Roman"/>
                <w:b w:val="0"/>
                <w:i w:val="0"/>
                <w:color w:val="000000"/>
                <w:kern w:val="1"/>
                <w:sz w:val="18"/>
                <w:szCs w:val="18"/>
                <w:lang w:eastAsia="zh-CN"/>
              </w:rPr>
              <w:t>Combo de mini salgados fritos: rissoles de carne, de queijo de  presunto; quibe;  pastel de carne, de frango, de presunto e de queijo, bolinha de queijo; e enroladinhos de salsicha, coxinhas de carne e frango, mini espetinho de file de frango</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100" w:lineRule="atLeast"/>
              <w:jc w:val="center"/>
              <w:rPr>
                <w:rFonts w:hint="default" w:ascii="Times New Roman" w:hAnsi="Times New Roman" w:cs="Times New Roman"/>
                <w:color w:val="000000"/>
                <w:sz w:val="18"/>
                <w:szCs w:val="18"/>
                <w:lang w:eastAsia="hi-IN"/>
              </w:rPr>
            </w:pPr>
            <w:r>
              <w:rPr>
                <w:rFonts w:hint="default" w:ascii="Times New Roman" w:hAnsi="Times New Roman" w:cs="Times New Roman"/>
                <w:color w:val="000000"/>
                <w:sz w:val="18"/>
                <w:szCs w:val="18"/>
                <w:lang w:eastAsia="hi-IN"/>
              </w:rPr>
              <w:t>200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100" w:lineRule="atLeast"/>
              <w:jc w:val="center"/>
              <w:rPr>
                <w:rFonts w:hint="default" w:ascii="Times New Roman" w:hAnsi="Times New Roman" w:cs="Times New Roman"/>
                <w:color w:val="000000"/>
                <w:sz w:val="18"/>
                <w:szCs w:val="18"/>
                <w:lang w:eastAsia="hi-IN"/>
              </w:rPr>
            </w:pPr>
            <w:r>
              <w:rPr>
                <w:rFonts w:hint="default" w:ascii="Times New Roman" w:hAnsi="Times New Roman" w:cs="Times New Roman"/>
                <w:color w:val="000000"/>
                <w:sz w:val="18"/>
                <w:szCs w:val="18"/>
                <w:lang w:eastAsia="hi-IN"/>
              </w:rPr>
              <w:t>R$97,48</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100" w:lineRule="atLeast"/>
              <w:jc w:val="center"/>
              <w:rPr>
                <w:rFonts w:hint="default" w:ascii="Times New Roman" w:hAnsi="Times New Roman" w:cs="Times New Roman"/>
              </w:rPr>
            </w:pPr>
            <w:r>
              <w:rPr>
                <w:rFonts w:hint="default" w:ascii="Times New Roman" w:hAnsi="Times New Roman" w:cs="Times New Roman"/>
                <w:color w:val="000000"/>
                <w:sz w:val="18"/>
                <w:szCs w:val="18"/>
                <w:lang w:eastAsia="hi-IN"/>
              </w:rPr>
              <w:t>R$19.496,00</w:t>
            </w:r>
          </w:p>
        </w:tc>
      </w:tr>
      <w:tr>
        <w:tblPrEx>
          <w:tblCellMar>
            <w:top w:w="0" w:type="dxa"/>
            <w:left w:w="108" w:type="dxa"/>
            <w:bottom w:w="0" w:type="dxa"/>
            <w:right w:w="108" w:type="dxa"/>
          </w:tblCellMar>
        </w:tblPrEx>
        <w:trPr>
          <w:trHeight w:val="1593" w:hRule="atLeast"/>
        </w:trPr>
        <w:tc>
          <w:tcPr>
            <w:tcW w:w="632" w:type="dxa"/>
            <w:tcBorders>
              <w:left w:val="single" w:color="000000" w:sz="4" w:space="0"/>
              <w:bottom w:val="single" w:color="000000" w:sz="4" w:space="0"/>
            </w:tcBorders>
            <w:shd w:val="clear" w:color="auto" w:fill="auto"/>
            <w:noWrap w:val="0"/>
            <w:vAlign w:val="center"/>
          </w:tcPr>
          <w:p>
            <w:pPr>
              <w:pStyle w:val="174"/>
              <w:jc w:val="center"/>
              <w:rPr>
                <w:rFonts w:hint="default" w:ascii="Times New Roman" w:hAnsi="Times New Roman" w:cs="Times New Roman"/>
                <w:b w:val="0"/>
                <w:bCs w:val="0"/>
                <w:color w:val="000000"/>
                <w:sz w:val="18"/>
                <w:szCs w:val="18"/>
                <w:shd w:val="clear" w:color="auto" w:fill="auto"/>
                <w:lang w:eastAsia="ar-SA"/>
              </w:rPr>
            </w:pPr>
            <w:r>
              <w:rPr>
                <w:rStyle w:val="128"/>
                <w:rFonts w:hint="default" w:ascii="Times New Roman" w:hAnsi="Times New Roman" w:eastAsia="Arial" w:cs="Times New Roman"/>
                <w:sz w:val="18"/>
                <w:szCs w:val="18"/>
                <w:shd w:val="clear" w:color="auto" w:fill="auto"/>
              </w:rPr>
              <w:t>3</w:t>
            </w:r>
          </w:p>
        </w:tc>
        <w:tc>
          <w:tcPr>
            <w:tcW w:w="936" w:type="dxa"/>
            <w:tcBorders>
              <w:left w:val="single" w:color="000000" w:sz="4" w:space="0"/>
              <w:bottom w:val="single" w:color="000000" w:sz="4" w:space="0"/>
              <w:right w:val="single" w:color="000000" w:sz="4" w:space="0"/>
            </w:tcBorders>
            <w:shd w:val="clear" w:color="auto" w:fill="auto"/>
            <w:noWrap w:val="0"/>
            <w:vAlign w:val="center"/>
          </w:tcPr>
          <w:p>
            <w:pPr>
              <w:pStyle w:val="4"/>
              <w:spacing w:before="200" w:after="0"/>
              <w:ind w:left="0" w:right="0" w:firstLine="0"/>
              <w:jc w:val="center"/>
              <w:rPr>
                <w:rFonts w:hint="default" w:ascii="Times New Roman" w:hAnsi="Times New Roman" w:eastAsia="Arial" w:cs="Times New Roman"/>
                <w:sz w:val="18"/>
                <w:szCs w:val="18"/>
                <w:shd w:val="clear" w:color="auto" w:fill="FFFF00"/>
              </w:rPr>
            </w:pPr>
            <w:r>
              <w:rPr>
                <w:rFonts w:hint="default" w:ascii="Times New Roman" w:hAnsi="Times New Roman" w:cs="Times New Roman"/>
                <w:b w:val="0"/>
                <w:bCs w:val="0"/>
                <w:color w:val="000000"/>
                <w:sz w:val="18"/>
                <w:szCs w:val="18"/>
                <w:shd w:val="clear" w:color="auto" w:fill="auto"/>
                <w:lang w:eastAsia="ar-SA"/>
              </w:rPr>
              <w:t>00035494</w:t>
            </w:r>
          </w:p>
          <w:p>
            <w:pPr>
              <w:pStyle w:val="174"/>
              <w:jc w:val="center"/>
              <w:rPr>
                <w:rFonts w:hint="default" w:ascii="Times New Roman" w:hAnsi="Times New Roman" w:eastAsia="Arial" w:cs="Times New Roman"/>
                <w:sz w:val="18"/>
                <w:szCs w:val="18"/>
                <w:shd w:val="clear" w:color="auto" w:fill="FFFF00"/>
              </w:rPr>
            </w:pPr>
          </w:p>
        </w:tc>
        <w:tc>
          <w:tcPr>
            <w:tcW w:w="949" w:type="dxa"/>
            <w:tcBorders>
              <w:left w:val="single" w:color="000000" w:sz="4" w:space="0"/>
              <w:bottom w:val="single" w:color="000000" w:sz="4" w:space="0"/>
              <w:right w:val="single" w:color="000000" w:sz="4" w:space="0"/>
            </w:tcBorders>
            <w:shd w:val="clear" w:color="auto" w:fill="auto"/>
            <w:noWrap w:val="0"/>
            <w:vAlign w:val="center"/>
          </w:tcPr>
          <w:p>
            <w:pPr>
              <w:pStyle w:val="174"/>
              <w:jc w:val="center"/>
              <w:rPr>
                <w:rFonts w:hint="default" w:ascii="Times New Roman" w:hAnsi="Times New Roman" w:cs="Times New Roman"/>
                <w:sz w:val="18"/>
                <w:szCs w:val="18"/>
                <w:lang w:eastAsia="hi-IN"/>
              </w:rPr>
            </w:pPr>
            <w:r>
              <w:rPr>
                <w:rFonts w:hint="default" w:ascii="Times New Roman" w:hAnsi="Times New Roman" w:eastAsia="Arial" w:cs="Times New Roman"/>
                <w:sz w:val="18"/>
                <w:szCs w:val="18"/>
                <w:shd w:val="clear" w:color="auto" w:fill="auto"/>
              </w:rPr>
              <w:t>1478</w:t>
            </w:r>
          </w:p>
        </w:tc>
        <w:tc>
          <w:tcPr>
            <w:tcW w:w="797" w:type="dxa"/>
            <w:tcBorders>
              <w:left w:val="single" w:color="000000" w:sz="4" w:space="0"/>
              <w:bottom w:val="single" w:color="000000" w:sz="4" w:space="0"/>
              <w:right w:val="single" w:color="000000" w:sz="4" w:space="0"/>
            </w:tcBorders>
            <w:shd w:val="clear" w:color="auto" w:fill="auto"/>
            <w:noWrap w:val="0"/>
            <w:vAlign w:val="center"/>
          </w:tcPr>
          <w:p>
            <w:pPr>
              <w:spacing w:line="100" w:lineRule="atLeast"/>
              <w:jc w:val="center"/>
              <w:rPr>
                <w:rFonts w:hint="default" w:ascii="Times New Roman" w:hAnsi="Times New Roman" w:cs="Times New Roman"/>
                <w:sz w:val="18"/>
                <w:szCs w:val="18"/>
              </w:rPr>
            </w:pPr>
            <w:r>
              <w:rPr>
                <w:rFonts w:hint="default" w:ascii="Times New Roman" w:hAnsi="Times New Roman" w:cs="Times New Roman"/>
                <w:sz w:val="18"/>
                <w:szCs w:val="18"/>
                <w:lang w:eastAsia="hi-IN"/>
              </w:rPr>
              <w:t>KG</w:t>
            </w:r>
          </w:p>
        </w:tc>
        <w:tc>
          <w:tcPr>
            <w:tcW w:w="1050" w:type="dxa"/>
            <w:tcBorders>
              <w:left w:val="single" w:color="000000" w:sz="4" w:space="0"/>
              <w:bottom w:val="single" w:color="000000" w:sz="4" w:space="0"/>
              <w:right w:val="single" w:color="000000" w:sz="4" w:space="0"/>
            </w:tcBorders>
            <w:shd w:val="clear" w:color="auto" w:fill="auto"/>
            <w:noWrap w:val="0"/>
            <w:vAlign w:val="center"/>
          </w:tcPr>
          <w:p>
            <w:pPr>
              <w:snapToGrid w:val="0"/>
              <w:spacing w:line="100" w:lineRule="atLeast"/>
              <w:jc w:val="center"/>
              <w:rPr>
                <w:rFonts w:hint="default" w:ascii="Times New Roman" w:hAnsi="Times New Roman" w:cs="Times New Roman"/>
                <w:sz w:val="18"/>
                <w:szCs w:val="18"/>
              </w:rPr>
            </w:pPr>
          </w:p>
          <w:p>
            <w:pPr>
              <w:spacing w:line="100" w:lineRule="atLeast"/>
              <w:jc w:val="center"/>
              <w:rPr>
                <w:rFonts w:hint="default" w:ascii="Times New Roman" w:hAnsi="Times New Roman" w:cs="Times New Roman"/>
                <w:sz w:val="18"/>
                <w:szCs w:val="18"/>
              </w:rPr>
            </w:pPr>
            <w:r>
              <w:rPr>
                <w:rStyle w:val="128"/>
                <w:rFonts w:hint="default" w:ascii="Times New Roman" w:hAnsi="Times New Roman" w:cs="Times New Roman"/>
                <w:sz w:val="18"/>
                <w:szCs w:val="18"/>
                <w:lang w:eastAsia="hi-IN"/>
              </w:rPr>
              <w:t>MINI SANDUÍCHE</w:t>
            </w:r>
          </w:p>
          <w:p>
            <w:pPr>
              <w:spacing w:line="100" w:lineRule="atLeast"/>
              <w:jc w:val="center"/>
              <w:rPr>
                <w:rFonts w:hint="default" w:ascii="Times New Roman" w:hAnsi="Times New Roman" w:cs="Times New Roman"/>
                <w:sz w:val="18"/>
                <w:szCs w:val="18"/>
              </w:rPr>
            </w:pPr>
          </w:p>
        </w:tc>
        <w:tc>
          <w:tcPr>
            <w:tcW w:w="1969" w:type="dxa"/>
            <w:tcBorders>
              <w:left w:val="single" w:color="000000" w:sz="4" w:space="0"/>
              <w:bottom w:val="single" w:color="000000" w:sz="4" w:space="0"/>
              <w:right w:val="single" w:color="000000" w:sz="4" w:space="0"/>
            </w:tcBorders>
            <w:shd w:val="clear" w:color="auto" w:fill="auto"/>
            <w:noWrap w:val="0"/>
            <w:vAlign w:val="center"/>
          </w:tcPr>
          <w:p>
            <w:pPr>
              <w:widowControl w:val="0"/>
              <w:jc w:val="both"/>
              <w:rPr>
                <w:rStyle w:val="128"/>
                <w:rFonts w:hint="default" w:ascii="Times New Roman" w:hAnsi="Times New Roman" w:cs="Times New Roman"/>
                <w:sz w:val="18"/>
                <w:szCs w:val="18"/>
              </w:rPr>
            </w:pPr>
            <w:r>
              <w:rPr>
                <w:rFonts w:hint="default" w:ascii="Times New Roman" w:hAnsi="Times New Roman" w:cs="Times New Roman"/>
                <w:b w:val="0"/>
                <w:i w:val="0"/>
                <w:color w:val="000000"/>
                <w:kern w:val="1"/>
                <w:sz w:val="18"/>
                <w:szCs w:val="18"/>
                <w:lang w:eastAsia="zh-CN"/>
              </w:rPr>
              <w:t>Mini sanduíches, sabor de  frango e de presunto, de queijo e de atum.</w:t>
            </w:r>
          </w:p>
        </w:tc>
        <w:tc>
          <w:tcPr>
            <w:tcW w:w="720" w:type="dxa"/>
            <w:tcBorders>
              <w:left w:val="single" w:color="000000" w:sz="4" w:space="0"/>
              <w:bottom w:val="single" w:color="000000" w:sz="4" w:space="0"/>
              <w:right w:val="single" w:color="000000" w:sz="4" w:space="0"/>
            </w:tcBorders>
            <w:shd w:val="clear" w:color="auto" w:fill="auto"/>
            <w:noWrap w:val="0"/>
            <w:vAlign w:val="center"/>
          </w:tcPr>
          <w:p>
            <w:pPr>
              <w:spacing w:line="100" w:lineRule="atLeast"/>
              <w:jc w:val="center"/>
              <w:rPr>
                <w:rFonts w:hint="default" w:ascii="Times New Roman" w:hAnsi="Times New Roman" w:cs="Times New Roman"/>
                <w:color w:val="000000"/>
                <w:sz w:val="18"/>
                <w:szCs w:val="18"/>
                <w:lang w:eastAsia="hi-IN"/>
              </w:rPr>
            </w:pPr>
            <w:r>
              <w:rPr>
                <w:rStyle w:val="128"/>
                <w:rFonts w:hint="default" w:ascii="Times New Roman" w:hAnsi="Times New Roman" w:cs="Times New Roman"/>
                <w:sz w:val="18"/>
                <w:szCs w:val="18"/>
              </w:rPr>
              <w:t>70</w:t>
            </w:r>
          </w:p>
        </w:tc>
        <w:tc>
          <w:tcPr>
            <w:tcW w:w="960" w:type="dxa"/>
            <w:tcBorders>
              <w:left w:val="single" w:color="000000" w:sz="4" w:space="0"/>
              <w:bottom w:val="single" w:color="000000" w:sz="4" w:space="0"/>
              <w:right w:val="single" w:color="000000" w:sz="4" w:space="0"/>
            </w:tcBorders>
            <w:shd w:val="clear" w:color="auto" w:fill="auto"/>
            <w:noWrap w:val="0"/>
            <w:vAlign w:val="center"/>
          </w:tcPr>
          <w:p>
            <w:pPr>
              <w:spacing w:line="100" w:lineRule="atLeast"/>
              <w:jc w:val="center"/>
              <w:rPr>
                <w:rFonts w:hint="default" w:ascii="Times New Roman" w:hAnsi="Times New Roman" w:cs="Times New Roman"/>
                <w:color w:val="000000"/>
                <w:sz w:val="18"/>
                <w:szCs w:val="18"/>
                <w:lang w:eastAsia="hi-IN"/>
              </w:rPr>
            </w:pPr>
            <w:r>
              <w:rPr>
                <w:rFonts w:hint="default" w:ascii="Times New Roman" w:hAnsi="Times New Roman" w:cs="Times New Roman"/>
                <w:color w:val="000000"/>
                <w:sz w:val="18"/>
                <w:szCs w:val="18"/>
                <w:lang w:eastAsia="hi-IN"/>
              </w:rPr>
              <w:t>R$ 55,52</w:t>
            </w:r>
          </w:p>
        </w:tc>
        <w:tc>
          <w:tcPr>
            <w:tcW w:w="1117" w:type="dxa"/>
            <w:tcBorders>
              <w:left w:val="single" w:color="000000" w:sz="4" w:space="0"/>
              <w:bottom w:val="single" w:color="000000" w:sz="4" w:space="0"/>
              <w:right w:val="single" w:color="000000" w:sz="4" w:space="0"/>
            </w:tcBorders>
            <w:shd w:val="clear" w:color="auto" w:fill="auto"/>
            <w:noWrap w:val="0"/>
            <w:vAlign w:val="center"/>
          </w:tcPr>
          <w:p>
            <w:pPr>
              <w:spacing w:line="100" w:lineRule="atLeast"/>
              <w:jc w:val="center"/>
              <w:rPr>
                <w:rFonts w:hint="default" w:ascii="Times New Roman" w:hAnsi="Times New Roman" w:cs="Times New Roman"/>
              </w:rPr>
            </w:pPr>
            <w:r>
              <w:rPr>
                <w:rFonts w:hint="default" w:ascii="Times New Roman" w:hAnsi="Times New Roman" w:cs="Times New Roman"/>
                <w:color w:val="000000"/>
                <w:sz w:val="18"/>
                <w:szCs w:val="18"/>
                <w:lang w:eastAsia="hi-IN"/>
              </w:rPr>
              <w:t xml:space="preserve">R$3.886,40 </w:t>
            </w:r>
          </w:p>
        </w:tc>
      </w:tr>
      <w:tr>
        <w:tblPrEx>
          <w:tblCellMar>
            <w:top w:w="0" w:type="dxa"/>
            <w:left w:w="108" w:type="dxa"/>
            <w:bottom w:w="0" w:type="dxa"/>
            <w:right w:w="108" w:type="dxa"/>
          </w:tblCellMar>
        </w:tblPrEx>
        <w:trPr>
          <w:trHeight w:val="413" w:hRule="atLeast"/>
        </w:trPr>
        <w:tc>
          <w:tcPr>
            <w:tcW w:w="632" w:type="dxa"/>
            <w:tcBorders>
              <w:left w:val="single" w:color="000000" w:sz="4" w:space="0"/>
              <w:bottom w:val="single" w:color="000000" w:sz="4" w:space="0"/>
            </w:tcBorders>
            <w:shd w:val="clear" w:color="auto" w:fill="auto"/>
            <w:noWrap w:val="0"/>
            <w:vAlign w:val="center"/>
          </w:tcPr>
          <w:p>
            <w:pPr>
              <w:pStyle w:val="174"/>
              <w:jc w:val="center"/>
              <w:rPr>
                <w:rFonts w:hint="default" w:ascii="Times New Roman" w:hAnsi="Times New Roman" w:cs="Times New Roman"/>
              </w:rPr>
            </w:pPr>
          </w:p>
        </w:tc>
        <w:tc>
          <w:tcPr>
            <w:tcW w:w="7381" w:type="dxa"/>
            <w:gridSpan w:val="7"/>
            <w:tcBorders>
              <w:left w:val="single" w:color="000000" w:sz="4" w:space="0"/>
              <w:bottom w:val="single" w:color="000000" w:sz="4" w:space="0"/>
              <w:right w:val="single" w:color="000000" w:sz="4" w:space="0"/>
            </w:tcBorders>
            <w:shd w:val="clear" w:color="auto" w:fill="auto"/>
            <w:noWrap w:val="0"/>
            <w:vAlign w:val="center"/>
          </w:tcPr>
          <w:p>
            <w:pPr>
              <w:pStyle w:val="4"/>
              <w:spacing w:before="200" w:after="0"/>
              <w:ind w:left="0" w:right="0" w:firstLine="0"/>
              <w:jc w:val="center"/>
              <w:rPr>
                <w:rFonts w:hint="default" w:ascii="Times New Roman" w:hAnsi="Times New Roman" w:cs="Times New Roman"/>
                <w:color w:val="000000"/>
                <w:sz w:val="18"/>
                <w:szCs w:val="18"/>
                <w:lang w:eastAsia="hi-IN"/>
              </w:rPr>
            </w:pPr>
            <w:r>
              <w:rPr>
                <w:rFonts w:hint="default" w:ascii="Times New Roman" w:hAnsi="Times New Roman" w:cs="Times New Roman"/>
                <w:b/>
                <w:bCs/>
                <w:color w:val="000000"/>
                <w:sz w:val="18"/>
                <w:szCs w:val="18"/>
                <w:shd w:val="clear" w:color="auto" w:fill="auto"/>
                <w:lang w:eastAsia="ar-SA"/>
              </w:rPr>
              <w:t>VALOR DO LOTE</w:t>
            </w:r>
          </w:p>
        </w:tc>
        <w:tc>
          <w:tcPr>
            <w:tcW w:w="1117" w:type="dxa"/>
            <w:tcBorders>
              <w:left w:val="single" w:color="000000" w:sz="4" w:space="0"/>
              <w:bottom w:val="single" w:color="000000" w:sz="4" w:space="0"/>
              <w:right w:val="single" w:color="000000" w:sz="4" w:space="0"/>
            </w:tcBorders>
            <w:shd w:val="clear" w:color="auto" w:fill="auto"/>
            <w:noWrap w:val="0"/>
            <w:vAlign w:val="center"/>
          </w:tcPr>
          <w:p>
            <w:pPr>
              <w:spacing w:line="100" w:lineRule="atLeast"/>
              <w:jc w:val="center"/>
              <w:rPr>
                <w:rFonts w:hint="default" w:ascii="Times New Roman" w:hAnsi="Times New Roman" w:cs="Times New Roman"/>
              </w:rPr>
            </w:pPr>
            <w:r>
              <w:rPr>
                <w:rFonts w:hint="default" w:ascii="Times New Roman" w:hAnsi="Times New Roman" w:cs="Times New Roman"/>
                <w:color w:val="000000"/>
                <w:sz w:val="18"/>
                <w:szCs w:val="18"/>
                <w:lang w:eastAsia="hi-IN"/>
              </w:rPr>
              <w:t>R$ 34.780,40</w:t>
            </w:r>
          </w:p>
        </w:tc>
      </w:tr>
    </w:tbl>
    <w:p>
      <w:pPr>
        <w:numPr>
          <w:ilvl w:val="0"/>
          <w:numId w:val="0"/>
        </w:numPr>
        <w:tabs>
          <w:tab w:val="left" w:pos="426"/>
        </w:tabs>
        <w:spacing w:line="240" w:lineRule="auto"/>
        <w:ind w:leftChars="0" w:right="0" w:rightChars="0"/>
        <w:jc w:val="both"/>
        <w:rPr>
          <w:rStyle w:val="45"/>
          <w:rFonts w:ascii="Times New Roman" w:hAnsi="Times New Roman" w:cs="Times New Roman"/>
          <w:b/>
          <w:bCs/>
          <w:sz w:val="22"/>
          <w:szCs w:val="22"/>
          <w:lang w:val="pt-BR"/>
        </w:rPr>
      </w:pPr>
    </w:p>
    <w:p>
      <w:pPr>
        <w:numPr>
          <w:ilvl w:val="0"/>
          <w:numId w:val="0"/>
        </w:numPr>
        <w:tabs>
          <w:tab w:val="left" w:pos="426"/>
        </w:tabs>
        <w:spacing w:line="240" w:lineRule="auto"/>
        <w:ind w:leftChars="0" w:right="0" w:rightChars="0"/>
        <w:jc w:val="both"/>
        <w:rPr>
          <w:rFonts w:hint="default" w:ascii="Times New Roman" w:hAnsi="Times New Roman" w:cs="Times New Roman"/>
          <w:b w:val="0"/>
          <w:bCs w:val="0"/>
          <w:sz w:val="22"/>
          <w:szCs w:val="22"/>
          <w:lang w:val="pt-BR"/>
        </w:rPr>
      </w:pPr>
      <w:r>
        <w:rPr>
          <w:rStyle w:val="45"/>
          <w:rFonts w:ascii="Times New Roman" w:hAnsi="Times New Roman" w:cs="Times New Roman"/>
          <w:b/>
          <w:bCs/>
          <w:sz w:val="22"/>
          <w:szCs w:val="22"/>
          <w:lang w:val="pt-BR"/>
        </w:rPr>
        <w:t>Valor estimado total:</w:t>
      </w:r>
      <w:r>
        <w:rPr>
          <w:rStyle w:val="45"/>
          <w:rFonts w:hint="default" w:ascii="Times New Roman" w:hAnsi="Times New Roman" w:cs="Times New Roman"/>
          <w:b/>
          <w:bCs/>
          <w:sz w:val="22"/>
          <w:szCs w:val="22"/>
          <w:lang w:val="pt-BR"/>
        </w:rPr>
        <w:t xml:space="preserve"> </w:t>
      </w:r>
      <w:r>
        <w:rPr>
          <w:rStyle w:val="128"/>
          <w:rFonts w:hint="default" w:ascii="Times New Roman" w:hAnsi="Times New Roman" w:eastAsia="Times New Roman" w:cs="Times New Roman"/>
          <w:sz w:val="24"/>
          <w:szCs w:val="24"/>
          <w:lang w:eastAsia="en-US"/>
        </w:rPr>
        <w:t xml:space="preserve"> </w:t>
      </w:r>
      <w:r>
        <w:rPr>
          <w:rStyle w:val="128"/>
          <w:rFonts w:hint="default" w:ascii="Times New Roman" w:hAnsi="Times New Roman" w:eastAsia="Liberation Sans" w:cs="Times New Roman"/>
          <w:b/>
          <w:bCs/>
          <w:sz w:val="24"/>
          <w:szCs w:val="24"/>
          <w:lang w:val="en-US" w:eastAsia="en-US"/>
        </w:rPr>
        <w:t>R$</w:t>
      </w:r>
      <w:r>
        <w:rPr>
          <w:rStyle w:val="128"/>
          <w:rFonts w:hint="default" w:ascii="Times New Roman" w:hAnsi="Times New Roman" w:eastAsia="Liberation Sans" w:cs="Times New Roman"/>
          <w:b/>
          <w:bCs/>
          <w:sz w:val="24"/>
          <w:szCs w:val="24"/>
          <w:shd w:val="clear" w:color="auto" w:fill="auto"/>
          <w:lang w:val="en-US" w:eastAsia="en-US"/>
        </w:rPr>
        <w:t xml:space="preserve"> 41.172,50</w:t>
      </w:r>
      <w:r>
        <w:rPr>
          <w:rStyle w:val="128"/>
          <w:rFonts w:hint="default" w:ascii="Times New Roman" w:hAnsi="Times New Roman" w:eastAsia="Times New Roman" w:cs="Times New Roman"/>
          <w:b/>
          <w:bCs/>
          <w:sz w:val="24"/>
          <w:szCs w:val="24"/>
          <w:shd w:val="clear" w:color="auto" w:fill="auto"/>
          <w:lang w:val="en-US" w:eastAsia="en-US"/>
        </w:rPr>
        <w:t xml:space="preserve"> (quarenta e um mil cento e setenta e dois reais e cinquenta centavos).</w:t>
      </w:r>
    </w:p>
    <w:p>
      <w:pPr>
        <w:pStyle w:val="130"/>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Fazem parte do presente Edital os anexos abaixo relacionados: </w:t>
      </w:r>
    </w:p>
    <w:p>
      <w:pPr>
        <w:pStyle w:val="130"/>
        <w:numPr>
          <w:ilvl w:val="2"/>
          <w:numId w:val="1"/>
        </w:numPr>
        <w:tabs>
          <w:tab w:val="left" w:pos="1134"/>
        </w:tabs>
        <w:spacing w:before="0" w:beforeAutospacing="0" w:after="0" w:afterAutospacing="0"/>
        <w:jc w:val="both"/>
        <w:textAlignment w:val="baseline"/>
      </w:pPr>
      <w:r>
        <w:rPr>
          <w:rStyle w:val="45"/>
          <w:color w:val="000000"/>
          <w:sz w:val="22"/>
          <w:szCs w:val="22"/>
        </w:rPr>
        <w:t>Anexo I - Termo de Referência;</w:t>
      </w:r>
    </w:p>
    <w:p>
      <w:pPr>
        <w:pStyle w:val="130"/>
        <w:numPr>
          <w:ilvl w:val="2"/>
          <w:numId w:val="1"/>
        </w:numPr>
        <w:tabs>
          <w:tab w:val="left" w:pos="1134"/>
        </w:tabs>
        <w:spacing w:before="0" w:beforeAutospacing="0" w:after="0" w:afterAutospacing="0"/>
        <w:jc w:val="both"/>
        <w:textAlignment w:val="baseline"/>
      </w:pPr>
      <w:r>
        <w:rPr>
          <w:rStyle w:val="45"/>
          <w:color w:val="000000"/>
          <w:sz w:val="22"/>
          <w:szCs w:val="22"/>
        </w:rPr>
        <w:t>Anexo II - Modelo de Declarações;</w:t>
      </w:r>
    </w:p>
    <w:p>
      <w:pPr>
        <w:pStyle w:val="130"/>
        <w:numPr>
          <w:ilvl w:val="2"/>
          <w:numId w:val="1"/>
        </w:numPr>
        <w:tabs>
          <w:tab w:val="left" w:pos="1134"/>
        </w:tabs>
        <w:spacing w:before="0" w:beforeAutospacing="0" w:after="0" w:afterAutospacing="0"/>
        <w:jc w:val="both"/>
        <w:textAlignment w:val="baseline"/>
      </w:pPr>
      <w:r>
        <w:rPr>
          <w:rStyle w:val="45"/>
          <w:color w:val="000000"/>
          <w:sz w:val="22"/>
          <w:szCs w:val="22"/>
        </w:rPr>
        <w:t>Anexo III - Modelo de Proposta;</w:t>
      </w:r>
    </w:p>
    <w:p>
      <w:pPr>
        <w:pStyle w:val="130"/>
        <w:numPr>
          <w:ilvl w:val="2"/>
          <w:numId w:val="1"/>
        </w:numPr>
        <w:tabs>
          <w:tab w:val="left" w:pos="1134"/>
        </w:tabs>
        <w:spacing w:before="0" w:beforeAutospacing="0" w:after="0" w:afterAutospacing="0"/>
        <w:jc w:val="both"/>
        <w:textAlignment w:val="baseline"/>
      </w:pPr>
      <w:r>
        <w:rPr>
          <w:rStyle w:val="45"/>
          <w:color w:val="000000"/>
          <w:sz w:val="22"/>
          <w:szCs w:val="22"/>
        </w:rPr>
        <w:t>Anexo IV - Minuta da Ata de Registro de Preços;</w:t>
      </w:r>
    </w:p>
    <w:p>
      <w:pPr>
        <w:pStyle w:val="130"/>
        <w:numPr>
          <w:ilvl w:val="2"/>
          <w:numId w:val="1"/>
        </w:numPr>
        <w:tabs>
          <w:tab w:val="left" w:pos="1134"/>
        </w:tabs>
        <w:spacing w:before="0" w:beforeAutospacing="0" w:after="0" w:afterAutospacing="0"/>
        <w:jc w:val="both"/>
        <w:textAlignment w:val="baseline"/>
      </w:pPr>
      <w:r>
        <w:rPr>
          <w:rStyle w:val="45"/>
          <w:color w:val="000000"/>
          <w:sz w:val="22"/>
          <w:szCs w:val="22"/>
        </w:rPr>
        <w:t>Anexo V - Minuta do Instrumento de Contrato.</w:t>
      </w:r>
    </w:p>
    <w:p>
      <w:pPr>
        <w:pStyle w:val="2"/>
        <w:spacing w:before="360" w:after="0"/>
      </w:pPr>
      <w:bookmarkStart w:id="6" w:name="_Toc149517432"/>
      <w:r>
        <w:rPr>
          <w:rStyle w:val="45"/>
          <w:sz w:val="22"/>
          <w:szCs w:val="22"/>
        </w:rPr>
        <w:t>CONDIÇÕES PARA PARTICIPAÇÃO</w:t>
      </w:r>
      <w:bookmarkEnd w:id="6"/>
      <w:r>
        <w:rPr>
          <w:rStyle w:val="45"/>
          <w:sz w:val="22"/>
          <w:szCs w:val="22"/>
        </w:rPr>
        <w:t> </w:t>
      </w:r>
    </w:p>
    <w:p>
      <w:pPr>
        <w:pStyle w:val="130"/>
        <w:numPr>
          <w:ilvl w:val="1"/>
          <w:numId w:val="1"/>
        </w:numPr>
        <w:tabs>
          <w:tab w:val="left" w:pos="1134"/>
        </w:tabs>
        <w:spacing w:before="120" w:beforeAutospacing="0" w:after="0" w:afterAutospacing="0"/>
        <w:ind w:left="0" w:firstLine="567"/>
        <w:jc w:val="both"/>
        <w:textAlignment w:val="baseline"/>
      </w:pPr>
      <w:r>
        <w:rPr>
          <w:rStyle w:val="45"/>
          <w:color w:val="000000"/>
          <w:sz w:val="22"/>
          <w:szCs w:val="22"/>
        </w:rPr>
        <w:t xml:space="preserve">Para </w:t>
      </w:r>
      <w:r>
        <w:rPr>
          <w:sz w:val="22"/>
          <w:szCs w:val="22"/>
        </w:rPr>
        <w:t>participar</w:t>
      </w:r>
      <w:r>
        <w:rPr>
          <w:rStyle w:val="45"/>
          <w:color w:val="000000"/>
          <w:sz w:val="22"/>
          <w:szCs w:val="22"/>
        </w:rPr>
        <w:t xml:space="preserve"> deste Pregão, em sua forma eletrônica (</w:t>
      </w:r>
      <w:r>
        <w:fldChar w:fldCharType="begin"/>
      </w:r>
      <w:r>
        <w:rPr>
          <w:rStyle w:val="54"/>
          <w:sz w:val="22"/>
          <w:szCs w:val="22"/>
        </w:rPr>
        <w:instrText xml:space="preserve"> HYPERLINK "https://www.planalto.gov.br/ccivil_03/_ato2019-2022/2021/lei/l14133.htm" \l "art17"</w:instrText>
      </w:r>
      <w:r>
        <w:rPr>
          <w:rStyle w:val="54"/>
          <w:sz w:val="22"/>
          <w:szCs w:val="22"/>
        </w:rPr>
        <w:fldChar w:fldCharType="separate"/>
      </w:r>
      <w:r>
        <w:rPr>
          <w:rStyle w:val="54"/>
          <w:sz w:val="22"/>
          <w:szCs w:val="22"/>
        </w:rPr>
        <w:t>art. 17, § 2º, da Lei Federal nº 14.133, de 2021</w:t>
      </w:r>
      <w:r>
        <w:rPr>
          <w:rStyle w:val="54"/>
          <w:sz w:val="22"/>
          <w:szCs w:val="22"/>
        </w:rPr>
        <w:fldChar w:fldCharType="end"/>
      </w:r>
      <w:r>
        <w:rPr>
          <w:rStyle w:val="45"/>
          <w:color w:val="000000"/>
          <w:sz w:val="22"/>
          <w:szCs w:val="22"/>
        </w:rPr>
        <w:t>), a licitante deverá preencher os seguintes requisitos:</w:t>
      </w:r>
      <w:r>
        <w:rPr>
          <w:rStyle w:val="47"/>
          <w:color w:val="000000"/>
          <w:sz w:val="22"/>
          <w:szCs w:val="22"/>
        </w:rPr>
        <w:t xml:space="preserve"> </w:t>
      </w:r>
    </w:p>
    <w:p>
      <w:pPr>
        <w:pStyle w:val="130"/>
        <w:numPr>
          <w:ilvl w:val="2"/>
          <w:numId w:val="1"/>
        </w:numPr>
        <w:tabs>
          <w:tab w:val="left" w:pos="1134"/>
        </w:tabs>
        <w:spacing w:before="0" w:beforeAutospacing="0" w:after="0" w:afterAutospacing="0"/>
        <w:jc w:val="both"/>
        <w:textAlignment w:val="baseline"/>
      </w:pPr>
      <w:r>
        <w:rPr>
          <w:rStyle w:val="45"/>
          <w:color w:val="000000"/>
          <w:sz w:val="22"/>
          <w:szCs w:val="22"/>
        </w:rPr>
        <w:t>Pessoa jurídica cujo ramo de atividade seja compatível com o objeto desta licitação;</w:t>
      </w:r>
    </w:p>
    <w:p>
      <w:pPr>
        <w:pStyle w:val="130"/>
        <w:numPr>
          <w:ilvl w:val="2"/>
          <w:numId w:val="1"/>
        </w:numPr>
        <w:tabs>
          <w:tab w:val="left" w:pos="1134"/>
        </w:tabs>
        <w:spacing w:before="0" w:beforeAutospacing="0" w:after="0" w:afterAutospacing="0"/>
        <w:jc w:val="both"/>
        <w:textAlignment w:val="baseline"/>
      </w:pPr>
      <w:r>
        <w:rPr>
          <w:rStyle w:val="45"/>
          <w:color w:val="000000"/>
          <w:sz w:val="22"/>
          <w:szCs w:val="22"/>
        </w:rPr>
        <w:t xml:space="preserve">Ser credenciada junto ao </w:t>
      </w:r>
      <w:r>
        <w:rPr>
          <w:sz w:val="22"/>
          <w:szCs w:val="22"/>
        </w:rPr>
        <w:t xml:space="preserve">Portal Licitanet, disponível no endereço eletrônico: </w:t>
      </w:r>
      <w:r>
        <w:fldChar w:fldCharType="begin"/>
      </w:r>
      <w:r>
        <w:instrText xml:space="preserve"> HYPERLINK "https://www.licitanet.com.br/" \h </w:instrText>
      </w:r>
      <w:r>
        <w:fldChar w:fldCharType="separate"/>
      </w:r>
      <w:r>
        <w:rPr>
          <w:rStyle w:val="54"/>
          <w:sz w:val="22"/>
          <w:szCs w:val="22"/>
        </w:rPr>
        <w:t>https://www.licitanet.com.br/</w:t>
      </w:r>
      <w:r>
        <w:rPr>
          <w:rStyle w:val="54"/>
          <w:sz w:val="22"/>
          <w:szCs w:val="22"/>
        </w:rPr>
        <w:fldChar w:fldCharType="end"/>
      </w:r>
      <w:r>
        <w:rPr>
          <w:rStyle w:val="45"/>
          <w:color w:val="000000"/>
          <w:sz w:val="22"/>
          <w:szCs w:val="22"/>
        </w:rPr>
        <w:t>, que atuará como órgão provedor do sistema eletrônico;</w:t>
      </w:r>
    </w:p>
    <w:p>
      <w:pPr>
        <w:pStyle w:val="130"/>
        <w:numPr>
          <w:ilvl w:val="2"/>
          <w:numId w:val="1"/>
        </w:numPr>
        <w:tabs>
          <w:tab w:val="left" w:pos="1134"/>
        </w:tabs>
        <w:spacing w:before="0" w:beforeAutospacing="0" w:after="0" w:afterAutospacing="0"/>
        <w:jc w:val="both"/>
        <w:textAlignment w:val="baseline"/>
      </w:pPr>
      <w:r>
        <w:rPr>
          <w:rStyle w:val="45"/>
          <w:color w:val="000000"/>
          <w:sz w:val="22"/>
          <w:szCs w:val="22"/>
        </w:rPr>
        <w:t>Enviar em campo próprio do sistema eletrônico a</w:t>
      </w:r>
      <w:r>
        <w:rPr>
          <w:rStyle w:val="45"/>
          <w:sz w:val="22"/>
          <w:szCs w:val="22"/>
        </w:rPr>
        <w:t>s</w:t>
      </w:r>
      <w:r>
        <w:rPr>
          <w:rStyle w:val="45"/>
          <w:color w:val="000000"/>
          <w:sz w:val="22"/>
          <w:szCs w:val="22"/>
        </w:rPr>
        <w:t xml:space="preserve"> seguintes declarações virtuais de que:</w:t>
      </w:r>
    </w:p>
    <w:p>
      <w:pPr>
        <w:pStyle w:val="130"/>
        <w:numPr>
          <w:ilvl w:val="3"/>
          <w:numId w:val="1"/>
        </w:numPr>
        <w:tabs>
          <w:tab w:val="left" w:pos="1134"/>
        </w:tabs>
        <w:spacing w:before="0" w:beforeAutospacing="0" w:after="0" w:afterAutospacing="0"/>
        <w:jc w:val="both"/>
        <w:textAlignment w:val="baseline"/>
      </w:pPr>
      <w:r>
        <w:rPr>
          <w:rStyle w:val="45"/>
          <w:color w:val="000000"/>
          <w:sz w:val="22"/>
          <w:szCs w:val="22"/>
        </w:rPr>
        <w:t>cumpre plenamente os requisitos de habilitação e que sua proposta está em conformidade com as exigências do instrumento convocatório; (</w:t>
      </w:r>
      <w:r>
        <w:fldChar w:fldCharType="begin"/>
      </w:r>
      <w:r>
        <w:rPr>
          <w:rStyle w:val="54"/>
          <w:sz w:val="22"/>
          <w:szCs w:val="22"/>
        </w:rPr>
        <w:instrText xml:space="preserve"> HYPERLINK "https://www.planalto.gov.br/ccivil_03/_ato2019-2022/2021/lei/l14133.htm" \l "art63"</w:instrText>
      </w:r>
      <w:r>
        <w:rPr>
          <w:rStyle w:val="54"/>
          <w:sz w:val="22"/>
          <w:szCs w:val="22"/>
        </w:rPr>
        <w:fldChar w:fldCharType="separate"/>
      </w:r>
      <w:r>
        <w:rPr>
          <w:rStyle w:val="54"/>
          <w:sz w:val="22"/>
          <w:szCs w:val="22"/>
        </w:rPr>
        <w:t>art. 63, I, da Lei Federal nº 14.133, de 2021</w:t>
      </w:r>
      <w:r>
        <w:rPr>
          <w:rStyle w:val="54"/>
          <w:sz w:val="22"/>
          <w:szCs w:val="22"/>
        </w:rPr>
        <w:fldChar w:fldCharType="end"/>
      </w:r>
      <w:r>
        <w:rPr>
          <w:rStyle w:val="45"/>
          <w:color w:val="000000"/>
          <w:sz w:val="22"/>
          <w:szCs w:val="22"/>
        </w:rPr>
        <w:t>).</w:t>
      </w:r>
    </w:p>
    <w:p>
      <w:pPr>
        <w:pStyle w:val="130"/>
        <w:numPr>
          <w:ilvl w:val="3"/>
          <w:numId w:val="1"/>
        </w:numPr>
        <w:tabs>
          <w:tab w:val="left" w:pos="1134"/>
        </w:tabs>
        <w:spacing w:before="0" w:beforeAutospacing="0" w:after="0" w:afterAutospacing="0"/>
        <w:jc w:val="both"/>
        <w:textAlignment w:val="baseline"/>
      </w:pPr>
      <w:r>
        <w:rPr>
          <w:rStyle w:val="45"/>
          <w:color w:val="000000"/>
          <w:sz w:val="22"/>
          <w:szCs w:val="22"/>
        </w:rPr>
        <w:t xml:space="preserve">atende aos requisitos do </w:t>
      </w:r>
      <w:r>
        <w:fldChar w:fldCharType="begin"/>
      </w:r>
      <w:r>
        <w:rPr>
          <w:rStyle w:val="54"/>
          <w:sz w:val="22"/>
          <w:szCs w:val="22"/>
        </w:rPr>
        <w:instrText xml:space="preserve"> HYPERLINK "https://www.planalto.gov.br/ccivil_03/_ato2019-2022/2021/lei/l14133.htm" \l "art4"</w:instrText>
      </w:r>
      <w:r>
        <w:rPr>
          <w:rStyle w:val="54"/>
          <w:sz w:val="22"/>
          <w:szCs w:val="22"/>
        </w:rPr>
        <w:fldChar w:fldCharType="separate"/>
      </w:r>
      <w:r>
        <w:rPr>
          <w:rStyle w:val="54"/>
          <w:sz w:val="22"/>
          <w:szCs w:val="22"/>
        </w:rPr>
        <w:t>art. 4º, §§2º e 3º, da Lei Federal nº 14.133, de 2021</w:t>
      </w:r>
      <w:r>
        <w:rPr>
          <w:rStyle w:val="54"/>
          <w:sz w:val="22"/>
          <w:szCs w:val="22"/>
        </w:rPr>
        <w:fldChar w:fldCharType="end"/>
      </w:r>
      <w:r>
        <w:rPr>
          <w:rStyle w:val="45"/>
          <w:color w:val="000000"/>
          <w:sz w:val="22"/>
          <w:szCs w:val="22"/>
        </w:rPr>
        <w:t xml:space="preserve"> para fazer jus aos benefícios previstos nos </w:t>
      </w:r>
      <w:r>
        <w:fldChar w:fldCharType="begin"/>
      </w:r>
      <w:r>
        <w:rPr>
          <w:rStyle w:val="54"/>
          <w:sz w:val="22"/>
          <w:szCs w:val="22"/>
        </w:rPr>
        <w:instrText xml:space="preserve"> HYPERLINK "https://www.planalto.gov.br/ccivil_03/leis/lcp/lcp123.htm" \l "art42"</w:instrText>
      </w:r>
      <w:r>
        <w:rPr>
          <w:rStyle w:val="54"/>
          <w:sz w:val="22"/>
          <w:szCs w:val="22"/>
        </w:rPr>
        <w:fldChar w:fldCharType="separate"/>
      </w:r>
      <w:r>
        <w:rPr>
          <w:rStyle w:val="54"/>
          <w:sz w:val="22"/>
          <w:szCs w:val="22"/>
        </w:rPr>
        <w:t>arts. 42 a 49 da Lei Complementar Federal nº 123, de 2006</w:t>
      </w:r>
      <w:r>
        <w:rPr>
          <w:rStyle w:val="54"/>
          <w:sz w:val="22"/>
          <w:szCs w:val="22"/>
        </w:rPr>
        <w:fldChar w:fldCharType="end"/>
      </w:r>
      <w:r>
        <w:rPr>
          <w:rStyle w:val="45"/>
          <w:color w:val="000000"/>
          <w:sz w:val="22"/>
          <w:szCs w:val="22"/>
        </w:rPr>
        <w:t>; (</w:t>
      </w:r>
      <w:r>
        <w:fldChar w:fldCharType="begin"/>
      </w:r>
      <w:r>
        <w:rPr>
          <w:rStyle w:val="54"/>
          <w:sz w:val="22"/>
          <w:szCs w:val="22"/>
        </w:rPr>
        <w:instrText xml:space="preserve"> HYPERLINK "https://www.planalto.gov.br/ccivil_03/_ato2019-2022/2021/lei/l14133.htm" \l "art4"</w:instrText>
      </w:r>
      <w:r>
        <w:rPr>
          <w:rStyle w:val="54"/>
          <w:sz w:val="22"/>
          <w:szCs w:val="22"/>
        </w:rPr>
        <w:fldChar w:fldCharType="separate"/>
      </w:r>
      <w:r>
        <w:rPr>
          <w:rStyle w:val="54"/>
          <w:sz w:val="22"/>
          <w:szCs w:val="22"/>
        </w:rPr>
        <w:t>art. 4º, §§2º e 3º da Lei Federal nº 14.133, de 2021</w:t>
      </w:r>
      <w:r>
        <w:rPr>
          <w:rStyle w:val="54"/>
          <w:sz w:val="22"/>
          <w:szCs w:val="22"/>
        </w:rPr>
        <w:fldChar w:fldCharType="end"/>
      </w:r>
      <w:r>
        <w:rPr>
          <w:rStyle w:val="45"/>
          <w:color w:val="000000"/>
          <w:sz w:val="22"/>
          <w:szCs w:val="22"/>
        </w:rPr>
        <w:t>)</w:t>
      </w:r>
    </w:p>
    <w:p>
      <w:pPr>
        <w:pStyle w:val="130"/>
        <w:numPr>
          <w:ilvl w:val="3"/>
          <w:numId w:val="1"/>
        </w:numPr>
        <w:tabs>
          <w:tab w:val="left" w:pos="1134"/>
        </w:tabs>
        <w:spacing w:before="0" w:beforeAutospacing="0" w:after="0" w:afterAutospacing="0"/>
        <w:jc w:val="both"/>
        <w:textAlignment w:val="baseline"/>
      </w:pPr>
      <w:r>
        <w:rPr>
          <w:rStyle w:val="45"/>
          <w:sz w:val="22"/>
          <w:szCs w:val="22"/>
        </w:rPr>
        <w:t xml:space="preserve">cumpre as exigências de reserva de cargos para pessoa com deficiência e para reabilitado da Previdência Social, previstas no </w:t>
      </w:r>
      <w:r>
        <w:fldChar w:fldCharType="begin"/>
      </w:r>
      <w:r>
        <w:rPr>
          <w:rStyle w:val="54"/>
          <w:sz w:val="22"/>
          <w:szCs w:val="22"/>
        </w:rPr>
        <w:instrText xml:space="preserve"> HYPERLINK "https://www.planalto.gov.br/ccivil_03/leis/l8213cons.htm" \l "art93"</w:instrText>
      </w:r>
      <w:r>
        <w:rPr>
          <w:rStyle w:val="54"/>
          <w:sz w:val="22"/>
          <w:szCs w:val="22"/>
        </w:rPr>
        <w:fldChar w:fldCharType="separate"/>
      </w:r>
      <w:r>
        <w:rPr>
          <w:rStyle w:val="54"/>
          <w:sz w:val="22"/>
          <w:szCs w:val="22"/>
        </w:rPr>
        <w:t>art. 93 da Lei Federal nº 8.213, de 1991</w:t>
      </w:r>
      <w:r>
        <w:rPr>
          <w:rStyle w:val="54"/>
          <w:sz w:val="22"/>
          <w:szCs w:val="22"/>
        </w:rPr>
        <w:fldChar w:fldCharType="end"/>
      </w:r>
      <w:r>
        <w:rPr>
          <w:rStyle w:val="45"/>
          <w:sz w:val="22"/>
          <w:szCs w:val="22"/>
        </w:rPr>
        <w:t xml:space="preserve"> e em outras normas específicas; (</w:t>
      </w:r>
      <w:r>
        <w:fldChar w:fldCharType="begin"/>
      </w:r>
      <w:r>
        <w:rPr>
          <w:rStyle w:val="54"/>
          <w:sz w:val="22"/>
          <w:szCs w:val="22"/>
        </w:rPr>
        <w:instrText xml:space="preserve"> HYPERLINK "https://www.planalto.gov.br/ccivil_03/_ato2019-2022/2021/lei/l14133.htm" \l "art63"</w:instrText>
      </w:r>
      <w:r>
        <w:rPr>
          <w:rStyle w:val="54"/>
          <w:sz w:val="22"/>
          <w:szCs w:val="22"/>
        </w:rPr>
        <w:fldChar w:fldCharType="separate"/>
      </w:r>
      <w:r>
        <w:rPr>
          <w:rStyle w:val="54"/>
          <w:sz w:val="22"/>
          <w:szCs w:val="22"/>
        </w:rPr>
        <w:t>art. 63, IV, da Lei Federal nº 14.133, de 2021</w:t>
      </w:r>
      <w:r>
        <w:rPr>
          <w:rStyle w:val="54"/>
          <w:sz w:val="22"/>
          <w:szCs w:val="22"/>
        </w:rPr>
        <w:fldChar w:fldCharType="end"/>
      </w:r>
      <w:r>
        <w:rPr>
          <w:rStyle w:val="45"/>
          <w:sz w:val="22"/>
          <w:szCs w:val="22"/>
        </w:rPr>
        <w:t>)</w:t>
      </w:r>
    </w:p>
    <w:p>
      <w:pPr>
        <w:pStyle w:val="130"/>
        <w:numPr>
          <w:ilvl w:val="3"/>
          <w:numId w:val="1"/>
        </w:numPr>
        <w:tabs>
          <w:tab w:val="left" w:pos="1134"/>
        </w:tabs>
        <w:spacing w:before="0" w:beforeAutospacing="0" w:after="0" w:afterAutospacing="0"/>
        <w:jc w:val="both"/>
        <w:textAlignment w:val="baseline"/>
      </w:pPr>
      <w:r>
        <w:rPr>
          <w:rStyle w:val="45"/>
          <w:color w:val="000000"/>
          <w:sz w:val="22"/>
          <w:szCs w:val="22"/>
        </w:rPr>
        <w:t>inexiste fato impeditivo para licitar ou contratar com a União Federal.</w:t>
      </w:r>
    </w:p>
    <w:p>
      <w:pPr>
        <w:pStyle w:val="130"/>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 xml:space="preserve">A declaração falsa sujeitará a licitante à inabilitação e ao enquadramento na infração prevista no </w:t>
      </w:r>
      <w:r>
        <w:fldChar w:fldCharType="begin"/>
      </w:r>
      <w:r>
        <w:rPr>
          <w:rStyle w:val="54"/>
          <w:sz w:val="22"/>
          <w:szCs w:val="22"/>
        </w:rPr>
        <w:instrText xml:space="preserve"> HYPERLINK "https://www.planalto.gov.br/ccivil_03/_ato2019-2022/2021/lei/l14133.htm" \l "art155"</w:instrText>
      </w:r>
      <w:r>
        <w:rPr>
          <w:rStyle w:val="54"/>
          <w:sz w:val="22"/>
          <w:szCs w:val="22"/>
        </w:rPr>
        <w:fldChar w:fldCharType="separate"/>
      </w:r>
      <w:r>
        <w:rPr>
          <w:rStyle w:val="54"/>
          <w:sz w:val="22"/>
          <w:szCs w:val="22"/>
        </w:rPr>
        <w:t>art. 155, VIII, da Lei Federal nº 14.133, de 2021</w:t>
      </w:r>
      <w:r>
        <w:rPr>
          <w:rStyle w:val="54"/>
          <w:sz w:val="22"/>
          <w:szCs w:val="22"/>
        </w:rPr>
        <w:fldChar w:fldCharType="end"/>
      </w:r>
      <w:r>
        <w:rPr>
          <w:rStyle w:val="45"/>
          <w:color w:val="000000"/>
          <w:sz w:val="22"/>
          <w:szCs w:val="22"/>
        </w:rPr>
        <w:t>.</w:t>
      </w:r>
    </w:p>
    <w:p>
      <w:pPr>
        <w:pStyle w:val="130"/>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Todos os custos decorrentes da elaboração e apresentação das propostas serão de responsabilidade exclusiva do licitante, não se responsabilizando a Câmara Municipal de Primavera do Leste - MT por quaisquer custos, transações efetuadas pela licitante ou eventual desconexão do sistema.</w:t>
      </w:r>
    </w:p>
    <w:p>
      <w:pPr>
        <w:pStyle w:val="130"/>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Não poderão participar deste Pregão:</w:t>
      </w:r>
    </w:p>
    <w:p>
      <w:pPr>
        <w:pStyle w:val="130"/>
        <w:numPr>
          <w:ilvl w:val="2"/>
          <w:numId w:val="1"/>
        </w:numPr>
        <w:tabs>
          <w:tab w:val="left" w:pos="1134"/>
        </w:tabs>
        <w:spacing w:before="0" w:beforeAutospacing="0" w:after="0" w:afterAutospacing="0"/>
        <w:jc w:val="both"/>
        <w:textAlignment w:val="baseline"/>
      </w:pPr>
      <w:r>
        <w:rPr>
          <w:rStyle w:val="45"/>
          <w:color w:val="000000"/>
          <w:sz w:val="22"/>
          <w:szCs w:val="22"/>
        </w:rPr>
        <w:t>aquele que não atenda às condições deste Edital e seu(s) anexo(s);</w:t>
      </w:r>
    </w:p>
    <w:p>
      <w:pPr>
        <w:pStyle w:val="130"/>
        <w:numPr>
          <w:ilvl w:val="2"/>
          <w:numId w:val="1"/>
        </w:numPr>
        <w:tabs>
          <w:tab w:val="left" w:pos="1134"/>
        </w:tabs>
        <w:spacing w:before="0" w:beforeAutospacing="0" w:after="0" w:afterAutospacing="0"/>
        <w:jc w:val="both"/>
        <w:textAlignment w:val="baseline"/>
      </w:pPr>
      <w:r>
        <w:rPr>
          <w:rStyle w:val="45"/>
          <w:color w:val="000000"/>
          <w:sz w:val="22"/>
          <w:szCs w:val="22"/>
        </w:rPr>
        <w:t>pessoas físicas;</w:t>
      </w:r>
    </w:p>
    <w:p>
      <w:pPr>
        <w:pStyle w:val="130"/>
        <w:numPr>
          <w:ilvl w:val="2"/>
          <w:numId w:val="1"/>
        </w:numPr>
        <w:tabs>
          <w:tab w:val="left" w:pos="1134"/>
        </w:tabs>
        <w:spacing w:before="0" w:beforeAutospacing="0" w:after="0" w:afterAutospacing="0"/>
        <w:jc w:val="both"/>
        <w:textAlignment w:val="baseline"/>
      </w:pPr>
      <w:r>
        <w:rPr>
          <w:rStyle w:val="45"/>
          <w:color w:val="000000"/>
          <w:sz w:val="22"/>
          <w:szCs w:val="22"/>
        </w:rPr>
        <w:t>Microempreendedores Individuais (MEI’s);</w:t>
      </w:r>
    </w:p>
    <w:p>
      <w:pPr>
        <w:pStyle w:val="130"/>
        <w:numPr>
          <w:ilvl w:val="2"/>
          <w:numId w:val="1"/>
        </w:numPr>
        <w:tabs>
          <w:tab w:val="left" w:pos="1134"/>
        </w:tabs>
        <w:spacing w:before="0" w:beforeAutospacing="0" w:after="0" w:afterAutospacing="0"/>
        <w:jc w:val="both"/>
        <w:textAlignment w:val="baseline"/>
      </w:pPr>
      <w:r>
        <w:rPr>
          <w:rStyle w:val="45"/>
          <w:color w:val="000000"/>
          <w:sz w:val="22"/>
          <w:szCs w:val="22"/>
        </w:rPr>
        <w:t>pessoas jurídicas que não possuam Inscrição Municipal ou que não possuam autorização legal para a prestação dos serviços que são objeto do presente Pregão;</w:t>
      </w:r>
    </w:p>
    <w:p>
      <w:pPr>
        <w:pStyle w:val="130"/>
        <w:numPr>
          <w:ilvl w:val="2"/>
          <w:numId w:val="1"/>
        </w:numPr>
        <w:tabs>
          <w:tab w:val="left" w:pos="1134"/>
        </w:tabs>
        <w:spacing w:before="0" w:beforeAutospacing="0" w:after="0" w:afterAutospacing="0"/>
        <w:jc w:val="both"/>
        <w:textAlignment w:val="baseline"/>
      </w:pPr>
      <w:r>
        <w:rPr>
          <w:rStyle w:val="45"/>
          <w:color w:val="000000"/>
          <w:sz w:val="22"/>
          <w:szCs w:val="22"/>
        </w:rPr>
        <w:t xml:space="preserve">empresa que possua entre seus sócios </w:t>
      </w:r>
      <w:r>
        <w:rPr>
          <w:rStyle w:val="45"/>
          <w:sz w:val="22"/>
          <w:szCs w:val="22"/>
        </w:rPr>
        <w:t xml:space="preserve">agente público vinculado à </w:t>
      </w:r>
      <w:r>
        <w:rPr>
          <w:rStyle w:val="45"/>
          <w:color w:val="000000"/>
          <w:sz w:val="22"/>
          <w:szCs w:val="22"/>
        </w:rPr>
        <w:t>Câmara Municipal de Primavera do Leste - MT</w:t>
      </w:r>
      <w:r>
        <w:rPr>
          <w:rStyle w:val="45"/>
          <w:sz w:val="22"/>
          <w:szCs w:val="22"/>
        </w:rPr>
        <w:t>;</w:t>
      </w:r>
    </w:p>
    <w:p>
      <w:pPr>
        <w:pStyle w:val="130"/>
        <w:numPr>
          <w:ilvl w:val="2"/>
          <w:numId w:val="1"/>
        </w:numPr>
        <w:tabs>
          <w:tab w:val="left" w:pos="1134"/>
        </w:tabs>
        <w:spacing w:before="0" w:beforeAutospacing="0" w:after="0" w:afterAutospacing="0"/>
        <w:jc w:val="both"/>
        <w:textAlignment w:val="baseline"/>
      </w:pPr>
      <w:r>
        <w:rPr>
          <w:rStyle w:val="45"/>
          <w:color w:val="000000"/>
          <w:sz w:val="22"/>
          <w:szCs w:val="22"/>
        </w:rPr>
        <w:t xml:space="preserve">quem não cumprir os requisitos formais para participação neste </w:t>
      </w:r>
      <w:r>
        <w:rPr>
          <w:rStyle w:val="45"/>
          <w:color w:val="000000" w:themeColor="text1"/>
          <w:sz w:val="22"/>
          <w:szCs w:val="22"/>
        </w:rPr>
        <w:t>Pregão</w:t>
      </w:r>
      <w:r>
        <w:rPr>
          <w:rStyle w:val="45"/>
          <w:color w:val="000000"/>
          <w:sz w:val="22"/>
          <w:szCs w:val="22"/>
        </w:rPr>
        <w:t>;</w:t>
      </w:r>
    </w:p>
    <w:p>
      <w:pPr>
        <w:pStyle w:val="130"/>
        <w:numPr>
          <w:ilvl w:val="2"/>
          <w:numId w:val="1"/>
        </w:numPr>
        <w:tabs>
          <w:tab w:val="left" w:pos="1134"/>
        </w:tabs>
        <w:spacing w:before="0" w:beforeAutospacing="0" w:after="0" w:afterAutospacing="0"/>
        <w:jc w:val="both"/>
        <w:textAlignment w:val="baseline"/>
      </w:pPr>
      <w:r>
        <w:rPr>
          <w:rStyle w:val="45"/>
          <w:color w:val="000000"/>
          <w:sz w:val="22"/>
          <w:szCs w:val="22"/>
        </w:rPr>
        <w:t>agentes públicos ou terceiros que se enquadrem em situações que possam configurar conflito de interesses no exercício ou após o exercício do cargo ou emprego, nos termos da legislação que disciplina a matéria; (</w:t>
      </w:r>
      <w:r>
        <w:fldChar w:fldCharType="begin"/>
      </w:r>
      <w:r>
        <w:rPr>
          <w:rStyle w:val="54"/>
          <w:sz w:val="22"/>
          <w:szCs w:val="22"/>
        </w:rPr>
        <w:instrText xml:space="preserve"> HYPERLINK "https://www.planalto.gov.br/ccivil_03/_ato2019-2022/2021/lei/l14133.htm" \l "art9"</w:instrText>
      </w:r>
      <w:r>
        <w:rPr>
          <w:rStyle w:val="54"/>
          <w:sz w:val="22"/>
          <w:szCs w:val="22"/>
        </w:rPr>
        <w:fldChar w:fldCharType="separate"/>
      </w:r>
      <w:r>
        <w:rPr>
          <w:rStyle w:val="54"/>
          <w:sz w:val="22"/>
          <w:szCs w:val="22"/>
        </w:rPr>
        <w:t>art. 9º, §1º, da Lei Federal nº 14.133, de 2021</w:t>
      </w:r>
      <w:r>
        <w:rPr>
          <w:rStyle w:val="54"/>
          <w:sz w:val="22"/>
          <w:szCs w:val="22"/>
        </w:rPr>
        <w:fldChar w:fldCharType="end"/>
      </w:r>
      <w:r>
        <w:rPr>
          <w:rStyle w:val="45"/>
          <w:color w:val="000000"/>
          <w:sz w:val="22"/>
          <w:szCs w:val="22"/>
        </w:rPr>
        <w:t>);</w:t>
      </w:r>
    </w:p>
    <w:p>
      <w:pPr>
        <w:pStyle w:val="130"/>
        <w:numPr>
          <w:ilvl w:val="2"/>
          <w:numId w:val="1"/>
        </w:numPr>
        <w:tabs>
          <w:tab w:val="left" w:pos="1134"/>
        </w:tabs>
        <w:spacing w:before="0" w:beforeAutospacing="0" w:after="0" w:afterAutospacing="0"/>
        <w:jc w:val="both"/>
        <w:textAlignment w:val="baseline"/>
      </w:pPr>
      <w:r>
        <w:rPr>
          <w:rStyle w:val="45"/>
          <w:color w:val="000000"/>
          <w:sz w:val="22"/>
          <w:szCs w:val="22"/>
        </w:rPr>
        <w:t>terceiro que auxilie a condução da contratação na qualidade de integrante de equipe de apoio, profissional especializado ou funcionário ou representante de empresa que preste assessoria técnica; (</w:t>
      </w:r>
      <w:r>
        <w:fldChar w:fldCharType="begin"/>
      </w:r>
      <w:r>
        <w:rPr>
          <w:rStyle w:val="54"/>
          <w:sz w:val="22"/>
          <w:szCs w:val="22"/>
        </w:rPr>
        <w:instrText xml:space="preserve"> HYPERLINK "https://www.planalto.gov.br/ccivil_03/_ato2019-2022/2021/lei/l14133.htm" \l "art9"</w:instrText>
      </w:r>
      <w:r>
        <w:rPr>
          <w:rStyle w:val="54"/>
          <w:sz w:val="22"/>
          <w:szCs w:val="22"/>
        </w:rPr>
        <w:fldChar w:fldCharType="separate"/>
      </w:r>
      <w:r>
        <w:rPr>
          <w:rStyle w:val="54"/>
          <w:sz w:val="22"/>
          <w:szCs w:val="22"/>
        </w:rPr>
        <w:t>art. 9º, §2º, da Lei Federal nº 14.133, de 2021</w:t>
      </w:r>
      <w:r>
        <w:rPr>
          <w:rStyle w:val="54"/>
          <w:sz w:val="22"/>
          <w:szCs w:val="22"/>
        </w:rPr>
        <w:fldChar w:fldCharType="end"/>
      </w:r>
      <w:r>
        <w:rPr>
          <w:rStyle w:val="45"/>
          <w:color w:val="000000"/>
          <w:sz w:val="22"/>
          <w:szCs w:val="22"/>
        </w:rPr>
        <w:t>);</w:t>
      </w:r>
    </w:p>
    <w:p>
      <w:pPr>
        <w:pStyle w:val="130"/>
        <w:numPr>
          <w:ilvl w:val="2"/>
          <w:numId w:val="1"/>
        </w:numPr>
        <w:tabs>
          <w:tab w:val="left" w:pos="1134"/>
        </w:tabs>
        <w:spacing w:before="0" w:beforeAutospacing="0" w:after="0" w:afterAutospacing="0"/>
        <w:jc w:val="both"/>
        <w:textAlignment w:val="baseline"/>
      </w:pPr>
      <w:r>
        <w:rPr>
          <w:rStyle w:val="45"/>
          <w:sz w:val="22"/>
          <w:szCs w:val="22"/>
        </w:rPr>
        <w:t xml:space="preserve">autor do anteprojeto, do projeto básico ou do projeto executivo; </w:t>
      </w:r>
      <w:r>
        <w:rPr>
          <w:rStyle w:val="45"/>
          <w:color w:val="000000"/>
          <w:sz w:val="22"/>
          <w:szCs w:val="22"/>
        </w:rPr>
        <w:t>(</w:t>
      </w:r>
      <w:r>
        <w:fldChar w:fldCharType="begin"/>
      </w:r>
      <w:r>
        <w:rPr>
          <w:rStyle w:val="54"/>
          <w:sz w:val="22"/>
          <w:szCs w:val="22"/>
        </w:rPr>
        <w:instrText xml:space="preserve"> HYPERLINK "https://www.planalto.gov.br/ccivil_03/_ato2019-2022/2021/lei/l14133.htm" \l "art14"</w:instrText>
      </w:r>
      <w:r>
        <w:rPr>
          <w:rStyle w:val="54"/>
          <w:sz w:val="22"/>
          <w:szCs w:val="22"/>
        </w:rPr>
        <w:fldChar w:fldCharType="separate"/>
      </w:r>
      <w:r>
        <w:rPr>
          <w:rStyle w:val="54"/>
          <w:sz w:val="22"/>
          <w:szCs w:val="22"/>
        </w:rPr>
        <w:t>art. 14, I e II e §§ 2º e 3º, da Lei Federal nº 14.133, de 2021</w:t>
      </w:r>
      <w:r>
        <w:rPr>
          <w:rStyle w:val="54"/>
          <w:sz w:val="22"/>
          <w:szCs w:val="22"/>
        </w:rPr>
        <w:fldChar w:fldCharType="end"/>
      </w:r>
      <w:r>
        <w:rPr>
          <w:rStyle w:val="45"/>
          <w:color w:val="000000"/>
          <w:sz w:val="22"/>
          <w:szCs w:val="22"/>
        </w:rPr>
        <w:t>).</w:t>
      </w:r>
    </w:p>
    <w:p>
      <w:pPr>
        <w:pStyle w:val="130"/>
        <w:numPr>
          <w:ilvl w:val="2"/>
          <w:numId w:val="1"/>
        </w:numPr>
        <w:tabs>
          <w:tab w:val="left" w:pos="1134"/>
        </w:tabs>
        <w:spacing w:before="0" w:beforeAutospacing="0" w:after="0" w:afterAutospacing="0"/>
        <w:jc w:val="both"/>
        <w:textAlignment w:val="baseline"/>
      </w:pPr>
      <w:r>
        <w:rPr>
          <w:rStyle w:val="45"/>
          <w:color w:val="000000"/>
          <w:sz w:val="22"/>
          <w:szCs w:val="22"/>
        </w:rPr>
        <w:t>pessoa jurídica que se encontre, ao tempo da licitação, impossibilitada de participar da licitação ou contratação em decorrência de sanção que lhe foi imposta, assim como aqueles que atuem em substituição a outra pessoa, física ou jurídica, com o intuito de burlar a efetividade da sanção a ela aplicada, inclusive a sua controladora, controlada ou coligada, desde que devidamente comprovado o ilícito ou a utilização fraudulenta da personalidade jurídica da licitante; (</w:t>
      </w:r>
      <w:r>
        <w:fldChar w:fldCharType="begin"/>
      </w:r>
      <w:r>
        <w:rPr>
          <w:rStyle w:val="54"/>
          <w:sz w:val="22"/>
          <w:szCs w:val="22"/>
        </w:rPr>
        <w:instrText xml:space="preserve"> HYPERLINK "https://www.planalto.gov.br/ccivil_03/_ato2019-2022/2021/lei/l14133.htm" \l "art14"</w:instrText>
      </w:r>
      <w:r>
        <w:rPr>
          <w:rStyle w:val="54"/>
          <w:sz w:val="22"/>
          <w:szCs w:val="22"/>
        </w:rPr>
        <w:fldChar w:fldCharType="separate"/>
      </w:r>
      <w:r>
        <w:rPr>
          <w:rStyle w:val="54"/>
          <w:sz w:val="22"/>
          <w:szCs w:val="22"/>
        </w:rPr>
        <w:t>art. 14, III e §1º da Lei Federal nº 14.133, de 2021</w:t>
      </w:r>
      <w:r>
        <w:rPr>
          <w:rStyle w:val="54"/>
          <w:sz w:val="22"/>
          <w:szCs w:val="22"/>
        </w:rPr>
        <w:fldChar w:fldCharType="end"/>
      </w:r>
      <w:r>
        <w:rPr>
          <w:rStyle w:val="45"/>
          <w:color w:val="000000"/>
          <w:sz w:val="22"/>
          <w:szCs w:val="22"/>
        </w:rPr>
        <w:t>);</w:t>
      </w:r>
    </w:p>
    <w:p>
      <w:pPr>
        <w:pStyle w:val="130"/>
        <w:numPr>
          <w:ilvl w:val="2"/>
          <w:numId w:val="1"/>
        </w:numPr>
        <w:tabs>
          <w:tab w:val="left" w:pos="1134"/>
        </w:tabs>
        <w:spacing w:before="0" w:beforeAutospacing="0" w:after="0" w:afterAutospacing="0"/>
        <w:jc w:val="both"/>
        <w:textAlignment w:val="baseline"/>
      </w:pPr>
      <w:r>
        <w:rPr>
          <w:rStyle w:val="45"/>
          <w:color w:val="000000"/>
          <w:sz w:val="22"/>
          <w:szCs w:val="22"/>
        </w:rPr>
        <w:t>aquele que mantenha vínculo de natureza técnica, comercial, econômica, financeira, trabalhista ou civil com dirigente da Câmara Municipal de Primavera do Leste - MT</w:t>
      </w:r>
      <w:r>
        <w:rPr>
          <w:sz w:val="22"/>
          <w:szCs w:val="22"/>
        </w:rPr>
        <w:t xml:space="preserve">  </w:t>
      </w:r>
      <w:r>
        <w:rPr>
          <w:rStyle w:val="45"/>
          <w:color w:val="000000"/>
          <w:sz w:val="22"/>
          <w:szCs w:val="22"/>
        </w:rPr>
        <w:t>ou com agente público que desempenhe função na licitação ou atue na fiscalização ou na gestão do contrato, ou que deles seja cônjuge, companheiro ou parente em linha reta, colateral ou por afinidade, até o terceiro grau; (</w:t>
      </w:r>
      <w:r>
        <w:fldChar w:fldCharType="begin"/>
      </w:r>
      <w:r>
        <w:rPr>
          <w:rStyle w:val="54"/>
          <w:sz w:val="22"/>
          <w:szCs w:val="22"/>
        </w:rPr>
        <w:instrText xml:space="preserve"> HYPERLINK "https://www.planalto.gov.br/ccivil_03/_ato2019-2022/2021/lei/l14133.htm" \l "art14"</w:instrText>
      </w:r>
      <w:r>
        <w:rPr>
          <w:rStyle w:val="54"/>
          <w:sz w:val="22"/>
          <w:szCs w:val="22"/>
        </w:rPr>
        <w:fldChar w:fldCharType="separate"/>
      </w:r>
      <w:r>
        <w:rPr>
          <w:rStyle w:val="54"/>
          <w:sz w:val="22"/>
          <w:szCs w:val="22"/>
        </w:rPr>
        <w:t>art. 14, IV, da Lei Federal nº 14.133, de 2021</w:t>
      </w:r>
      <w:r>
        <w:rPr>
          <w:rStyle w:val="54"/>
          <w:sz w:val="22"/>
          <w:szCs w:val="22"/>
        </w:rPr>
        <w:fldChar w:fldCharType="end"/>
      </w:r>
      <w:r>
        <w:rPr>
          <w:rStyle w:val="45"/>
          <w:color w:val="000000"/>
          <w:sz w:val="22"/>
          <w:szCs w:val="22"/>
        </w:rPr>
        <w:t>);</w:t>
      </w:r>
    </w:p>
    <w:p>
      <w:pPr>
        <w:pStyle w:val="130"/>
        <w:numPr>
          <w:ilvl w:val="2"/>
          <w:numId w:val="1"/>
        </w:numPr>
        <w:tabs>
          <w:tab w:val="left" w:pos="1134"/>
        </w:tabs>
        <w:spacing w:before="0" w:beforeAutospacing="0" w:after="0" w:afterAutospacing="0"/>
        <w:jc w:val="both"/>
        <w:textAlignment w:val="baseline"/>
      </w:pPr>
      <w:r>
        <w:rPr>
          <w:rStyle w:val="45"/>
          <w:color w:val="000000"/>
          <w:sz w:val="22"/>
          <w:szCs w:val="22"/>
        </w:rPr>
        <w:t xml:space="preserve">empresas controladoras, controladas ou coligadas, nos termos da </w:t>
      </w:r>
      <w:r>
        <w:fldChar w:fldCharType="begin"/>
      </w:r>
      <w:r>
        <w:instrText xml:space="preserve"> HYPERLINK "https://www.planalto.gov.br/ccivil_03/leis/l6404consol.htm" \h </w:instrText>
      </w:r>
      <w:r>
        <w:fldChar w:fldCharType="separate"/>
      </w:r>
      <w:r>
        <w:rPr>
          <w:rStyle w:val="54"/>
          <w:sz w:val="22"/>
          <w:szCs w:val="22"/>
        </w:rPr>
        <w:t>Lei Federal nº 6.404, de 1976</w:t>
      </w:r>
      <w:r>
        <w:rPr>
          <w:rStyle w:val="54"/>
          <w:sz w:val="22"/>
          <w:szCs w:val="22"/>
        </w:rPr>
        <w:fldChar w:fldCharType="end"/>
      </w:r>
      <w:r>
        <w:rPr>
          <w:rStyle w:val="45"/>
          <w:color w:val="000000"/>
          <w:sz w:val="22"/>
          <w:szCs w:val="22"/>
        </w:rPr>
        <w:t>, concorrendo entre si; (</w:t>
      </w:r>
      <w:r>
        <w:fldChar w:fldCharType="begin"/>
      </w:r>
      <w:r>
        <w:rPr>
          <w:rStyle w:val="54"/>
          <w:sz w:val="22"/>
          <w:szCs w:val="22"/>
        </w:rPr>
        <w:instrText xml:space="preserve"> HYPERLINK "https://www.planalto.gov.br/ccivil_03/_ato2019-2022/2021/lei/l14133.htm" \l "art14"</w:instrText>
      </w:r>
      <w:r>
        <w:rPr>
          <w:rStyle w:val="54"/>
          <w:sz w:val="22"/>
          <w:szCs w:val="22"/>
        </w:rPr>
        <w:fldChar w:fldCharType="separate"/>
      </w:r>
      <w:r>
        <w:rPr>
          <w:rStyle w:val="54"/>
          <w:sz w:val="22"/>
          <w:szCs w:val="22"/>
        </w:rPr>
        <w:t>art. 14, V, da Lei Federal nº 14.133, de 2021</w:t>
      </w:r>
      <w:r>
        <w:rPr>
          <w:rStyle w:val="54"/>
          <w:sz w:val="22"/>
          <w:szCs w:val="22"/>
        </w:rPr>
        <w:fldChar w:fldCharType="end"/>
      </w:r>
      <w:r>
        <w:rPr>
          <w:rStyle w:val="45"/>
          <w:color w:val="000000"/>
          <w:sz w:val="22"/>
          <w:szCs w:val="22"/>
        </w:rPr>
        <w:t>);</w:t>
      </w:r>
    </w:p>
    <w:p>
      <w:pPr>
        <w:pStyle w:val="130"/>
        <w:numPr>
          <w:ilvl w:val="2"/>
          <w:numId w:val="1"/>
        </w:numPr>
        <w:tabs>
          <w:tab w:val="left" w:pos="1134"/>
        </w:tabs>
        <w:spacing w:before="0" w:beforeAutospacing="0" w:after="0" w:afterAutospacing="0"/>
        <w:jc w:val="both"/>
        <w:textAlignment w:val="baseline"/>
      </w:pPr>
      <w:r>
        <w:rPr>
          <w:rStyle w:val="45"/>
          <w:color w:val="000000"/>
          <w:sz w:val="22"/>
          <w:szCs w:val="22"/>
        </w:rPr>
        <w:t>pessoa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r>
        <w:fldChar w:fldCharType="begin"/>
      </w:r>
      <w:r>
        <w:rPr>
          <w:rStyle w:val="54"/>
          <w:sz w:val="22"/>
          <w:szCs w:val="22"/>
        </w:rPr>
        <w:instrText xml:space="preserve"> HYPERLINK "https://www.planalto.gov.br/ccivil_03/_ato2019-2022/2021/lei/l14133.htm" \l "art14"</w:instrText>
      </w:r>
      <w:r>
        <w:rPr>
          <w:rStyle w:val="54"/>
          <w:sz w:val="22"/>
          <w:szCs w:val="22"/>
        </w:rPr>
        <w:fldChar w:fldCharType="separate"/>
      </w:r>
      <w:r>
        <w:rPr>
          <w:rStyle w:val="54"/>
          <w:sz w:val="22"/>
          <w:szCs w:val="22"/>
        </w:rPr>
        <w:t>art. 14, VI, da Lei Federal nº 14.133, de 2021</w:t>
      </w:r>
      <w:r>
        <w:rPr>
          <w:rStyle w:val="54"/>
          <w:sz w:val="22"/>
          <w:szCs w:val="22"/>
        </w:rPr>
        <w:fldChar w:fldCharType="end"/>
      </w:r>
      <w:r>
        <w:rPr>
          <w:rStyle w:val="45"/>
          <w:color w:val="000000"/>
          <w:sz w:val="22"/>
          <w:szCs w:val="22"/>
        </w:rPr>
        <w:t>);</w:t>
      </w:r>
    </w:p>
    <w:p>
      <w:pPr>
        <w:pStyle w:val="130"/>
        <w:numPr>
          <w:ilvl w:val="2"/>
          <w:numId w:val="1"/>
        </w:numPr>
        <w:tabs>
          <w:tab w:val="left" w:pos="1134"/>
        </w:tabs>
        <w:spacing w:before="0" w:beforeAutospacing="0" w:after="0" w:afterAutospacing="0"/>
        <w:jc w:val="both"/>
        <w:textAlignment w:val="baseline"/>
      </w:pPr>
      <w:r>
        <w:rPr>
          <w:rStyle w:val="45"/>
          <w:color w:val="000000"/>
          <w:sz w:val="22"/>
          <w:szCs w:val="22"/>
        </w:rPr>
        <w:t>Organizações da Sociedade Civil de Interesse Público - OSCIP, atuando nessa condição (</w:t>
      </w:r>
      <w:r>
        <w:fldChar w:fldCharType="begin"/>
      </w:r>
      <w:r>
        <w:instrText xml:space="preserve"> HYPERLINK "https://pesquisa.apps.tcu.gov.br/documento/acordao-completo/*/KEY%253AACORDAO-COMPLETO-1302349/DTRELEVANCIA%2520desc/0/sinonimos%253Dfalse" \h </w:instrText>
      </w:r>
      <w:r>
        <w:fldChar w:fldCharType="separate"/>
      </w:r>
      <w:r>
        <w:rPr>
          <w:rStyle w:val="54"/>
          <w:sz w:val="22"/>
          <w:szCs w:val="22"/>
        </w:rPr>
        <w:t>Acórdão nº 746/2014-TCU-Plenário</w:t>
      </w:r>
      <w:r>
        <w:rPr>
          <w:rStyle w:val="54"/>
          <w:sz w:val="22"/>
          <w:szCs w:val="22"/>
        </w:rPr>
        <w:fldChar w:fldCharType="end"/>
      </w:r>
      <w:r>
        <w:rPr>
          <w:rStyle w:val="45"/>
          <w:color w:val="000000"/>
          <w:sz w:val="22"/>
          <w:szCs w:val="22"/>
        </w:rPr>
        <w:t>);</w:t>
      </w:r>
    </w:p>
    <w:p>
      <w:pPr>
        <w:pStyle w:val="130"/>
        <w:numPr>
          <w:ilvl w:val="2"/>
          <w:numId w:val="1"/>
        </w:numPr>
        <w:tabs>
          <w:tab w:val="left" w:pos="1134"/>
        </w:tabs>
        <w:spacing w:before="0" w:beforeAutospacing="0" w:after="0" w:afterAutospacing="0"/>
        <w:jc w:val="both"/>
        <w:textAlignment w:val="baseline"/>
      </w:pPr>
      <w:r>
        <w:rPr>
          <w:rStyle w:val="45"/>
          <w:color w:val="000000"/>
          <w:sz w:val="22"/>
          <w:szCs w:val="22"/>
        </w:rPr>
        <w:t xml:space="preserve">aqueles que se enquadrem nas demais vedações do </w:t>
      </w:r>
      <w:r>
        <w:fldChar w:fldCharType="begin"/>
      </w:r>
      <w:r>
        <w:rPr>
          <w:rStyle w:val="54"/>
          <w:sz w:val="22"/>
          <w:szCs w:val="22"/>
        </w:rPr>
        <w:instrText xml:space="preserve"> HYPERLINK "https://www.planalto.gov.br/ccivil_03/_ato2019-2022/2021/lei/l14133.htm" \l "art14"</w:instrText>
      </w:r>
      <w:r>
        <w:rPr>
          <w:rStyle w:val="54"/>
          <w:sz w:val="22"/>
          <w:szCs w:val="22"/>
        </w:rPr>
        <w:fldChar w:fldCharType="separate"/>
      </w:r>
      <w:r>
        <w:rPr>
          <w:rStyle w:val="54"/>
          <w:sz w:val="22"/>
          <w:szCs w:val="22"/>
        </w:rPr>
        <w:t xml:space="preserve">art. 14 da Lei Federal nº 14.133, de </w:t>
      </w:r>
      <w:r>
        <w:rPr>
          <w:rStyle w:val="54"/>
          <w:sz w:val="22"/>
          <w:szCs w:val="22"/>
        </w:rPr>
        <w:fldChar w:fldCharType="end"/>
      </w:r>
      <w:r>
        <w:rPr>
          <w:rStyle w:val="54"/>
          <w:sz w:val="22"/>
          <w:szCs w:val="22"/>
        </w:rPr>
        <w:t>2021</w:t>
      </w:r>
      <w:r>
        <w:rPr>
          <w:rStyle w:val="45"/>
          <w:color w:val="000000"/>
          <w:sz w:val="22"/>
          <w:szCs w:val="22"/>
        </w:rPr>
        <w:t>.</w:t>
      </w:r>
    </w:p>
    <w:p>
      <w:pPr>
        <w:pStyle w:val="130"/>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 xml:space="preserve">A verificação dos impedimentos e condições de participação ocorrerá somente após a fase competitiva do certame, momento no qual o </w:t>
      </w:r>
      <w:r>
        <w:rPr>
          <w:sz w:val="22"/>
          <w:szCs w:val="22"/>
        </w:rPr>
        <w:t>Portal Licitanet (</w:t>
      </w:r>
      <w:r>
        <w:fldChar w:fldCharType="begin"/>
      </w:r>
      <w:r>
        <w:instrText xml:space="preserve"> HYPERLINK "https://www.licitanet.com.br/" \h </w:instrText>
      </w:r>
      <w:r>
        <w:fldChar w:fldCharType="separate"/>
      </w:r>
      <w:r>
        <w:rPr>
          <w:rStyle w:val="54"/>
          <w:sz w:val="22"/>
          <w:szCs w:val="22"/>
        </w:rPr>
        <w:t>https://www.licitanet.com.br/</w:t>
      </w:r>
      <w:r>
        <w:rPr>
          <w:rStyle w:val="54"/>
          <w:sz w:val="22"/>
          <w:szCs w:val="22"/>
        </w:rPr>
        <w:fldChar w:fldCharType="end"/>
      </w:r>
      <w:r>
        <w:rPr>
          <w:rStyle w:val="45"/>
          <w:color w:val="000000"/>
          <w:sz w:val="22"/>
          <w:szCs w:val="22"/>
        </w:rPr>
        <w:t>) permite a identificação dos participantes do certame licitatório.</w:t>
      </w:r>
    </w:p>
    <w:p>
      <w:pPr>
        <w:pStyle w:val="130"/>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 xml:space="preserve">Encerrada a fase de lances, o  </w:t>
      </w:r>
      <w:r>
        <w:rPr>
          <w:sz w:val="22"/>
          <w:szCs w:val="22"/>
        </w:rPr>
        <w:t>Pregoeiro</w:t>
      </w:r>
      <w:r>
        <w:rPr>
          <w:rStyle w:val="45"/>
          <w:color w:val="000000"/>
          <w:sz w:val="22"/>
          <w:szCs w:val="22"/>
        </w:rPr>
        <w:t xml:space="preserve"> fará consulta aos cadastros oficiais: Cadastro Nacional de Condenados por Ato de Improbidade Administrativa e por Ato que Implique em Inelegibilidade - CNCIAI, Cadastro Nacional de Empresas Inidôneas e Suspensas (CEIS), Cadastro Nacional de Empresas Punidas - Cnep e Cadastro de Inidôneos do TCU ou qualquer outro que venha ser implantado e ainda no </w:t>
      </w:r>
      <w:r>
        <w:rPr>
          <w:rStyle w:val="45"/>
          <w:sz w:val="22"/>
          <w:szCs w:val="22"/>
        </w:rPr>
        <w:t>cadastro unificado de licitantes (</w:t>
      </w:r>
      <w:r>
        <w:fldChar w:fldCharType="begin"/>
      </w:r>
      <w:r>
        <w:rPr>
          <w:rStyle w:val="54"/>
          <w:sz w:val="22"/>
          <w:szCs w:val="22"/>
        </w:rPr>
        <w:instrText xml:space="preserve"> HYPERLINK "https://www.planalto.gov.br/ccivil_03/_ato2019-2022/2021/lei/l14133.htm" \l "art87"</w:instrText>
      </w:r>
      <w:r>
        <w:rPr>
          <w:rStyle w:val="54"/>
          <w:sz w:val="22"/>
          <w:szCs w:val="22"/>
        </w:rPr>
        <w:fldChar w:fldCharType="separate"/>
      </w:r>
      <w:r>
        <w:rPr>
          <w:rStyle w:val="54"/>
          <w:sz w:val="22"/>
          <w:szCs w:val="22"/>
        </w:rPr>
        <w:t>art. 87 da Lei Federal nº 14.133, de 2021</w:t>
      </w:r>
      <w:r>
        <w:rPr>
          <w:rStyle w:val="54"/>
          <w:sz w:val="22"/>
          <w:szCs w:val="22"/>
        </w:rPr>
        <w:fldChar w:fldCharType="end"/>
      </w:r>
      <w:r>
        <w:rPr>
          <w:rStyle w:val="45"/>
          <w:sz w:val="22"/>
          <w:szCs w:val="22"/>
        </w:rPr>
        <w:t>)</w:t>
      </w:r>
      <w:r>
        <w:rPr>
          <w:rStyle w:val="45"/>
          <w:color w:val="000000"/>
          <w:sz w:val="22"/>
          <w:szCs w:val="22"/>
        </w:rPr>
        <w:t>, bem como na “lista suja” de empregadores flagrados explorando trabalhadores em condições análogas às de escravo emitida pelo Ministério do Trabalho e Previdência, a fim de verificar se a licitante se enquadra em qualquer vedação prevista neste edital.</w:t>
      </w:r>
    </w:p>
    <w:p>
      <w:pPr>
        <w:pStyle w:val="130"/>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Havendo qualquer impedimento, a licitante será, automaticamente, excluída da licitação, sem prejuízo das sanções previstas neste edital e em lei.</w:t>
      </w:r>
    </w:p>
    <w:p>
      <w:pPr>
        <w:pStyle w:val="2"/>
        <w:spacing w:before="360" w:after="0"/>
      </w:pPr>
      <w:bookmarkStart w:id="7" w:name="_CONSÓRCIO"/>
      <w:bookmarkEnd w:id="7"/>
      <w:bookmarkStart w:id="8" w:name="_Toc149517433"/>
      <w:r>
        <w:rPr>
          <w:rStyle w:val="45"/>
          <w:sz w:val="22"/>
          <w:szCs w:val="22"/>
        </w:rPr>
        <w:t>CONSÓRCIO</w:t>
      </w:r>
      <w:bookmarkEnd w:id="8"/>
    </w:p>
    <w:p>
      <w:pPr>
        <w:pStyle w:val="130"/>
        <w:numPr>
          <w:ilvl w:val="1"/>
          <w:numId w:val="1"/>
        </w:numPr>
        <w:tabs>
          <w:tab w:val="left" w:pos="1134"/>
        </w:tabs>
        <w:spacing w:before="120" w:beforeAutospacing="0" w:after="0" w:afterAutospacing="0"/>
        <w:ind w:left="0" w:firstLine="567"/>
        <w:jc w:val="both"/>
        <w:textAlignment w:val="baseline"/>
      </w:pPr>
      <w:r>
        <w:rPr>
          <w:sz w:val="22"/>
          <w:szCs w:val="22"/>
        </w:rPr>
        <w:t xml:space="preserve">Nos termos do </w:t>
      </w:r>
      <w:r>
        <w:fldChar w:fldCharType="begin"/>
      </w:r>
      <w:r>
        <w:rPr>
          <w:rStyle w:val="54"/>
          <w:sz w:val="22"/>
          <w:szCs w:val="22"/>
        </w:rPr>
        <w:instrText xml:space="preserve"> HYPERLINK "https://www.planalto.gov.br/ccivil_03/_ato2019-2022/2021/lei/l14133.htm" \l "art15"</w:instrText>
      </w:r>
      <w:r>
        <w:rPr>
          <w:rStyle w:val="54"/>
          <w:sz w:val="22"/>
          <w:szCs w:val="22"/>
        </w:rPr>
        <w:fldChar w:fldCharType="separate"/>
      </w:r>
      <w:r>
        <w:rPr>
          <w:rStyle w:val="54"/>
          <w:sz w:val="22"/>
          <w:szCs w:val="22"/>
        </w:rPr>
        <w:t>art. 15 da Lei Federal nº 14.133, de 2021</w:t>
      </w:r>
      <w:r>
        <w:rPr>
          <w:rStyle w:val="54"/>
          <w:sz w:val="22"/>
          <w:szCs w:val="22"/>
        </w:rPr>
        <w:fldChar w:fldCharType="end"/>
      </w:r>
      <w:r>
        <w:rPr>
          <w:sz w:val="22"/>
          <w:szCs w:val="22"/>
        </w:rPr>
        <w:t>, pessoa jurídica poderá participar de licitação em consórcio, observadas as seguintes normas:</w:t>
      </w:r>
    </w:p>
    <w:p>
      <w:pPr>
        <w:pStyle w:val="130"/>
        <w:numPr>
          <w:ilvl w:val="2"/>
          <w:numId w:val="1"/>
        </w:numPr>
        <w:tabs>
          <w:tab w:val="left" w:pos="1134"/>
        </w:tabs>
        <w:spacing w:before="0" w:beforeAutospacing="0" w:after="0" w:afterAutospacing="0"/>
        <w:jc w:val="both"/>
        <w:textAlignment w:val="baseline"/>
        <w:rPr>
          <w:rFonts w:ascii="Times New Roman" w:hAnsi="Times New Roman"/>
        </w:rPr>
      </w:pPr>
      <w:r>
        <w:rPr>
          <w:sz w:val="22"/>
          <w:szCs w:val="22"/>
        </w:rPr>
        <w:t>Comprovação de compromisso público ou particular de constituição de consórcio, subscrito pelos consorciados;</w:t>
      </w:r>
    </w:p>
    <w:p>
      <w:pPr>
        <w:pStyle w:val="130"/>
        <w:numPr>
          <w:ilvl w:val="2"/>
          <w:numId w:val="1"/>
        </w:numPr>
        <w:tabs>
          <w:tab w:val="left" w:pos="1134"/>
        </w:tabs>
        <w:spacing w:before="0" w:beforeAutospacing="0" w:after="0" w:afterAutospacing="0"/>
        <w:jc w:val="both"/>
        <w:textAlignment w:val="baseline"/>
        <w:rPr>
          <w:rFonts w:ascii="Times New Roman" w:hAnsi="Times New Roman"/>
        </w:rPr>
      </w:pPr>
      <w:r>
        <w:rPr>
          <w:sz w:val="22"/>
          <w:szCs w:val="22"/>
        </w:rPr>
        <w:t>Indicação da empresa líder do consórcio, que será responsável por sua representação perante a Administração;</w:t>
      </w:r>
    </w:p>
    <w:p>
      <w:pPr>
        <w:pStyle w:val="130"/>
        <w:numPr>
          <w:ilvl w:val="2"/>
          <w:numId w:val="1"/>
        </w:numPr>
        <w:tabs>
          <w:tab w:val="left" w:pos="1134"/>
        </w:tabs>
        <w:spacing w:before="0" w:beforeAutospacing="0" w:after="0" w:afterAutospacing="0"/>
        <w:jc w:val="both"/>
        <w:textAlignment w:val="baseline"/>
        <w:rPr>
          <w:rFonts w:ascii="Times New Roman" w:hAnsi="Times New Roman"/>
        </w:rPr>
      </w:pPr>
      <w:r>
        <w:rPr>
          <w:sz w:val="22"/>
          <w:szCs w:val="22"/>
        </w:rPr>
        <w:t>Admissão, para efeito de habilitação técnica, do somatório dos quantitativos de cada consorciado e, para efeito de habilitação econômico-financeira, do somatório dos valores de cada consorciado;</w:t>
      </w:r>
    </w:p>
    <w:p>
      <w:pPr>
        <w:pStyle w:val="130"/>
        <w:numPr>
          <w:ilvl w:val="2"/>
          <w:numId w:val="1"/>
        </w:numPr>
        <w:tabs>
          <w:tab w:val="left" w:pos="1134"/>
        </w:tabs>
        <w:spacing w:before="0" w:beforeAutospacing="0" w:after="0" w:afterAutospacing="0"/>
        <w:jc w:val="both"/>
        <w:textAlignment w:val="baseline"/>
        <w:rPr>
          <w:rFonts w:ascii="Times New Roman" w:hAnsi="Times New Roman"/>
        </w:rPr>
      </w:pPr>
      <w:r>
        <w:rPr>
          <w:sz w:val="22"/>
          <w:szCs w:val="22"/>
        </w:rPr>
        <w:t>Impedimento de a empresa consorciada participar, na mesma licitação, de mais de um consórcio ou de forma isolada;</w:t>
      </w:r>
    </w:p>
    <w:p>
      <w:pPr>
        <w:pStyle w:val="130"/>
        <w:numPr>
          <w:ilvl w:val="2"/>
          <w:numId w:val="1"/>
        </w:numPr>
        <w:tabs>
          <w:tab w:val="left" w:pos="1134"/>
        </w:tabs>
        <w:spacing w:before="0" w:beforeAutospacing="0" w:after="0" w:afterAutospacing="0"/>
        <w:jc w:val="both"/>
        <w:textAlignment w:val="baseline"/>
        <w:rPr>
          <w:rFonts w:ascii="Times New Roman" w:hAnsi="Times New Roman"/>
        </w:rPr>
      </w:pPr>
      <w:r>
        <w:rPr>
          <w:sz w:val="22"/>
          <w:szCs w:val="22"/>
        </w:rPr>
        <w:t>Responsabilidade solidária dos integrantes pelos atos praticados em consórcio, tanto na fase de licitação quanto na de execução do contrato.</w:t>
      </w:r>
    </w:p>
    <w:p>
      <w:pPr>
        <w:pStyle w:val="130"/>
        <w:numPr>
          <w:ilvl w:val="1"/>
          <w:numId w:val="1"/>
        </w:numPr>
        <w:tabs>
          <w:tab w:val="left" w:pos="1134"/>
        </w:tabs>
        <w:spacing w:before="0" w:beforeAutospacing="0" w:after="0" w:afterAutospacing="0"/>
        <w:ind w:left="0" w:firstLine="567"/>
        <w:jc w:val="both"/>
        <w:textAlignment w:val="baseline"/>
      </w:pPr>
      <w:r>
        <w:rPr>
          <w:sz w:val="22"/>
          <w:szCs w:val="22"/>
        </w:rPr>
        <w:t xml:space="preserve">O licitante vencedor é obrigado a promover, antes da celebração da ata de registro de preços, a constituição e o registro do consórcio, nos termos do compromisso referido no </w:t>
      </w:r>
      <w:r>
        <w:fldChar w:fldCharType="begin"/>
      </w:r>
      <w:r>
        <w:rPr>
          <w:rStyle w:val="54"/>
          <w:sz w:val="22"/>
          <w:szCs w:val="22"/>
        </w:rPr>
        <w:instrText xml:space="preserve"> HYPERLINK "https://www.planalto.gov.br/ccivil_03/_ato2019-2022/2021/lei/l14133.htm" \l "art15"</w:instrText>
      </w:r>
      <w:r>
        <w:rPr>
          <w:rStyle w:val="54"/>
          <w:sz w:val="22"/>
          <w:szCs w:val="22"/>
        </w:rPr>
        <w:fldChar w:fldCharType="separate"/>
      </w:r>
      <w:r>
        <w:rPr>
          <w:rStyle w:val="54"/>
          <w:sz w:val="22"/>
          <w:szCs w:val="22"/>
        </w:rPr>
        <w:t>art. 15, I, da Lei Federal nº 14.133, de 2021</w:t>
      </w:r>
      <w:r>
        <w:rPr>
          <w:rStyle w:val="54"/>
          <w:sz w:val="22"/>
          <w:szCs w:val="22"/>
        </w:rPr>
        <w:fldChar w:fldCharType="end"/>
      </w:r>
      <w:r>
        <w:rPr>
          <w:sz w:val="22"/>
          <w:szCs w:val="22"/>
        </w:rPr>
        <w:t>. (</w:t>
      </w:r>
      <w:r>
        <w:fldChar w:fldCharType="begin"/>
      </w:r>
      <w:r>
        <w:rPr>
          <w:rStyle w:val="54"/>
          <w:sz w:val="22"/>
          <w:szCs w:val="22"/>
        </w:rPr>
        <w:instrText xml:space="preserve"> HYPERLINK "https://www.planalto.gov.br/ccivil_03/_ato2019-2022/2021/lei/l14133.htm" \l "art15"</w:instrText>
      </w:r>
      <w:r>
        <w:rPr>
          <w:rStyle w:val="54"/>
          <w:sz w:val="22"/>
          <w:szCs w:val="22"/>
        </w:rPr>
        <w:fldChar w:fldCharType="separate"/>
      </w:r>
      <w:r>
        <w:rPr>
          <w:rStyle w:val="54"/>
          <w:sz w:val="22"/>
          <w:szCs w:val="22"/>
        </w:rPr>
        <w:t>art. 15, §3º, da Lei Federal nº 14.133, de 2021</w:t>
      </w:r>
      <w:r>
        <w:rPr>
          <w:rStyle w:val="54"/>
          <w:sz w:val="22"/>
          <w:szCs w:val="22"/>
        </w:rPr>
        <w:fldChar w:fldCharType="end"/>
      </w:r>
      <w:r>
        <w:rPr>
          <w:sz w:val="22"/>
          <w:szCs w:val="22"/>
        </w:rPr>
        <w:t>)</w:t>
      </w:r>
    </w:p>
    <w:p>
      <w:pPr>
        <w:pStyle w:val="130"/>
        <w:numPr>
          <w:ilvl w:val="1"/>
          <w:numId w:val="1"/>
        </w:numPr>
        <w:tabs>
          <w:tab w:val="left" w:pos="1134"/>
        </w:tabs>
        <w:spacing w:before="0" w:beforeAutospacing="0" w:after="0" w:afterAutospacing="0"/>
        <w:ind w:left="0" w:firstLine="567"/>
        <w:jc w:val="both"/>
        <w:textAlignment w:val="baseline"/>
      </w:pPr>
      <w:r>
        <w:rPr>
          <w:sz w:val="22"/>
          <w:szCs w:val="22"/>
        </w:rPr>
        <w:t xml:space="preserve">A substituição de consorciado deverá ser expressamente autorizada pela </w:t>
      </w:r>
      <w:r>
        <w:rPr>
          <w:rStyle w:val="45"/>
          <w:color w:val="000000"/>
          <w:sz w:val="22"/>
          <w:szCs w:val="22"/>
        </w:rPr>
        <w:t>Câmara Municipal de Primavera do Leste - MT</w:t>
      </w:r>
      <w:r>
        <w:rPr>
          <w:sz w:val="22"/>
          <w:szCs w:val="22"/>
        </w:rPr>
        <w:t xml:space="preserve"> e condicionada à comprovação de que a nova empresa do consórcio possui, no mínimo, os mesmos quantitativos para efeito de habilitação técnicas apresentadas pela empresa substituída para fins de habilitação do consórcio no processo licitatório que originou o contrato. (</w:t>
      </w:r>
      <w:r>
        <w:fldChar w:fldCharType="begin"/>
      </w:r>
      <w:r>
        <w:rPr>
          <w:rStyle w:val="54"/>
          <w:sz w:val="22"/>
          <w:szCs w:val="22"/>
        </w:rPr>
        <w:instrText xml:space="preserve"> HYPERLINK "https://www.planalto.gov.br/ccivil_03/_ato2019-2022/2021/lei/l14133.htm" \l "art15"</w:instrText>
      </w:r>
      <w:r>
        <w:rPr>
          <w:rStyle w:val="54"/>
          <w:sz w:val="22"/>
          <w:szCs w:val="22"/>
        </w:rPr>
        <w:fldChar w:fldCharType="separate"/>
      </w:r>
      <w:r>
        <w:rPr>
          <w:rStyle w:val="54"/>
          <w:sz w:val="22"/>
          <w:szCs w:val="22"/>
        </w:rPr>
        <w:t>art. 15, §5º, da Lei Federal nº 14.133, de 2021</w:t>
      </w:r>
      <w:r>
        <w:rPr>
          <w:rStyle w:val="54"/>
          <w:sz w:val="22"/>
          <w:szCs w:val="22"/>
        </w:rPr>
        <w:fldChar w:fldCharType="end"/>
      </w:r>
      <w:r>
        <w:rPr>
          <w:sz w:val="22"/>
          <w:szCs w:val="22"/>
        </w:rPr>
        <w:t>).</w:t>
      </w:r>
    </w:p>
    <w:p>
      <w:pPr>
        <w:pStyle w:val="130"/>
        <w:numPr>
          <w:ilvl w:val="0"/>
          <w:numId w:val="0"/>
        </w:numPr>
        <w:tabs>
          <w:tab w:val="left" w:pos="1134"/>
        </w:tabs>
        <w:spacing w:before="0" w:beforeAutospacing="0" w:after="0" w:afterAutospacing="0"/>
        <w:ind w:left="567" w:leftChars="0"/>
        <w:jc w:val="both"/>
        <w:textAlignment w:val="baseline"/>
      </w:pPr>
    </w:p>
    <w:p>
      <w:pPr>
        <w:pStyle w:val="2"/>
        <w:spacing w:before="360" w:after="0"/>
      </w:pPr>
      <w:bookmarkStart w:id="9" w:name="_Toc149517434"/>
      <w:r>
        <w:rPr>
          <w:rStyle w:val="45"/>
        </w:rPr>
        <w:t>COOPERATIVA</w:t>
      </w:r>
      <w:bookmarkEnd w:id="9"/>
    </w:p>
    <w:p>
      <w:pPr>
        <w:pStyle w:val="130"/>
        <w:numPr>
          <w:ilvl w:val="1"/>
          <w:numId w:val="1"/>
        </w:numPr>
        <w:tabs>
          <w:tab w:val="left" w:pos="1134"/>
        </w:tabs>
        <w:spacing w:before="120" w:beforeAutospacing="0" w:after="0" w:afterAutospacing="0"/>
        <w:ind w:left="0" w:firstLine="567"/>
        <w:jc w:val="both"/>
        <w:textAlignment w:val="baseline"/>
      </w:pPr>
      <w:r>
        <w:rPr>
          <w:sz w:val="22"/>
          <w:szCs w:val="22"/>
        </w:rPr>
        <w:t xml:space="preserve">Nos termos do </w:t>
      </w:r>
      <w:r>
        <w:fldChar w:fldCharType="begin"/>
      </w:r>
      <w:r>
        <w:rPr>
          <w:rStyle w:val="54"/>
          <w:sz w:val="22"/>
          <w:szCs w:val="22"/>
        </w:rPr>
        <w:instrText xml:space="preserve"> HYPERLINK "https://www.planalto.gov.br/ccivil_03/_ato2019-2022/2021/lei/l14133.htm" \l "art16"</w:instrText>
      </w:r>
      <w:r>
        <w:rPr>
          <w:rStyle w:val="54"/>
          <w:sz w:val="22"/>
          <w:szCs w:val="22"/>
        </w:rPr>
        <w:fldChar w:fldCharType="separate"/>
      </w:r>
      <w:r>
        <w:rPr>
          <w:rStyle w:val="54"/>
          <w:sz w:val="22"/>
          <w:szCs w:val="22"/>
        </w:rPr>
        <w:t>art. 16 da Lei Federal nº 14.133, de 2021</w:t>
      </w:r>
      <w:r>
        <w:rPr>
          <w:rStyle w:val="54"/>
          <w:sz w:val="22"/>
          <w:szCs w:val="22"/>
        </w:rPr>
        <w:fldChar w:fldCharType="end"/>
      </w:r>
      <w:r>
        <w:rPr>
          <w:sz w:val="22"/>
          <w:szCs w:val="22"/>
        </w:rPr>
        <w:t>, pessoa jurídica organizada em forma de cooperativa poderá participar da licitação quando:</w:t>
      </w:r>
    </w:p>
    <w:p>
      <w:pPr>
        <w:pStyle w:val="130"/>
        <w:numPr>
          <w:ilvl w:val="2"/>
          <w:numId w:val="1"/>
        </w:numPr>
        <w:tabs>
          <w:tab w:val="left" w:pos="1134"/>
        </w:tabs>
        <w:spacing w:before="0" w:beforeAutospacing="0" w:after="0" w:afterAutospacing="0"/>
        <w:jc w:val="both"/>
        <w:textAlignment w:val="baseline"/>
      </w:pPr>
      <w:r>
        <w:rPr>
          <w:color w:val="000000"/>
          <w:sz w:val="22"/>
          <w:szCs w:val="22"/>
        </w:rPr>
        <w:t xml:space="preserve">a constituição e o funcionamento da cooperativa observarem as regras estabelecidas na legislação aplicável, em especial a </w:t>
      </w:r>
      <w:r>
        <w:fldChar w:fldCharType="begin"/>
      </w:r>
      <w:r>
        <w:instrText xml:space="preserve"> HYPERLINK "https://www.planalto.gov.br/ccivil_03/LEIS/L5764.HTM" \h </w:instrText>
      </w:r>
      <w:r>
        <w:fldChar w:fldCharType="separate"/>
      </w:r>
      <w:r>
        <w:rPr>
          <w:rStyle w:val="54"/>
          <w:sz w:val="22"/>
          <w:szCs w:val="22"/>
        </w:rPr>
        <w:t>Lei Federal nº 5.764, de 1971</w:t>
      </w:r>
      <w:r>
        <w:rPr>
          <w:rStyle w:val="54"/>
          <w:sz w:val="22"/>
          <w:szCs w:val="22"/>
        </w:rPr>
        <w:fldChar w:fldCharType="end"/>
      </w:r>
      <w:r>
        <w:rPr>
          <w:color w:val="000000"/>
          <w:sz w:val="22"/>
          <w:szCs w:val="22"/>
        </w:rPr>
        <w:t xml:space="preserve">, a </w:t>
      </w:r>
      <w:r>
        <w:fldChar w:fldCharType="begin"/>
      </w:r>
      <w:r>
        <w:instrText xml:space="preserve"> HYPERLINK "https://www.planalto.gov.br/ccivil_03/_Ato2011-2014/2012/Lei/L12690.htm" \h </w:instrText>
      </w:r>
      <w:r>
        <w:fldChar w:fldCharType="separate"/>
      </w:r>
      <w:r>
        <w:rPr>
          <w:rStyle w:val="54"/>
          <w:sz w:val="22"/>
          <w:szCs w:val="22"/>
        </w:rPr>
        <w:t>Lei Federal nº 12.690, de 2012</w:t>
      </w:r>
      <w:r>
        <w:rPr>
          <w:rStyle w:val="54"/>
          <w:sz w:val="22"/>
          <w:szCs w:val="22"/>
        </w:rPr>
        <w:fldChar w:fldCharType="end"/>
      </w:r>
      <w:r>
        <w:rPr>
          <w:color w:val="000000"/>
          <w:sz w:val="22"/>
          <w:szCs w:val="22"/>
        </w:rPr>
        <w:t xml:space="preserve">, e a </w:t>
      </w:r>
      <w:r>
        <w:fldChar w:fldCharType="begin"/>
      </w:r>
      <w:r>
        <w:instrText xml:space="preserve"> HYPERLINK "https://www.planalto.gov.br/ccivil_03/LEIS/LCP/Lcp130.htm" \h </w:instrText>
      </w:r>
      <w:r>
        <w:fldChar w:fldCharType="separate"/>
      </w:r>
      <w:r>
        <w:rPr>
          <w:rStyle w:val="54"/>
          <w:sz w:val="22"/>
          <w:szCs w:val="22"/>
        </w:rPr>
        <w:t>Lei Complementar Federal nº 130, de 2009;</w:t>
      </w:r>
      <w:r>
        <w:rPr>
          <w:rStyle w:val="54"/>
          <w:sz w:val="22"/>
          <w:szCs w:val="22"/>
        </w:rPr>
        <w:fldChar w:fldCharType="end"/>
      </w:r>
    </w:p>
    <w:p>
      <w:pPr>
        <w:pStyle w:val="130"/>
        <w:numPr>
          <w:ilvl w:val="2"/>
          <w:numId w:val="1"/>
        </w:numPr>
        <w:tabs>
          <w:tab w:val="left" w:pos="1134"/>
        </w:tabs>
        <w:spacing w:before="0" w:beforeAutospacing="0" w:after="0" w:afterAutospacing="0"/>
        <w:jc w:val="both"/>
        <w:textAlignment w:val="baseline"/>
        <w:rPr>
          <w:rFonts w:ascii="Times New Roman" w:hAnsi="Times New Roman"/>
        </w:rPr>
      </w:pPr>
      <w:r>
        <w:rPr>
          <w:color w:val="000000"/>
          <w:sz w:val="22"/>
          <w:szCs w:val="22"/>
        </w:rPr>
        <w:t>a cooperativa apresentar demonstrativo de atuação em regime cooperado, com repartição de receitas e despesas entre os cooperados;</w:t>
      </w:r>
    </w:p>
    <w:p>
      <w:pPr>
        <w:pStyle w:val="130"/>
        <w:numPr>
          <w:ilvl w:val="2"/>
          <w:numId w:val="1"/>
        </w:numPr>
        <w:tabs>
          <w:tab w:val="left" w:pos="1134"/>
        </w:tabs>
        <w:spacing w:before="0" w:beforeAutospacing="0" w:after="0" w:afterAutospacing="0"/>
        <w:jc w:val="both"/>
        <w:textAlignment w:val="baseline"/>
        <w:rPr>
          <w:rFonts w:ascii="Times New Roman" w:hAnsi="Times New Roman"/>
        </w:rPr>
      </w:pPr>
      <w:r>
        <w:rPr>
          <w:color w:val="000000"/>
          <w:sz w:val="22"/>
          <w:szCs w:val="22"/>
        </w:rPr>
        <w:t>qualquer cooperado, com igual qualificação, for capaz de executar o objeto contratado, vedado à Administração indicar nominalmente pessoas;</w:t>
      </w:r>
    </w:p>
    <w:p>
      <w:pPr>
        <w:pStyle w:val="130"/>
        <w:numPr>
          <w:ilvl w:val="2"/>
          <w:numId w:val="1"/>
        </w:numPr>
        <w:tabs>
          <w:tab w:val="left" w:pos="1134"/>
        </w:tabs>
        <w:spacing w:before="0" w:beforeAutospacing="0" w:after="0" w:afterAutospacing="0"/>
        <w:jc w:val="both"/>
        <w:textAlignment w:val="baseline"/>
      </w:pPr>
      <w:r>
        <w:rPr>
          <w:color w:val="000000"/>
          <w:sz w:val="22"/>
          <w:szCs w:val="22"/>
        </w:rPr>
        <w:t xml:space="preserve">o objeto da licitação referir-se, em se tratando de cooperativas enquadradas na </w:t>
      </w:r>
      <w:r>
        <w:fldChar w:fldCharType="begin"/>
      </w:r>
      <w:r>
        <w:instrText xml:space="preserve"> HYPERLINK "https://www.planalto.gov.br/ccivil_03/_Ato2011-2014/2012/Lei/L12690.htm" \h </w:instrText>
      </w:r>
      <w:r>
        <w:fldChar w:fldCharType="separate"/>
      </w:r>
      <w:r>
        <w:rPr>
          <w:rStyle w:val="54"/>
          <w:sz w:val="22"/>
          <w:szCs w:val="22"/>
        </w:rPr>
        <w:t>Lei Federal nº 12.690, de 2012</w:t>
      </w:r>
      <w:r>
        <w:rPr>
          <w:rStyle w:val="54"/>
          <w:sz w:val="22"/>
          <w:szCs w:val="22"/>
        </w:rPr>
        <w:fldChar w:fldCharType="end"/>
      </w:r>
      <w:r>
        <w:rPr>
          <w:color w:val="000000"/>
          <w:sz w:val="22"/>
          <w:szCs w:val="22"/>
        </w:rPr>
        <w:t>, a serviços especializados constantes do objeto social da cooperativa, a serem executados de forma complementar à sua atuação.</w:t>
      </w:r>
    </w:p>
    <w:p>
      <w:pPr>
        <w:pStyle w:val="130"/>
        <w:numPr>
          <w:ilvl w:val="1"/>
          <w:numId w:val="1"/>
        </w:numPr>
        <w:tabs>
          <w:tab w:val="left" w:pos="1134"/>
        </w:tabs>
        <w:spacing w:before="0" w:beforeAutospacing="0" w:after="0" w:afterAutospacing="0"/>
        <w:ind w:left="0" w:firstLine="567"/>
        <w:jc w:val="both"/>
        <w:textAlignment w:val="baseline"/>
      </w:pPr>
      <w:r>
        <w:rPr>
          <w:sz w:val="22"/>
          <w:szCs w:val="22"/>
        </w:rPr>
        <w:t xml:space="preserve">O licitante organizado em cooperativa deverá declarar, ainda, em campo próprio do sistema eletrônico, que cumpre os requisitos estabelecidos no </w:t>
      </w:r>
      <w:r>
        <w:fldChar w:fldCharType="begin"/>
      </w:r>
      <w:r>
        <w:rPr>
          <w:rStyle w:val="54"/>
          <w:sz w:val="22"/>
          <w:szCs w:val="22"/>
        </w:rPr>
        <w:instrText xml:space="preserve"> HYPERLINK "http://www.planalto.gov.br/ccivil_03/_ato2019-2022/2021/lei/L14133.htm" \l "art16"</w:instrText>
      </w:r>
      <w:r>
        <w:rPr>
          <w:rStyle w:val="54"/>
          <w:sz w:val="22"/>
          <w:szCs w:val="22"/>
        </w:rPr>
        <w:fldChar w:fldCharType="separate"/>
      </w:r>
      <w:r>
        <w:rPr>
          <w:rStyle w:val="54"/>
          <w:sz w:val="22"/>
          <w:szCs w:val="22"/>
        </w:rPr>
        <w:t>art. 16 da Lei Federal nº 14.133, de 2021</w:t>
      </w:r>
      <w:r>
        <w:rPr>
          <w:rStyle w:val="54"/>
          <w:sz w:val="22"/>
          <w:szCs w:val="22"/>
        </w:rPr>
        <w:fldChar w:fldCharType="end"/>
      </w:r>
      <w:r>
        <w:rPr>
          <w:sz w:val="22"/>
          <w:szCs w:val="22"/>
        </w:rPr>
        <w:t>.</w:t>
      </w:r>
    </w:p>
    <w:p>
      <w:pPr>
        <w:pStyle w:val="2"/>
        <w:spacing w:before="360" w:after="0"/>
      </w:pPr>
      <w:bookmarkStart w:id="10" w:name="_Toc149517435"/>
      <w:r>
        <w:rPr>
          <w:rStyle w:val="45"/>
          <w:sz w:val="22"/>
          <w:szCs w:val="22"/>
        </w:rPr>
        <w:t>IMPUGNAÇÃO E ESCLARECIMENTOS</w:t>
      </w:r>
      <w:bookmarkEnd w:id="10"/>
    </w:p>
    <w:p>
      <w:pPr>
        <w:pStyle w:val="130"/>
        <w:numPr>
          <w:ilvl w:val="1"/>
          <w:numId w:val="1"/>
        </w:numPr>
        <w:tabs>
          <w:tab w:val="left" w:pos="1134"/>
        </w:tabs>
        <w:spacing w:before="120" w:beforeAutospacing="0" w:after="0" w:afterAutospacing="0"/>
        <w:ind w:left="0" w:firstLine="567"/>
        <w:jc w:val="both"/>
        <w:textAlignment w:val="baseline"/>
      </w:pPr>
      <w:r>
        <w:rPr>
          <w:rStyle w:val="45"/>
          <w:color w:val="000000" w:themeColor="text1"/>
          <w:sz w:val="22"/>
          <w:szCs w:val="22"/>
        </w:rPr>
        <w:t>Qualquer</w:t>
      </w:r>
      <w:r>
        <w:rPr>
          <w:color w:val="000000"/>
          <w:sz w:val="22"/>
          <w:szCs w:val="22"/>
        </w:rPr>
        <w:t xml:space="preserve"> pessoa, física ou jurídica, é parte legítima para impugnar edital de licitação por irregularidade na aplicação desta Lei ou para solicitar esclarecimento sobre os seus termos, devendo protocolar o pedido até 3 (três) dias úteis antes da data de abertura do certame (</w:t>
      </w:r>
      <w:r>
        <w:fldChar w:fldCharType="begin"/>
      </w:r>
      <w:r>
        <w:rPr>
          <w:rStyle w:val="54"/>
          <w:sz w:val="22"/>
          <w:szCs w:val="22"/>
        </w:rPr>
        <w:instrText xml:space="preserve"> HYPERLINK "https://www.planalto.gov.br/ccivil_03/_ato2019-2022/2021/lei/l14133.htm" \l "art164"</w:instrText>
      </w:r>
      <w:r>
        <w:rPr>
          <w:rStyle w:val="54"/>
          <w:sz w:val="22"/>
          <w:szCs w:val="22"/>
        </w:rPr>
        <w:fldChar w:fldCharType="separate"/>
      </w:r>
      <w:r>
        <w:rPr>
          <w:rStyle w:val="54"/>
          <w:sz w:val="22"/>
          <w:szCs w:val="22"/>
        </w:rPr>
        <w:t xml:space="preserve">art. 164, </w:t>
      </w:r>
      <w:r>
        <w:rPr>
          <w:rStyle w:val="54"/>
          <w:sz w:val="22"/>
          <w:szCs w:val="22"/>
        </w:rPr>
        <w:fldChar w:fldCharType="end"/>
      </w:r>
      <w:r>
        <w:rPr>
          <w:rStyle w:val="54"/>
          <w:i/>
          <w:iCs/>
          <w:sz w:val="22"/>
          <w:szCs w:val="22"/>
        </w:rPr>
        <w:t>caput</w:t>
      </w:r>
      <w:r>
        <w:rPr>
          <w:rStyle w:val="54"/>
          <w:sz w:val="22"/>
          <w:szCs w:val="22"/>
        </w:rPr>
        <w:t>, da Lei Federal nº 14.133, de 2021</w:t>
      </w:r>
      <w:r>
        <w:rPr>
          <w:color w:val="000000"/>
          <w:sz w:val="22"/>
          <w:szCs w:val="22"/>
        </w:rPr>
        <w:t>).</w:t>
      </w:r>
    </w:p>
    <w:p>
      <w:pPr>
        <w:pStyle w:val="130"/>
        <w:numPr>
          <w:ilvl w:val="1"/>
          <w:numId w:val="1"/>
        </w:numPr>
        <w:tabs>
          <w:tab w:val="left" w:pos="1134"/>
        </w:tabs>
        <w:spacing w:before="0" w:beforeAutospacing="0" w:after="0" w:afterAutospacing="0"/>
        <w:ind w:left="0" w:firstLine="567"/>
        <w:jc w:val="both"/>
        <w:textAlignment w:val="baseline"/>
      </w:pPr>
      <w:r>
        <w:rPr>
          <w:color w:val="000000"/>
          <w:sz w:val="22"/>
          <w:szCs w:val="22"/>
        </w:rPr>
        <w:t xml:space="preserve">As </w:t>
      </w:r>
      <w:r>
        <w:rPr>
          <w:rStyle w:val="45"/>
          <w:color w:val="000000" w:themeColor="text1"/>
          <w:sz w:val="22"/>
          <w:szCs w:val="22"/>
        </w:rPr>
        <w:t>impugnações</w:t>
      </w:r>
      <w:r>
        <w:rPr>
          <w:color w:val="000000"/>
          <w:sz w:val="22"/>
          <w:szCs w:val="22"/>
        </w:rPr>
        <w:t xml:space="preserve"> e os esclarecimentos deverão ser encaminhados exclusivamente de forma eletrônica pelo envio de mensagem eletrônica para o endereço: </w:t>
      </w:r>
      <w:r>
        <w:fldChar w:fldCharType="begin"/>
      </w:r>
      <w:r>
        <w:instrText xml:space="preserve"> HYPERLINK "mailto:licitacao@primaveradoleste.mt.leg.br" \h </w:instrText>
      </w:r>
      <w:r>
        <w:fldChar w:fldCharType="separate"/>
      </w:r>
      <w:r>
        <w:rPr>
          <w:rStyle w:val="54"/>
          <w:sz w:val="22"/>
          <w:szCs w:val="22"/>
        </w:rPr>
        <w:t>licitacao@primaveradoleste.mt.leg.br</w:t>
      </w:r>
      <w:r>
        <w:rPr>
          <w:rStyle w:val="54"/>
          <w:sz w:val="22"/>
          <w:szCs w:val="22"/>
        </w:rPr>
        <w:fldChar w:fldCharType="end"/>
      </w:r>
      <w:r>
        <w:rPr>
          <w:color w:val="000000"/>
          <w:sz w:val="22"/>
          <w:szCs w:val="22"/>
        </w:rPr>
        <w:t xml:space="preserve">. </w:t>
      </w:r>
    </w:p>
    <w:p>
      <w:pPr>
        <w:pStyle w:val="130"/>
        <w:numPr>
          <w:ilvl w:val="1"/>
          <w:numId w:val="1"/>
        </w:numPr>
        <w:tabs>
          <w:tab w:val="left" w:pos="1134"/>
        </w:tabs>
        <w:spacing w:before="0" w:beforeAutospacing="0" w:after="0" w:afterAutospacing="0"/>
        <w:ind w:left="0" w:firstLine="567"/>
        <w:jc w:val="both"/>
        <w:textAlignment w:val="baseline"/>
      </w:pPr>
      <w:r>
        <w:rPr>
          <w:color w:val="000000"/>
          <w:sz w:val="22"/>
          <w:szCs w:val="22"/>
        </w:rPr>
        <w:t xml:space="preserve">As </w:t>
      </w:r>
      <w:r>
        <w:rPr>
          <w:rStyle w:val="45"/>
          <w:color w:val="000000" w:themeColor="text1"/>
          <w:sz w:val="22"/>
          <w:szCs w:val="22"/>
        </w:rPr>
        <w:t>impugnações</w:t>
      </w:r>
      <w:r>
        <w:rPr>
          <w:color w:val="000000"/>
          <w:sz w:val="22"/>
          <w:szCs w:val="22"/>
        </w:rPr>
        <w:t xml:space="preserve"> e pedidos de esclarecimentos não suspendem e nem interrompem os prazos previstos no certame licitatório.</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sz w:val="22"/>
          <w:szCs w:val="22"/>
        </w:rPr>
        <w:t>A concessão de efeito suspensivo à impugnação é medida excepcional e deverá ser motivada pelo(a) Pregoeiro, nos autos do processo de licitação.</w:t>
      </w:r>
    </w:p>
    <w:p>
      <w:pPr>
        <w:pStyle w:val="130"/>
        <w:numPr>
          <w:ilvl w:val="1"/>
          <w:numId w:val="1"/>
        </w:numPr>
        <w:tabs>
          <w:tab w:val="left" w:pos="1134"/>
        </w:tabs>
        <w:spacing w:before="0" w:beforeAutospacing="0" w:after="0" w:afterAutospacing="0"/>
        <w:ind w:left="0" w:firstLine="567"/>
        <w:jc w:val="both"/>
        <w:textAlignment w:val="baseline"/>
      </w:pPr>
      <w:r>
        <w:rPr>
          <w:sz w:val="22"/>
          <w:szCs w:val="22"/>
        </w:rPr>
        <w:t xml:space="preserve">A resposta à impugnação ou ao pedido de esclarecimento será divulgado em sítio eletrônico oficial no prazo de até 3 (três) dias úteis, limitado ao último dia útil anterior à data da abertura do certame, e </w:t>
      </w:r>
      <w:r>
        <w:rPr>
          <w:color w:val="000000"/>
          <w:sz w:val="22"/>
          <w:szCs w:val="22"/>
        </w:rPr>
        <w:t xml:space="preserve">será divulgada no sítio eletrônico </w:t>
      </w:r>
      <w:r>
        <w:rPr>
          <w:rStyle w:val="45"/>
          <w:color w:val="000000" w:themeColor="text1"/>
          <w:sz w:val="22"/>
          <w:szCs w:val="22"/>
        </w:rPr>
        <w:t>oficial</w:t>
      </w:r>
      <w:r>
        <w:rPr>
          <w:color w:val="000000"/>
          <w:sz w:val="22"/>
          <w:szCs w:val="22"/>
        </w:rPr>
        <w:t xml:space="preserve"> da </w:t>
      </w:r>
      <w:r>
        <w:rPr>
          <w:rStyle w:val="45"/>
          <w:color w:val="000000"/>
          <w:sz w:val="22"/>
          <w:szCs w:val="22"/>
        </w:rPr>
        <w:t>Câmara Municipal de Primavera do Leste – MT</w:t>
      </w:r>
      <w:r>
        <w:rPr>
          <w:sz w:val="22"/>
          <w:szCs w:val="22"/>
        </w:rPr>
        <w:t xml:space="preserve">, disponível no endereço eletrônico: </w:t>
      </w:r>
      <w:r>
        <w:fldChar w:fldCharType="begin"/>
      </w:r>
      <w:r>
        <w:instrText xml:space="preserve"> HYPERLINK "https://www.primaveradoleste.mt.leg.br/" \h </w:instrText>
      </w:r>
      <w:r>
        <w:fldChar w:fldCharType="separate"/>
      </w:r>
      <w:r>
        <w:rPr>
          <w:rStyle w:val="54"/>
          <w:sz w:val="22"/>
          <w:szCs w:val="22"/>
        </w:rPr>
        <w:t>https://www.primaveradoleste.mt.leg.br/</w:t>
      </w:r>
      <w:r>
        <w:rPr>
          <w:rStyle w:val="54"/>
          <w:sz w:val="22"/>
          <w:szCs w:val="22"/>
        </w:rPr>
        <w:fldChar w:fldCharType="end"/>
      </w:r>
      <w:r>
        <w:rPr>
          <w:sz w:val="22"/>
          <w:szCs w:val="22"/>
        </w:rPr>
        <w:t xml:space="preserve"> </w:t>
      </w:r>
      <w:r>
        <w:rPr>
          <w:color w:val="000000"/>
          <w:sz w:val="22"/>
          <w:szCs w:val="22"/>
        </w:rPr>
        <w:t>(</w:t>
      </w:r>
      <w:r>
        <w:fldChar w:fldCharType="begin"/>
      </w:r>
      <w:r>
        <w:rPr>
          <w:rStyle w:val="54"/>
          <w:sz w:val="22"/>
          <w:szCs w:val="22"/>
        </w:rPr>
        <w:instrText xml:space="preserve"> HYPERLINK "https://www.planalto.gov.br/ccivil_03/_ato2019-2022/2021/lei/l14133.htm" \l "art164"</w:instrText>
      </w:r>
      <w:r>
        <w:rPr>
          <w:rStyle w:val="54"/>
          <w:sz w:val="22"/>
          <w:szCs w:val="22"/>
        </w:rPr>
        <w:fldChar w:fldCharType="separate"/>
      </w:r>
      <w:r>
        <w:rPr>
          <w:rStyle w:val="54"/>
          <w:sz w:val="22"/>
          <w:szCs w:val="22"/>
        </w:rPr>
        <w:t>art. 164, parágrafo único, da Lei Federal nº 14.133, de 2021</w:t>
      </w:r>
      <w:r>
        <w:rPr>
          <w:rStyle w:val="54"/>
          <w:sz w:val="22"/>
          <w:szCs w:val="22"/>
        </w:rPr>
        <w:fldChar w:fldCharType="end"/>
      </w:r>
      <w:r>
        <w:rPr>
          <w:color w:val="000000"/>
          <w:sz w:val="22"/>
          <w:szCs w:val="22"/>
        </w:rPr>
        <w:t>).</w:t>
      </w:r>
    </w:p>
    <w:p>
      <w:pPr>
        <w:pStyle w:val="130"/>
        <w:numPr>
          <w:ilvl w:val="1"/>
          <w:numId w:val="1"/>
        </w:numPr>
        <w:tabs>
          <w:tab w:val="left" w:pos="1134"/>
        </w:tabs>
        <w:spacing w:before="0" w:beforeAutospacing="0" w:after="0" w:afterAutospacing="0"/>
        <w:ind w:left="0" w:firstLine="567"/>
        <w:jc w:val="both"/>
        <w:textAlignment w:val="baseline"/>
      </w:pPr>
      <w:r>
        <w:rPr>
          <w:color w:val="000000"/>
          <w:sz w:val="22"/>
          <w:szCs w:val="22"/>
        </w:rPr>
        <w:t>Acolhida a IMPUGNAÇÃO contra este Edital e seus Anexos, serão procedidas as alterações e adequações necessárias, bem como designada nova data para a realização do certame, exceto quando, inquestionavelmente, a alteração não afetar a formulação das propostas (</w:t>
      </w:r>
      <w:r>
        <w:fldChar w:fldCharType="begin"/>
      </w:r>
      <w:r>
        <w:rPr>
          <w:rStyle w:val="54"/>
          <w:sz w:val="22"/>
          <w:szCs w:val="22"/>
        </w:rPr>
        <w:instrText xml:space="preserve"> HYPERLINK "https://www.planalto.gov.br/ccivil_03/_ato2019-2022/2021/lei/l14133.htm" \l "art55"</w:instrText>
      </w:r>
      <w:r>
        <w:rPr>
          <w:rStyle w:val="54"/>
          <w:sz w:val="22"/>
          <w:szCs w:val="22"/>
        </w:rPr>
        <w:fldChar w:fldCharType="separate"/>
      </w:r>
      <w:r>
        <w:rPr>
          <w:rStyle w:val="54"/>
          <w:sz w:val="22"/>
          <w:szCs w:val="22"/>
        </w:rPr>
        <w:t>art. 55, § 1º, da Lei Federal nº 14.133, de 2021</w:t>
      </w:r>
      <w:r>
        <w:rPr>
          <w:rStyle w:val="54"/>
          <w:sz w:val="22"/>
          <w:szCs w:val="22"/>
        </w:rPr>
        <w:fldChar w:fldCharType="end"/>
      </w:r>
      <w:r>
        <w:rPr>
          <w:color w:val="000000"/>
          <w:sz w:val="22"/>
          <w:szCs w:val="22"/>
        </w:rPr>
        <w:t>).</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rPr>
        <w:t>Decairá do direito de impugnar os termos deste Edital (e seus Anexos), apontando eventuais falhas ou irregularidades que o viciarem, o cidadão que não o fizer nos prazos e condições fixados neste item, hipótese em que tal petição não terá efeito de impugnação e não obstaculizará a regular realização da sessão.</w:t>
      </w:r>
    </w:p>
    <w:p>
      <w:pPr>
        <w:pStyle w:val="130"/>
        <w:numPr>
          <w:ilvl w:val="1"/>
          <w:numId w:val="1"/>
        </w:numPr>
        <w:tabs>
          <w:tab w:val="left" w:pos="1134"/>
        </w:tabs>
        <w:spacing w:before="0" w:beforeAutospacing="0" w:after="0" w:afterAutospacing="0"/>
        <w:ind w:left="0" w:firstLine="567"/>
        <w:jc w:val="both"/>
        <w:textAlignment w:val="baseline"/>
      </w:pPr>
      <w:r>
        <w:rPr>
          <w:color w:val="000000"/>
          <w:sz w:val="22"/>
          <w:szCs w:val="22"/>
        </w:rPr>
        <w:t>Mesmo que a impugnação não seja conhecida, a administração pode anular seus próprios atos, quando eivados de vícios que os tornam ilegais, porque deles não se originam direitos; ou revogá-los, por motivo de conveniência ou oportunidade, respeitados os direitos adquiridos e assegurando a prévia manifestação dos interessados (</w:t>
      </w:r>
      <w:r>
        <w:fldChar w:fldCharType="begin"/>
      </w:r>
      <w:r>
        <w:instrText xml:space="preserve"> HYPERLINK "https://portal.stf.jus.br/jurisprudencia/sumariosumulas.asp?base=30&amp;sumula=1602" \h </w:instrText>
      </w:r>
      <w:r>
        <w:fldChar w:fldCharType="separate"/>
      </w:r>
      <w:r>
        <w:rPr>
          <w:rStyle w:val="54"/>
          <w:sz w:val="22"/>
          <w:szCs w:val="22"/>
        </w:rPr>
        <w:t>Súmula nº 473 do STF</w:t>
      </w:r>
      <w:r>
        <w:rPr>
          <w:rStyle w:val="54"/>
          <w:sz w:val="22"/>
          <w:szCs w:val="22"/>
        </w:rPr>
        <w:fldChar w:fldCharType="end"/>
      </w:r>
      <w:r>
        <w:rPr>
          <w:color w:val="000000"/>
          <w:sz w:val="22"/>
          <w:szCs w:val="22"/>
        </w:rPr>
        <w:t xml:space="preserve"> e </w:t>
      </w:r>
      <w:r>
        <w:fldChar w:fldCharType="begin"/>
      </w:r>
      <w:r>
        <w:rPr>
          <w:rStyle w:val="54"/>
          <w:sz w:val="22"/>
          <w:szCs w:val="22"/>
        </w:rPr>
        <w:instrText xml:space="preserve"> HYPERLINK "https://www.planalto.gov.br/ccivil_03/_ato2019-2022/2021/lei/l14133.htm" \l "art71"</w:instrText>
      </w:r>
      <w:r>
        <w:rPr>
          <w:rStyle w:val="54"/>
          <w:sz w:val="22"/>
          <w:szCs w:val="22"/>
        </w:rPr>
        <w:fldChar w:fldCharType="separate"/>
      </w:r>
      <w:r>
        <w:rPr>
          <w:rStyle w:val="54"/>
          <w:sz w:val="22"/>
          <w:szCs w:val="22"/>
        </w:rPr>
        <w:t>art. 71, § 3º, da Lei Federal nº 14.133, de 2021</w:t>
      </w:r>
      <w:r>
        <w:rPr>
          <w:rStyle w:val="54"/>
          <w:sz w:val="22"/>
          <w:szCs w:val="22"/>
        </w:rPr>
        <w:fldChar w:fldCharType="end"/>
      </w:r>
      <w:r>
        <w:rPr>
          <w:color w:val="000000"/>
          <w:sz w:val="22"/>
          <w:szCs w:val="22"/>
        </w:rPr>
        <w:t>).</w:t>
      </w:r>
    </w:p>
    <w:p>
      <w:pPr>
        <w:pStyle w:val="2"/>
        <w:spacing w:before="360" w:after="0"/>
      </w:pPr>
      <w:bookmarkStart w:id="11" w:name="_CREDENCIAMENTO"/>
      <w:bookmarkEnd w:id="11"/>
      <w:bookmarkStart w:id="12" w:name="_Toc149517436"/>
      <w:r>
        <w:rPr>
          <w:rStyle w:val="45"/>
          <w:sz w:val="22"/>
          <w:szCs w:val="22"/>
        </w:rPr>
        <w:t>CREDENCIAMENTO</w:t>
      </w:r>
      <w:bookmarkEnd w:id="12"/>
      <w:r>
        <w:rPr>
          <w:rStyle w:val="45"/>
          <w:sz w:val="22"/>
          <w:szCs w:val="22"/>
        </w:rPr>
        <w:t> </w:t>
      </w:r>
    </w:p>
    <w:p>
      <w:pPr>
        <w:pStyle w:val="130"/>
        <w:numPr>
          <w:ilvl w:val="1"/>
          <w:numId w:val="1"/>
        </w:numPr>
        <w:tabs>
          <w:tab w:val="left" w:pos="1134"/>
        </w:tabs>
        <w:spacing w:before="120" w:beforeAutospacing="0" w:after="0" w:afterAutospacing="0"/>
        <w:ind w:left="0" w:firstLine="567"/>
        <w:jc w:val="both"/>
        <w:textAlignment w:val="baseline"/>
      </w:pPr>
      <w:r>
        <w:rPr>
          <w:rStyle w:val="45"/>
          <w:color w:val="000000"/>
          <w:sz w:val="22"/>
          <w:szCs w:val="22"/>
        </w:rPr>
        <w:t>As empresas licitantes interessadas deverão proceder ao credenciamento antes da data marcada para início da Sessão Pública via internet.</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sz w:val="22"/>
          <w:szCs w:val="22"/>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pPr>
        <w:pStyle w:val="130"/>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 xml:space="preserve">A participação do licitante no </w:t>
      </w:r>
      <w:r>
        <w:rPr>
          <w:rStyle w:val="45"/>
          <w:color w:val="000000" w:themeColor="text1"/>
          <w:sz w:val="22"/>
          <w:szCs w:val="22"/>
        </w:rPr>
        <w:t>Pregão</w:t>
      </w:r>
      <w:r>
        <w:rPr>
          <w:rStyle w:val="45"/>
          <w:color w:val="000000"/>
          <w:sz w:val="22"/>
          <w:szCs w:val="22"/>
        </w:rPr>
        <w:t xml:space="preserve"> se dará exclusivamente através de </w:t>
      </w:r>
      <w:r>
        <w:rPr>
          <w:rStyle w:val="45"/>
          <w:i/>
          <w:iCs/>
          <w:color w:val="000000"/>
          <w:sz w:val="22"/>
          <w:szCs w:val="22"/>
        </w:rPr>
        <w:t>Home Broker</w:t>
      </w:r>
      <w:r>
        <w:rPr>
          <w:rStyle w:val="45"/>
          <w:color w:val="000000"/>
          <w:sz w:val="22"/>
          <w:szCs w:val="22"/>
        </w:rPr>
        <w:t>, o qual deverá manifestar em campo próprio da plataforma Eletrônica, pleno conhecimento, aceitação e atendimento às exigências de habilitação previstas no Edital.</w:t>
      </w:r>
    </w:p>
    <w:p>
      <w:pPr>
        <w:pStyle w:val="130"/>
        <w:numPr>
          <w:ilvl w:val="1"/>
          <w:numId w:val="1"/>
        </w:numPr>
        <w:tabs>
          <w:tab w:val="left" w:pos="1134"/>
        </w:tabs>
        <w:spacing w:before="0" w:beforeAutospacing="0" w:after="0" w:afterAutospacing="0"/>
        <w:ind w:left="0" w:firstLine="567"/>
        <w:jc w:val="both"/>
        <w:textAlignment w:val="baseline"/>
      </w:pPr>
      <w:r>
        <w:rPr>
          <w:sz w:val="22"/>
          <w:szCs w:val="22"/>
        </w:rPr>
        <w:t xml:space="preserve">O credenciamento dar-se-á pela atribuição de chave de identificação e de senha, pessoal e intransferível, para acesso ao Portal Licitanet, disponível no endereço eletrônico: </w:t>
      </w:r>
      <w:r>
        <w:fldChar w:fldCharType="begin"/>
      </w:r>
      <w:r>
        <w:instrText xml:space="preserve"> HYPERLINK "https://www.licitanet.com.br/" \h </w:instrText>
      </w:r>
      <w:r>
        <w:fldChar w:fldCharType="separate"/>
      </w:r>
      <w:r>
        <w:rPr>
          <w:rStyle w:val="54"/>
          <w:sz w:val="22"/>
          <w:szCs w:val="22"/>
        </w:rPr>
        <w:t>https://www.licitanet.com.br/</w:t>
      </w:r>
      <w:r>
        <w:rPr>
          <w:rStyle w:val="54"/>
          <w:sz w:val="22"/>
          <w:szCs w:val="22"/>
        </w:rPr>
        <w:fldChar w:fldCharType="end"/>
      </w:r>
      <w:r>
        <w:rPr>
          <w:sz w:val="22"/>
          <w:szCs w:val="22"/>
        </w:rPr>
        <w:t xml:space="preserve">, </w:t>
      </w:r>
      <w:r>
        <w:rPr>
          <w:rStyle w:val="45"/>
          <w:color w:val="000000"/>
          <w:sz w:val="22"/>
          <w:szCs w:val="22"/>
        </w:rPr>
        <w:t>e o uso da senha de acesso ao sistema eletrônico é de inteira e exclusiva responsabilidade da licitante, incluindo qualquer transação efetuada diretamente ou por seu representante, não cabendo ao provedor do sistema ou ao promotor da licitação, responsabilidade por eventuais danos decorrentes do uso indevido da senha, ainda que por terceiros.</w:t>
      </w:r>
    </w:p>
    <w:p>
      <w:pPr>
        <w:pStyle w:val="130"/>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 xml:space="preserve">O acesso do licitante ao </w:t>
      </w:r>
      <w:r>
        <w:rPr>
          <w:rStyle w:val="45"/>
          <w:color w:val="000000" w:themeColor="text1"/>
          <w:sz w:val="22"/>
          <w:szCs w:val="22"/>
        </w:rPr>
        <w:t>Pregão</w:t>
      </w:r>
      <w:r>
        <w:rPr>
          <w:rStyle w:val="45"/>
          <w:color w:val="000000"/>
          <w:sz w:val="22"/>
          <w:szCs w:val="22"/>
        </w:rPr>
        <w:t xml:space="preserve">, em sua forma eletrônica, para efeito de encaminhamento de proposta de preço e lances sucessivos de preços, somente se dará mediante prévio cadastramento e adesão ao </w:t>
      </w:r>
      <w:r>
        <w:rPr>
          <w:sz w:val="22"/>
          <w:szCs w:val="22"/>
        </w:rPr>
        <w:t xml:space="preserve">Portal Licitanet, disponível no endereço eletrônico: </w:t>
      </w:r>
      <w:r>
        <w:fldChar w:fldCharType="begin"/>
      </w:r>
      <w:r>
        <w:instrText xml:space="preserve"> HYPERLINK "https://www.licitanet.com.br/" \h </w:instrText>
      </w:r>
      <w:r>
        <w:fldChar w:fldCharType="separate"/>
      </w:r>
      <w:r>
        <w:rPr>
          <w:rStyle w:val="54"/>
          <w:sz w:val="22"/>
          <w:szCs w:val="22"/>
        </w:rPr>
        <w:t>https://www.licitanet.com.br/</w:t>
      </w:r>
      <w:r>
        <w:rPr>
          <w:rStyle w:val="54"/>
          <w:sz w:val="22"/>
          <w:szCs w:val="22"/>
        </w:rPr>
        <w:fldChar w:fldCharType="end"/>
      </w:r>
      <w:r>
        <w:rPr>
          <w:sz w:val="22"/>
          <w:szCs w:val="22"/>
        </w:rPr>
        <w:t>.</w:t>
      </w:r>
    </w:p>
    <w:p>
      <w:pPr>
        <w:pStyle w:val="130"/>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 xml:space="preserve">É de exclusiva responsabilidade do licitante o sigilo da senha, bem como seu uso em qualquer transação efetuada, não cabendo ao </w:t>
      </w:r>
      <w:r>
        <w:rPr>
          <w:sz w:val="22"/>
          <w:szCs w:val="22"/>
        </w:rPr>
        <w:t>Portal Licitanet (</w:t>
      </w:r>
      <w:r>
        <w:fldChar w:fldCharType="begin"/>
      </w:r>
      <w:r>
        <w:instrText xml:space="preserve"> HYPERLINK "https://www.licitanet.com.br/" \h </w:instrText>
      </w:r>
      <w:r>
        <w:fldChar w:fldCharType="separate"/>
      </w:r>
      <w:r>
        <w:rPr>
          <w:rStyle w:val="54"/>
          <w:sz w:val="22"/>
          <w:szCs w:val="22"/>
        </w:rPr>
        <w:t>https://www.licitanet.com.br/</w:t>
      </w:r>
      <w:r>
        <w:rPr>
          <w:rStyle w:val="54"/>
          <w:sz w:val="22"/>
          <w:szCs w:val="22"/>
        </w:rPr>
        <w:fldChar w:fldCharType="end"/>
      </w:r>
      <w:r>
        <w:rPr>
          <w:rStyle w:val="45"/>
          <w:color w:val="000000"/>
          <w:sz w:val="22"/>
          <w:szCs w:val="22"/>
        </w:rPr>
        <w:t xml:space="preserve">) e à </w:t>
      </w:r>
      <w:r>
        <w:rPr>
          <w:rStyle w:val="45"/>
          <w:color w:val="000000" w:themeColor="text1"/>
          <w:sz w:val="22"/>
          <w:szCs w:val="22"/>
        </w:rPr>
        <w:t>Câmara Municipal de Primavera do Leste - MT</w:t>
      </w:r>
      <w:r>
        <w:rPr>
          <w:rStyle w:val="45"/>
          <w:color w:val="000000"/>
          <w:sz w:val="22"/>
          <w:szCs w:val="22"/>
        </w:rPr>
        <w:t xml:space="preserve"> a responsabilidade por eventuais danos decorrentes de uso indevido da senha, ainda que por terceiros.</w:t>
      </w:r>
    </w:p>
    <w:p>
      <w:pPr>
        <w:pStyle w:val="130"/>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 xml:space="preserve">O cadastramento do licitante junto a plataforma onde ocorrerá a disputa no presente </w:t>
      </w:r>
      <w:r>
        <w:rPr>
          <w:rStyle w:val="45"/>
          <w:color w:val="000000" w:themeColor="text1"/>
          <w:sz w:val="22"/>
          <w:szCs w:val="22"/>
        </w:rPr>
        <w:t>Pregão</w:t>
      </w:r>
      <w:r>
        <w:rPr>
          <w:rStyle w:val="45"/>
          <w:color w:val="000000"/>
          <w:sz w:val="22"/>
          <w:szCs w:val="22"/>
        </w:rPr>
        <w:t xml:space="preserve"> implica a responsabilidade legal pelos atos praticados e a presunção de capacidade técnica para realização das transações inerentes ao certame. </w:t>
      </w:r>
    </w:p>
    <w:p>
      <w:pPr>
        <w:pStyle w:val="130"/>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 xml:space="preserve">As microempresas ou as empresas de pequeno porte no momento de seu cadastro deverão manifestar em campo próprio do Sistema Eletrônico o estabelecido na </w:t>
      </w:r>
      <w:r>
        <w:fldChar w:fldCharType="begin"/>
      </w:r>
      <w:r>
        <w:instrText xml:space="preserve"> HYPERLINK "https://www.planalto.gov.br/ccivil_03/leis/lcp/lcp123.htm" \h </w:instrText>
      </w:r>
      <w:r>
        <w:fldChar w:fldCharType="separate"/>
      </w:r>
      <w:r>
        <w:rPr>
          <w:rStyle w:val="54"/>
          <w:sz w:val="22"/>
          <w:szCs w:val="22"/>
        </w:rPr>
        <w:t>Lei Complementar Federal nº 123, de 2006</w:t>
      </w:r>
      <w:r>
        <w:rPr>
          <w:rStyle w:val="54"/>
          <w:sz w:val="22"/>
          <w:szCs w:val="22"/>
        </w:rPr>
        <w:fldChar w:fldCharType="end"/>
      </w:r>
      <w:r>
        <w:rPr>
          <w:rStyle w:val="45"/>
          <w:color w:val="000000"/>
          <w:sz w:val="22"/>
          <w:szCs w:val="22"/>
        </w:rPr>
        <w:t>.</w:t>
      </w:r>
    </w:p>
    <w:p>
      <w:pPr>
        <w:pStyle w:val="130"/>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 xml:space="preserve">A não declaração, no momento do credenciamento, da licitante em referência </w:t>
      </w:r>
      <w:r>
        <w:fldChar w:fldCharType="begin"/>
      </w:r>
      <w:r>
        <w:instrText xml:space="preserve"> HYPERLINK "https://www.planalto.gov.br/ccivil_03/leis/lcp/lcp123.htm" \h </w:instrText>
      </w:r>
      <w:r>
        <w:fldChar w:fldCharType="separate"/>
      </w:r>
      <w:r>
        <w:rPr>
          <w:rStyle w:val="54"/>
          <w:sz w:val="22"/>
          <w:szCs w:val="22"/>
        </w:rPr>
        <w:t>Lei Complementar Federal nº 123, de 2006</w:t>
      </w:r>
      <w:r>
        <w:rPr>
          <w:rStyle w:val="54"/>
          <w:sz w:val="22"/>
          <w:szCs w:val="22"/>
        </w:rPr>
        <w:fldChar w:fldCharType="end"/>
      </w:r>
      <w:r>
        <w:rPr>
          <w:rStyle w:val="45"/>
          <w:color w:val="000000"/>
          <w:sz w:val="22"/>
          <w:szCs w:val="22"/>
        </w:rPr>
        <w:t>, caso se enquadre, implicará o IMPEDIMENTO DA LICITANTE EM BENEFICIAR-SE DA CONDIÇÃO DE MICROEMPRESA (ME) OU EMPRESA DE PEQUENO PORTE (EPP).</w:t>
      </w:r>
    </w:p>
    <w:p>
      <w:pPr>
        <w:pStyle w:val="130"/>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 xml:space="preserve">A declaração falsa dos requisitos do credenciamento sujeitará às sanções previstas neste Edital e nas demais cominações legais do certame, em especial quanto à tipificação prevista no </w:t>
      </w:r>
      <w:r>
        <w:fldChar w:fldCharType="begin"/>
      </w:r>
      <w:r>
        <w:rPr>
          <w:rStyle w:val="54"/>
          <w:sz w:val="22"/>
          <w:szCs w:val="22"/>
        </w:rPr>
        <w:instrText xml:space="preserve"> HYPERLINK "https://www.planalto.gov.br/ccivil_03/_ato2019-2022/2021/lei/l14133.htm" \l "art155"</w:instrText>
      </w:r>
      <w:r>
        <w:rPr>
          <w:rStyle w:val="54"/>
          <w:sz w:val="22"/>
          <w:szCs w:val="22"/>
        </w:rPr>
        <w:fldChar w:fldCharType="separate"/>
      </w:r>
      <w:r>
        <w:rPr>
          <w:rStyle w:val="54"/>
          <w:sz w:val="22"/>
          <w:szCs w:val="22"/>
        </w:rPr>
        <w:t>art. 155, VIII, da Lei Federal nº 14.133, de 2021</w:t>
      </w:r>
      <w:r>
        <w:rPr>
          <w:rStyle w:val="54"/>
          <w:sz w:val="22"/>
          <w:szCs w:val="22"/>
        </w:rPr>
        <w:fldChar w:fldCharType="end"/>
      </w:r>
      <w:r>
        <w:rPr>
          <w:rStyle w:val="45"/>
          <w:color w:val="000000"/>
          <w:sz w:val="22"/>
          <w:szCs w:val="22"/>
        </w:rPr>
        <w:t xml:space="preserve">. </w:t>
      </w:r>
    </w:p>
    <w:p>
      <w:pPr>
        <w:pStyle w:val="130"/>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A perda da senha ou a quebra de sigilo deverá ser comunicada ao provedor do sistema para imediato bloqueio de acesso.</w:t>
      </w:r>
    </w:p>
    <w:p>
      <w:pPr>
        <w:pStyle w:val="2"/>
        <w:spacing w:before="360" w:after="0"/>
      </w:pPr>
      <w:bookmarkStart w:id="13" w:name="_Toc149517437"/>
      <w:r>
        <w:rPr>
          <w:rStyle w:val="45"/>
          <w:sz w:val="22"/>
          <w:szCs w:val="22"/>
        </w:rPr>
        <w:t>CADASTRAMENTO DA PROPOSTA</w:t>
      </w:r>
      <w:bookmarkEnd w:id="13"/>
      <w:r>
        <w:rPr>
          <w:rStyle w:val="45"/>
          <w:sz w:val="22"/>
          <w:szCs w:val="22"/>
        </w:rPr>
        <w:t xml:space="preserve"> </w:t>
      </w:r>
    </w:p>
    <w:p>
      <w:pPr>
        <w:pStyle w:val="130"/>
        <w:numPr>
          <w:ilvl w:val="1"/>
          <w:numId w:val="1"/>
        </w:numPr>
        <w:tabs>
          <w:tab w:val="left" w:pos="1134"/>
        </w:tabs>
        <w:spacing w:before="120" w:beforeAutospacing="0" w:after="0" w:afterAutospacing="0"/>
        <w:ind w:left="0" w:firstLine="567"/>
        <w:jc w:val="both"/>
        <w:textAlignment w:val="baseline"/>
      </w:pPr>
      <w:r>
        <w:rPr>
          <w:rStyle w:val="45"/>
          <w:color w:val="000000"/>
          <w:sz w:val="22"/>
          <w:szCs w:val="22"/>
        </w:rPr>
        <w:t xml:space="preserve">O cadastramento de proposta(s) somente será possível após o cadastramento no </w:t>
      </w:r>
      <w:r>
        <w:rPr>
          <w:sz w:val="22"/>
          <w:szCs w:val="22"/>
        </w:rPr>
        <w:t xml:space="preserve">Portal Licitanet, disponível no endereço eletrônico: </w:t>
      </w:r>
      <w:r>
        <w:fldChar w:fldCharType="begin"/>
      </w:r>
      <w:r>
        <w:instrText xml:space="preserve"> HYPERLINK "https://www.licitanet.com.br/" \h </w:instrText>
      </w:r>
      <w:r>
        <w:fldChar w:fldCharType="separate"/>
      </w:r>
      <w:r>
        <w:rPr>
          <w:rStyle w:val="54"/>
          <w:sz w:val="22"/>
          <w:szCs w:val="22"/>
        </w:rPr>
        <w:t>https://www.licitanet.com.br/</w:t>
      </w:r>
      <w:r>
        <w:rPr>
          <w:rStyle w:val="54"/>
          <w:sz w:val="22"/>
          <w:szCs w:val="22"/>
        </w:rPr>
        <w:fldChar w:fldCharType="end"/>
      </w:r>
      <w:r>
        <w:rPr>
          <w:rStyle w:val="45"/>
          <w:color w:val="000000"/>
          <w:sz w:val="22"/>
          <w:szCs w:val="22"/>
        </w:rPr>
        <w:t>, na forma estabelecida no item “</w:t>
      </w:r>
      <w:r>
        <w:fldChar w:fldCharType="begin"/>
      </w:r>
      <w:r>
        <w:instrText xml:space="preserve"> HYPERLINK \l "_CREDENCIAMENTO" \h </w:instrText>
      </w:r>
      <w:r>
        <w:fldChar w:fldCharType="separate"/>
      </w:r>
      <w:r>
        <w:rPr>
          <w:rStyle w:val="54"/>
          <w:sz w:val="22"/>
          <w:szCs w:val="22"/>
        </w:rPr>
        <w:t>13 - CREDENCIAMENTO</w:t>
      </w:r>
      <w:r>
        <w:rPr>
          <w:rStyle w:val="54"/>
          <w:sz w:val="22"/>
          <w:szCs w:val="22"/>
        </w:rPr>
        <w:fldChar w:fldCharType="end"/>
      </w:r>
      <w:r>
        <w:rPr>
          <w:rStyle w:val="45"/>
          <w:color w:val="000000"/>
          <w:sz w:val="22"/>
          <w:szCs w:val="22"/>
        </w:rPr>
        <w:t>” deste Edital.</w:t>
      </w:r>
    </w:p>
    <w:p>
      <w:pPr>
        <w:pStyle w:val="130"/>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 xml:space="preserve">A proposta de preços com o preço unitário/total para o item único, deverá ser enviada em formulário específico, mediante o uso da chave de acesso e senha privativa da licitante, exclusivamente, por meio do sistema eletrônico, no prazo indicado no item </w:t>
      </w:r>
      <w:r>
        <w:rPr>
          <w:sz w:val="22"/>
          <w:szCs w:val="22"/>
        </w:rPr>
        <w:t>“</w:t>
      </w:r>
      <w:r>
        <w:fldChar w:fldCharType="begin"/>
      </w:r>
      <w:r>
        <w:instrText xml:space="preserve"> HYPERLINK \l "_DATA_E_HORÁRIO" \h </w:instrText>
      </w:r>
      <w:r>
        <w:fldChar w:fldCharType="separate"/>
      </w:r>
      <w:r>
        <w:rPr>
          <w:rStyle w:val="54"/>
          <w:sz w:val="22"/>
          <w:szCs w:val="22"/>
        </w:rPr>
        <w:t>4 - DATA E HORÁRIO</w:t>
      </w:r>
      <w:r>
        <w:rPr>
          <w:rStyle w:val="54"/>
          <w:sz w:val="22"/>
          <w:szCs w:val="22"/>
        </w:rPr>
        <w:fldChar w:fldCharType="end"/>
      </w:r>
      <w:r>
        <w:rPr>
          <w:sz w:val="22"/>
          <w:szCs w:val="22"/>
        </w:rPr>
        <w:t>”</w:t>
      </w:r>
      <w:r>
        <w:rPr>
          <w:rStyle w:val="45"/>
          <w:color w:val="000000"/>
          <w:sz w:val="22"/>
          <w:szCs w:val="22"/>
        </w:rPr>
        <w:t>.</w:t>
      </w:r>
    </w:p>
    <w:p>
      <w:pPr>
        <w:pStyle w:val="130"/>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O registro de proposta eletrônica vinculada ao presente certame implica, independente de expressa declaração, na(o):</w:t>
      </w:r>
    </w:p>
    <w:p>
      <w:pPr>
        <w:pStyle w:val="130"/>
        <w:numPr>
          <w:ilvl w:val="2"/>
          <w:numId w:val="1"/>
        </w:numPr>
        <w:tabs>
          <w:tab w:val="left" w:pos="1134"/>
        </w:tabs>
        <w:spacing w:before="0" w:beforeAutospacing="0" w:after="0" w:afterAutospacing="0"/>
        <w:jc w:val="both"/>
        <w:textAlignment w:val="baseline"/>
      </w:pPr>
      <w:r>
        <w:rPr>
          <w:rStyle w:val="45"/>
          <w:color w:val="000000"/>
          <w:sz w:val="22"/>
          <w:szCs w:val="22"/>
        </w:rPr>
        <w:t>Aceitação de todas as condições estabelecidas neste Edital e seus Anexos;</w:t>
      </w:r>
    </w:p>
    <w:p>
      <w:pPr>
        <w:pStyle w:val="130"/>
        <w:numPr>
          <w:ilvl w:val="2"/>
          <w:numId w:val="1"/>
        </w:numPr>
        <w:tabs>
          <w:tab w:val="left" w:pos="1134"/>
        </w:tabs>
        <w:spacing w:before="0" w:beforeAutospacing="0" w:after="0" w:afterAutospacing="0"/>
        <w:jc w:val="both"/>
        <w:textAlignment w:val="baseline"/>
      </w:pPr>
      <w:r>
        <w:rPr>
          <w:rStyle w:val="45"/>
          <w:color w:val="000000"/>
          <w:sz w:val="22"/>
          <w:szCs w:val="22"/>
        </w:rPr>
        <w:t>garantia do cumprimento da proposta por prazo mínimo de 90 (noventa) dias, contados da data de abertura da sessão pública;</w:t>
      </w:r>
    </w:p>
    <w:p>
      <w:pPr>
        <w:pStyle w:val="130"/>
        <w:numPr>
          <w:ilvl w:val="2"/>
          <w:numId w:val="1"/>
        </w:numPr>
        <w:tabs>
          <w:tab w:val="left" w:pos="1134"/>
        </w:tabs>
        <w:spacing w:before="0" w:beforeAutospacing="0" w:after="0" w:afterAutospacing="0"/>
        <w:jc w:val="both"/>
        <w:textAlignment w:val="baseline"/>
      </w:pPr>
      <w:r>
        <w:rPr>
          <w:rStyle w:val="45"/>
          <w:color w:val="000000"/>
          <w:sz w:val="22"/>
          <w:szCs w:val="22"/>
        </w:rPr>
        <w:t>compromisso do licitante para com o rigoroso cumprimento das especificações técnicas, prazos e condições fixadas no Termo de Referência (Anexo I);</w:t>
      </w:r>
    </w:p>
    <w:p>
      <w:pPr>
        <w:pStyle w:val="130"/>
        <w:numPr>
          <w:ilvl w:val="2"/>
          <w:numId w:val="1"/>
        </w:numPr>
        <w:tabs>
          <w:tab w:val="left" w:pos="1134"/>
        </w:tabs>
        <w:spacing w:before="0" w:beforeAutospacing="0" w:after="0" w:afterAutospacing="0"/>
        <w:jc w:val="both"/>
        <w:textAlignment w:val="baseline"/>
      </w:pPr>
      <w:r>
        <w:rPr>
          <w:rStyle w:val="45"/>
          <w:color w:val="000000"/>
          <w:sz w:val="22"/>
          <w:szCs w:val="22"/>
        </w:rPr>
        <w:t>Impossibilidade de posterior desistência ou declínio de proposta a partir da data da sessão eletrônica inicial, ou de requerer qualquer acréscimo de custos que deveria ter sido incluído na sua proposta;</w:t>
      </w:r>
    </w:p>
    <w:p>
      <w:pPr>
        <w:pStyle w:val="130"/>
        <w:numPr>
          <w:ilvl w:val="2"/>
          <w:numId w:val="1"/>
        </w:numPr>
        <w:tabs>
          <w:tab w:val="left" w:pos="1134"/>
        </w:tabs>
        <w:spacing w:before="0" w:beforeAutospacing="0" w:after="0" w:afterAutospacing="0"/>
        <w:jc w:val="both"/>
        <w:textAlignment w:val="baseline"/>
      </w:pPr>
      <w:r>
        <w:rPr>
          <w:rStyle w:val="45"/>
          <w:color w:val="000000"/>
          <w:sz w:val="22"/>
          <w:szCs w:val="22"/>
        </w:rPr>
        <w:t>Submissão às sanções administrativas previstas neste Edital e seus Anexos;</w:t>
      </w:r>
    </w:p>
    <w:p>
      <w:pPr>
        <w:pStyle w:val="130"/>
        <w:numPr>
          <w:ilvl w:val="2"/>
          <w:numId w:val="1"/>
        </w:numPr>
        <w:tabs>
          <w:tab w:val="left" w:pos="1134"/>
        </w:tabs>
        <w:spacing w:before="0" w:beforeAutospacing="0" w:after="0" w:afterAutospacing="0"/>
        <w:jc w:val="both"/>
        <w:textAlignment w:val="baseline"/>
      </w:pPr>
      <w:r>
        <w:rPr>
          <w:rStyle w:val="45"/>
          <w:color w:val="000000"/>
          <w:sz w:val="22"/>
          <w:szCs w:val="22"/>
        </w:rPr>
        <w:t xml:space="preserve">Obrigação de participar ativamente do certame (ON LINE) até a sua conclusão, encaminhando toda a documentação solicitada e/ou prestando as informações e esclarecimentos solicitados pelo(a) </w:t>
      </w:r>
      <w:r>
        <w:rPr>
          <w:sz w:val="22"/>
          <w:szCs w:val="22"/>
        </w:rPr>
        <w:t>Pregoeiro</w:t>
      </w:r>
      <w:r>
        <w:rPr>
          <w:rStyle w:val="45"/>
          <w:color w:val="000000"/>
          <w:sz w:val="22"/>
          <w:szCs w:val="22"/>
        </w:rPr>
        <w:t>.</w:t>
      </w:r>
    </w:p>
    <w:p>
      <w:pPr>
        <w:pStyle w:val="130"/>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As propostas registradas no “Sistema” NÃO DEVEM CONTER NENHUMA IDENTIFICAÇÃO DA EMPRESA PROPONENTE, visando atender o princípio da impessoalidade e preservar o sigilo das propostas, sob pena de desclassificação.</w:t>
      </w:r>
    </w:p>
    <w:p>
      <w:pPr>
        <w:pStyle w:val="130"/>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Quando do cadastramento da proposta, a licitante poderá parametrizar seu preço final mínimo, obedecida a aplicação do intervalo mínimo de diferença de valores que incidirá tanto em relação aos lances intermediários, quanto em relação ao lance que cobrir a melhor oferta.</w:t>
      </w:r>
    </w:p>
    <w:p>
      <w:pPr>
        <w:pStyle w:val="130"/>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Os lances serão de envio automático pelo sistema, que respeitará o preço final mínimo, bem como o intervalo de que trata o item anterior.</w:t>
      </w:r>
    </w:p>
    <w:p>
      <w:pPr>
        <w:pStyle w:val="130"/>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O preço final mínimo poderá ser alterado pela licitante durante a fase de lances, porém, não poderá ser superior a lance já registrado por ela no sistema.</w:t>
      </w:r>
    </w:p>
    <w:p>
      <w:pPr>
        <w:pStyle w:val="130"/>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As licitantes se responsabilizarão pelas transações efetuadas em seu nome, assumindo como firmes e verdadeiras suas propostas, assim como os lances inseridos, bem como pelo acompanhamento de todas as operações efetuadas no sistema eletrônico durante a sessão pública, arcando com quaisquer ônus decorrentes da perda de negócios diante da inobservância de qualquer mensagem emitida pelo sistema ou de sua desconexão.</w:t>
      </w:r>
    </w:p>
    <w:p>
      <w:pPr>
        <w:pStyle w:val="130"/>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 xml:space="preserve">Caberá à licitante comunicar imediatamente ao provedor do sistema eletrônico utilizado no certame, qualquer acontecimento que possa comprometer o sigilo ou a segurança, para imediato bloqueio de acesso. </w:t>
      </w:r>
    </w:p>
    <w:p>
      <w:pPr>
        <w:pStyle w:val="130"/>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 xml:space="preserve">Até a abertura da sessão, as licitantes poderão retirar ou substituir suas propostas anteriormente apresentadas. </w:t>
      </w:r>
    </w:p>
    <w:p>
      <w:pPr>
        <w:pStyle w:val="130"/>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A proposta deverá obedecer rigorosamente aos termos deste Edital e seus anexos, não sendo aceita oferta de serviços com características e quantidades diferentes das indicadas no Termo de Referência - Anexo I deste Edital.</w:t>
      </w:r>
    </w:p>
    <w:p>
      <w:pPr>
        <w:pStyle w:val="130"/>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Todas as especificações do objeto contidas na proposta vinculam o fornecedor registrado.</w:t>
      </w:r>
    </w:p>
    <w:p>
      <w:pPr>
        <w:pStyle w:val="130"/>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 xml:space="preserve">Independente de declaração expressa, a simples apresentação da proposta implica submissão da licitante a todas as condições estipuladas neste Edital e seus anexos, bem como, na legislação aplicável, inclusive a </w:t>
      </w:r>
      <w:r>
        <w:fldChar w:fldCharType="begin"/>
      </w:r>
      <w:r>
        <w:instrText xml:space="preserve"> HYPERLINK "https://www.planalto.gov.br/ccivil_03/leis/l8078compilado.htm" \h </w:instrText>
      </w:r>
      <w:r>
        <w:fldChar w:fldCharType="separate"/>
      </w:r>
      <w:r>
        <w:rPr>
          <w:rStyle w:val="54"/>
          <w:sz w:val="22"/>
          <w:szCs w:val="22"/>
        </w:rPr>
        <w:t>Lei Federal nº 8.078, de 1990</w:t>
      </w:r>
      <w:r>
        <w:rPr>
          <w:rStyle w:val="54"/>
          <w:sz w:val="22"/>
          <w:szCs w:val="22"/>
        </w:rPr>
        <w:fldChar w:fldCharType="end"/>
      </w:r>
      <w:r>
        <w:rPr>
          <w:rStyle w:val="45"/>
          <w:color w:val="000000"/>
          <w:sz w:val="22"/>
          <w:szCs w:val="22"/>
        </w:rPr>
        <w:t>.</w:t>
      </w:r>
    </w:p>
    <w:p>
      <w:pPr>
        <w:pStyle w:val="130"/>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Nenhuma indenização será devida aos licitantes pela elaboração ou apresentação de propostas relativas a presente licitação.</w:t>
      </w:r>
    </w:p>
    <w:p>
      <w:pPr>
        <w:pStyle w:val="130"/>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Nos valores propostos estarão inclusos todos os custos operacionais, encargos previdenciários, trabalhistas, tributários, comerciais, frete e quaisquer outros que incidam, direta ou indiretamente, no fornecimento dos bens.</w:t>
      </w:r>
    </w:p>
    <w:p>
      <w:pPr>
        <w:pStyle w:val="130"/>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Após a abertura da sessão pública eletrônica do presente certame não cabe, em nenhuma hipótese, desistência de proposta.</w:t>
      </w:r>
    </w:p>
    <w:p>
      <w:pPr>
        <w:pStyle w:val="130"/>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 xml:space="preserve">Nenhuma proposta ou documentação de habilitação poderá ser encaminhada ao(à) </w:t>
      </w:r>
      <w:r>
        <w:rPr>
          <w:sz w:val="22"/>
          <w:szCs w:val="22"/>
        </w:rPr>
        <w:t>Pregoeiro</w:t>
      </w:r>
      <w:r>
        <w:rPr>
          <w:rStyle w:val="45"/>
          <w:color w:val="000000"/>
          <w:sz w:val="22"/>
          <w:szCs w:val="22"/>
        </w:rPr>
        <w:t xml:space="preserve"> por e-mail ou outro meio de comunicação antes do encerramento da etapa competitiva, sob pena de quebra do anonimato da competição e, consequentemente, desclassificação da proposta.</w:t>
      </w:r>
    </w:p>
    <w:p>
      <w:pPr>
        <w:pStyle w:val="2"/>
        <w:spacing w:before="360" w:after="0"/>
      </w:pPr>
      <w:bookmarkStart w:id="14" w:name="_Toc149517438"/>
      <w:r>
        <w:rPr>
          <w:rStyle w:val="45"/>
          <w:sz w:val="22"/>
          <w:szCs w:val="22"/>
        </w:rPr>
        <w:t>CADASTRAMENTO DOS DOCUMENTOS DE HABILITAÇÃO</w:t>
      </w:r>
      <w:bookmarkEnd w:id="14"/>
      <w:r>
        <w:rPr>
          <w:rStyle w:val="45"/>
          <w:sz w:val="22"/>
          <w:szCs w:val="22"/>
        </w:rPr>
        <w:t xml:space="preserve"> </w:t>
      </w:r>
    </w:p>
    <w:p>
      <w:pPr>
        <w:pStyle w:val="130"/>
        <w:numPr>
          <w:ilvl w:val="1"/>
          <w:numId w:val="1"/>
        </w:numPr>
        <w:tabs>
          <w:tab w:val="left" w:pos="1134"/>
        </w:tabs>
        <w:spacing w:before="120" w:beforeAutospacing="0" w:after="0" w:afterAutospacing="0"/>
        <w:ind w:left="0" w:firstLine="567"/>
        <w:jc w:val="both"/>
        <w:textAlignment w:val="baseline"/>
      </w:pPr>
      <w:r>
        <w:rPr>
          <w:rStyle w:val="45"/>
          <w:color w:val="000000"/>
          <w:sz w:val="22"/>
          <w:szCs w:val="22"/>
        </w:rPr>
        <w:t xml:space="preserve">O cadastramento dos documentos de habilitação somente será possível após o cadastramento no </w:t>
      </w:r>
      <w:r>
        <w:rPr>
          <w:sz w:val="22"/>
          <w:szCs w:val="22"/>
        </w:rPr>
        <w:t xml:space="preserve">Portal Licitanet, disponível no endereço eletrônico: </w:t>
      </w:r>
      <w:r>
        <w:fldChar w:fldCharType="begin"/>
      </w:r>
      <w:r>
        <w:instrText xml:space="preserve"> HYPERLINK "https://www.licitanet.com.br/" \h </w:instrText>
      </w:r>
      <w:r>
        <w:fldChar w:fldCharType="separate"/>
      </w:r>
      <w:r>
        <w:rPr>
          <w:rStyle w:val="54"/>
          <w:sz w:val="22"/>
          <w:szCs w:val="22"/>
        </w:rPr>
        <w:t>https://www.licitanet.com.br/</w:t>
      </w:r>
      <w:r>
        <w:rPr>
          <w:rStyle w:val="54"/>
          <w:sz w:val="22"/>
          <w:szCs w:val="22"/>
        </w:rPr>
        <w:fldChar w:fldCharType="end"/>
      </w:r>
      <w:r>
        <w:rPr>
          <w:rStyle w:val="45"/>
          <w:color w:val="000000"/>
          <w:sz w:val="22"/>
          <w:szCs w:val="22"/>
        </w:rPr>
        <w:t>, na forma estabelecida no item “</w:t>
      </w:r>
      <w:r>
        <w:fldChar w:fldCharType="begin"/>
      </w:r>
      <w:r>
        <w:instrText xml:space="preserve"> HYPERLINK \l "_CREDENCIAMENTO" \h </w:instrText>
      </w:r>
      <w:r>
        <w:fldChar w:fldCharType="separate"/>
      </w:r>
      <w:r>
        <w:rPr>
          <w:rStyle w:val="54"/>
          <w:sz w:val="22"/>
          <w:szCs w:val="22"/>
        </w:rPr>
        <w:t>13 – CREDENCIAMENTO</w:t>
      </w:r>
      <w:r>
        <w:rPr>
          <w:rStyle w:val="54"/>
          <w:sz w:val="22"/>
          <w:szCs w:val="22"/>
        </w:rPr>
        <w:fldChar w:fldCharType="end"/>
      </w:r>
      <w:r>
        <w:rPr>
          <w:rStyle w:val="45"/>
          <w:color w:val="000000"/>
          <w:sz w:val="22"/>
          <w:szCs w:val="22"/>
        </w:rPr>
        <w:t>” deste Edital.</w:t>
      </w:r>
    </w:p>
    <w:p>
      <w:pPr>
        <w:pStyle w:val="130"/>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As Microempresas (ME) e as Empresas de Pequeno Porte (EPP) deverão encaminhar a documentação</w:t>
      </w:r>
      <w:r>
        <w:rPr>
          <w:rFonts w:eastAsiaTheme="minorHAnsi"/>
          <w:sz w:val="22"/>
          <w:szCs w:val="22"/>
          <w:lang w:eastAsia="en-US"/>
        </w:rPr>
        <w:t xml:space="preserve"> de habilitação, ainda que haja alguma restrição de regularidade fiscal, social e trabalhista, nos termos do </w:t>
      </w:r>
      <w:r>
        <w:fldChar w:fldCharType="begin"/>
      </w:r>
      <w:r>
        <w:rPr>
          <w:rStyle w:val="54"/>
          <w:rFonts w:eastAsia="Calibri"/>
          <w:sz w:val="22"/>
          <w:szCs w:val="22"/>
          <w:lang w:eastAsia="en-US"/>
        </w:rPr>
        <w:instrText xml:space="preserve"> HYPERLINK "https://www.planalto.gov.br/ccivil_03/leis/lcp/lcp123.htm" \l "art43"</w:instrText>
      </w:r>
      <w:r>
        <w:rPr>
          <w:rStyle w:val="54"/>
          <w:rFonts w:eastAsia="Calibri"/>
          <w:sz w:val="22"/>
          <w:szCs w:val="22"/>
          <w:lang w:eastAsia="en-US"/>
        </w:rPr>
        <w:fldChar w:fldCharType="separate"/>
      </w:r>
      <w:r>
        <w:rPr>
          <w:rStyle w:val="54"/>
          <w:rFonts w:eastAsiaTheme="minorHAnsi"/>
          <w:sz w:val="22"/>
          <w:szCs w:val="22"/>
          <w:lang w:eastAsia="en-US"/>
        </w:rPr>
        <w:t>art. 43, § 1º, da Lei Complementar Federal nº 123, de 2006</w:t>
      </w:r>
      <w:r>
        <w:rPr>
          <w:rStyle w:val="54"/>
          <w:rFonts w:eastAsia="Calibri"/>
          <w:sz w:val="22"/>
          <w:szCs w:val="22"/>
          <w:lang w:eastAsia="en-US"/>
        </w:rPr>
        <w:fldChar w:fldCharType="end"/>
      </w:r>
      <w:r>
        <w:rPr>
          <w:rFonts w:eastAsiaTheme="minorHAnsi"/>
          <w:sz w:val="22"/>
          <w:szCs w:val="22"/>
          <w:lang w:eastAsia="en-US"/>
        </w:rPr>
        <w:t>.</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rFonts w:eastAsiaTheme="minorHAnsi"/>
          <w:sz w:val="22"/>
          <w:szCs w:val="22"/>
          <w:lang w:eastAsia="en-US"/>
        </w:rPr>
        <w:t>Até a abertura da sessão pública, os licitantes poderão acrescentar ou substituir a documentos de habilitação anteriormente inseridos no sistema.</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rFonts w:eastAsiaTheme="minorHAnsi"/>
          <w:sz w:val="22"/>
          <w:szCs w:val="22"/>
          <w:lang w:eastAsia="en-US"/>
        </w:rPr>
        <w:t xml:space="preserve">Os documentos que compõem a proposta e a habilitação do licitante melhor classificado somente serão disponibilizados para avaliação do(a) </w:t>
      </w:r>
      <w:r>
        <w:rPr>
          <w:sz w:val="22"/>
          <w:szCs w:val="22"/>
        </w:rPr>
        <w:t>Pregoeiro</w:t>
      </w:r>
      <w:r>
        <w:rPr>
          <w:rFonts w:eastAsiaTheme="minorHAnsi"/>
          <w:sz w:val="22"/>
          <w:szCs w:val="22"/>
          <w:lang w:eastAsia="en-US"/>
        </w:rPr>
        <w:t>, e para acesso público, após o encerramento do envio de lances.</w:t>
      </w:r>
    </w:p>
    <w:p>
      <w:pPr>
        <w:pStyle w:val="130"/>
        <w:numPr>
          <w:ilvl w:val="0"/>
          <w:numId w:val="0"/>
        </w:numPr>
        <w:tabs>
          <w:tab w:val="left" w:pos="1134"/>
        </w:tabs>
        <w:spacing w:before="0" w:beforeAutospacing="0" w:after="0" w:afterAutospacing="0"/>
        <w:ind w:left="567" w:firstLine="0"/>
        <w:jc w:val="both"/>
        <w:textAlignment w:val="baseline"/>
        <w:rPr>
          <w:rFonts w:ascii="Times New Roman" w:hAnsi="Times New Roman"/>
          <w:sz w:val="22"/>
          <w:szCs w:val="22"/>
        </w:rPr>
      </w:pPr>
    </w:p>
    <w:p>
      <w:pPr>
        <w:pStyle w:val="130"/>
        <w:numPr>
          <w:ilvl w:val="0"/>
          <w:numId w:val="1"/>
        </w:numPr>
        <w:pBdr>
          <w:bottom w:val="single" w:color="000000" w:sz="8" w:space="1"/>
        </w:pBdr>
        <w:shd w:val="clear" w:color="auto" w:fill="BEBEBE" w:themeFill="background1" w:themeFillShade="BF"/>
        <w:spacing w:before="0" w:beforeAutospacing="0" w:after="0" w:afterAutospacing="0"/>
        <w:jc w:val="both"/>
        <w:textAlignment w:val="baseline"/>
      </w:pPr>
      <w:r>
        <w:rPr>
          <w:rStyle w:val="45"/>
          <w:b/>
          <w:bCs/>
          <w:sz w:val="22"/>
          <w:szCs w:val="22"/>
        </w:rPr>
        <w:t>ABERTURA DA SESSÃO </w:t>
      </w:r>
    </w:p>
    <w:p>
      <w:pPr>
        <w:pStyle w:val="130"/>
        <w:numPr>
          <w:ilvl w:val="1"/>
          <w:numId w:val="1"/>
        </w:numPr>
        <w:tabs>
          <w:tab w:val="left" w:pos="1134"/>
        </w:tabs>
        <w:spacing w:before="0" w:beforeAutospacing="0" w:after="0" w:afterAutospacing="0"/>
        <w:ind w:left="0" w:firstLine="567"/>
        <w:jc w:val="both"/>
        <w:textAlignment w:val="baseline"/>
      </w:pPr>
      <w:r>
        <w:rPr>
          <w:color w:val="000000"/>
          <w:sz w:val="22"/>
          <w:szCs w:val="22"/>
        </w:rPr>
        <w:t>Na data e horário previstos no item “</w:t>
      </w:r>
      <w:r>
        <w:fldChar w:fldCharType="begin"/>
      </w:r>
      <w:r>
        <w:instrText xml:space="preserve"> HYPERLINK \l "_DATA_E_HORÁRIO" \h </w:instrText>
      </w:r>
      <w:r>
        <w:fldChar w:fldCharType="separate"/>
      </w:r>
      <w:r>
        <w:rPr>
          <w:rStyle w:val="54"/>
          <w:sz w:val="22"/>
          <w:szCs w:val="22"/>
        </w:rPr>
        <w:t>4 - DATA E HORÁRIO</w:t>
      </w:r>
      <w:r>
        <w:rPr>
          <w:rStyle w:val="54"/>
          <w:sz w:val="22"/>
          <w:szCs w:val="22"/>
        </w:rPr>
        <w:fldChar w:fldCharType="end"/>
      </w:r>
      <w:r>
        <w:rPr>
          <w:color w:val="000000"/>
          <w:sz w:val="22"/>
          <w:szCs w:val="22"/>
        </w:rPr>
        <w:t>” deste Edital, a sessão pública na internet será aberta automaticamente pelo sistema.</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rPr>
        <w:t>A verificação da conformidade da proposta será feita exclusivamente na fase de julgamento das propostas e em relação à proposta mais bem classificada.</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rPr>
        <w:t xml:space="preserve">O sistema disponibilizará campo próprio para troca de mensagens entre o(a) </w:t>
      </w:r>
      <w:r>
        <w:rPr>
          <w:sz w:val="22"/>
          <w:szCs w:val="22"/>
        </w:rPr>
        <w:t>Pregoeiro</w:t>
      </w:r>
      <w:r>
        <w:rPr>
          <w:color w:val="000000"/>
          <w:sz w:val="22"/>
          <w:szCs w:val="22"/>
        </w:rPr>
        <w:t xml:space="preserve"> e os Licitantes, vedada outra forma de comunicação.</w:t>
      </w:r>
    </w:p>
    <w:p>
      <w:pPr>
        <w:pStyle w:val="2"/>
        <w:spacing w:before="360" w:after="0"/>
      </w:pPr>
      <w:bookmarkStart w:id="15" w:name="_Toc149517439"/>
      <w:r>
        <w:rPr>
          <w:rStyle w:val="45"/>
          <w:sz w:val="22"/>
          <w:szCs w:val="22"/>
        </w:rPr>
        <w:t>FORMULAÇÃO DE LANCES</w:t>
      </w:r>
      <w:bookmarkEnd w:id="15"/>
      <w:r>
        <w:rPr>
          <w:rStyle w:val="45"/>
          <w:sz w:val="22"/>
          <w:szCs w:val="22"/>
        </w:rPr>
        <w:t> </w:t>
      </w:r>
    </w:p>
    <w:p>
      <w:pPr>
        <w:pStyle w:val="130"/>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rPr>
          <w:color w:val="000000"/>
          <w:sz w:val="22"/>
          <w:szCs w:val="22"/>
        </w:rPr>
        <w:t>Aberta a etapa competitiva - sessão pública - as licitantes deverão encaminhar lances exclusivamente por meio do sistema eletrônico, sendo a licitante imediatamente informada, </w:t>
      </w:r>
      <w:r>
        <w:rPr>
          <w:i/>
          <w:iCs/>
          <w:color w:val="000000"/>
          <w:sz w:val="22"/>
          <w:szCs w:val="22"/>
        </w:rPr>
        <w:t>on-line</w:t>
      </w:r>
      <w:r>
        <w:rPr>
          <w:color w:val="000000"/>
          <w:sz w:val="22"/>
          <w:szCs w:val="22"/>
        </w:rPr>
        <w:t>, do seu recebimento e do valor consignado no registro.</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rPr>
        <w:t>Os lances serão ofertados pelo valor unitário/total do item/lote único. </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rPr>
        <w:t xml:space="preserve">As licitantes poderão oferecer lances sucessivos, observados o horário fixado para a abertura da sessão pública e as regras estabelecidas neste Edital. </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rPr>
        <w:t>Caso o licitante não apresente lances, concorrerá com o valor de sua proposta.</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rPr>
        <w:t>Durante o transcurso da sessão pública, os licitantes serão informados, em tempo real, do valor do menor lance registrado, vedada a identificação do licitante.</w:t>
      </w:r>
    </w:p>
    <w:p>
      <w:pPr>
        <w:pStyle w:val="130"/>
        <w:numPr>
          <w:ilvl w:val="1"/>
          <w:numId w:val="1"/>
        </w:numPr>
        <w:tabs>
          <w:tab w:val="left" w:pos="1134"/>
        </w:tabs>
        <w:spacing w:before="0" w:beforeAutospacing="0" w:after="0" w:afterAutospacing="0"/>
        <w:ind w:left="0" w:firstLine="567"/>
        <w:jc w:val="both"/>
        <w:textAlignment w:val="baseline"/>
      </w:pPr>
      <w:r>
        <w:rPr>
          <w:color w:val="000000"/>
          <w:sz w:val="22"/>
          <w:szCs w:val="22"/>
        </w:rPr>
        <w:t>A licitante somente poderá oferecer lance inferior ao último por ela ofertado e registrado pelo sistema eletrônico; porém, o lance poderá ser intermediário, ou seja, igual ou superior à melhor oferta registrada (</w:t>
      </w:r>
      <w:r>
        <w:fldChar w:fldCharType="begin"/>
      </w:r>
      <w:r>
        <w:rPr>
          <w:rStyle w:val="54"/>
          <w:sz w:val="22"/>
          <w:szCs w:val="22"/>
        </w:rPr>
        <w:instrText xml:space="preserve"> HYPERLINK "https://www.planalto.gov.br/ccivil_03/_ato2019-2022/2021/lei/l14133.htm" \l "art56"</w:instrText>
      </w:r>
      <w:r>
        <w:rPr>
          <w:rStyle w:val="54"/>
          <w:sz w:val="22"/>
          <w:szCs w:val="22"/>
        </w:rPr>
        <w:fldChar w:fldCharType="separate"/>
      </w:r>
      <w:r>
        <w:rPr>
          <w:rStyle w:val="54"/>
          <w:sz w:val="22"/>
          <w:szCs w:val="22"/>
        </w:rPr>
        <w:t>art. 56, §3º, II, da Lei Federal nº 14.133, de 2021</w:t>
      </w:r>
      <w:r>
        <w:rPr>
          <w:rStyle w:val="54"/>
          <w:sz w:val="22"/>
          <w:szCs w:val="22"/>
        </w:rPr>
        <w:fldChar w:fldCharType="end"/>
      </w:r>
      <w:r>
        <w:rPr>
          <w:color w:val="000000"/>
          <w:sz w:val="22"/>
          <w:szCs w:val="22"/>
        </w:rPr>
        <w:t>).</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rPr>
        <w:t>Não serão aceitos dois ou mais lances de mesmo valor, prevalecendo aquele que for</w:t>
      </w:r>
      <w:r>
        <w:rPr>
          <w:color w:val="000000"/>
          <w:sz w:val="22"/>
          <w:szCs w:val="22"/>
        </w:rPr>
        <w:br w:type="textWrapping"/>
      </w:r>
      <w:r>
        <w:rPr>
          <w:color w:val="000000"/>
          <w:sz w:val="22"/>
          <w:szCs w:val="22"/>
        </w:rPr>
        <w:t>recebido e registrado em primeiro lugar.</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rPr>
        <w:t>Caso seja ofertado lance inconsistente ou inexequível, a licitante poderá, uma única vez, excluir seu último lance ofertado, no interval</w:t>
      </w:r>
      <w:r>
        <w:rPr>
          <w:color w:val="000000"/>
          <w:sz w:val="22"/>
          <w:szCs w:val="22"/>
          <w:shd w:val="clear" w:fill="auto"/>
        </w:rPr>
        <w:t>o de 15 (quinze) segundos após o registro no sistem</w:t>
      </w:r>
      <w:r>
        <w:rPr>
          <w:color w:val="000000"/>
          <w:sz w:val="22"/>
          <w:szCs w:val="22"/>
        </w:rPr>
        <w:t>a.</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rPr>
        <w:t xml:space="preserve">Como medida excepcional, o(a) </w:t>
      </w:r>
      <w:r>
        <w:rPr>
          <w:sz w:val="22"/>
          <w:szCs w:val="22"/>
        </w:rPr>
        <w:t>Pregoeiro</w:t>
      </w:r>
      <w:r>
        <w:rPr>
          <w:color w:val="000000"/>
          <w:sz w:val="22"/>
          <w:szCs w:val="22"/>
        </w:rPr>
        <w:t xml:space="preserve"> poderá excluir a proposta ou lance que possa comprometer, restringir ou frustrar o caráter competitivo do processo licitatório, mediante comunicação eletrônica automática via sistema, que implicará a retirada da licitante do certame, sem prejuízo do direito de defesa.</w:t>
      </w:r>
    </w:p>
    <w:p>
      <w:pPr>
        <w:pStyle w:val="130"/>
        <w:numPr>
          <w:ilvl w:val="1"/>
          <w:numId w:val="1"/>
        </w:numPr>
        <w:tabs>
          <w:tab w:val="left" w:pos="1134"/>
        </w:tabs>
        <w:spacing w:before="0" w:beforeAutospacing="0" w:after="0" w:afterAutospacing="0"/>
        <w:ind w:left="0" w:firstLine="567"/>
        <w:jc w:val="both"/>
        <w:textAlignment w:val="baseline"/>
      </w:pPr>
      <w:r>
        <w:rPr>
          <w:b/>
          <w:bCs/>
          <w:color w:val="000000"/>
          <w:sz w:val="22"/>
          <w:szCs w:val="22"/>
        </w:rPr>
        <w:t xml:space="preserve">Será adotado para o envio de lances neste </w:t>
      </w:r>
      <w:r>
        <w:rPr>
          <w:rStyle w:val="45"/>
          <w:b/>
          <w:bCs/>
          <w:color w:val="000000" w:themeColor="text1"/>
          <w:sz w:val="22"/>
          <w:szCs w:val="22"/>
        </w:rPr>
        <w:t>Pregão</w:t>
      </w:r>
      <w:r>
        <w:rPr>
          <w:b/>
          <w:bCs/>
          <w:color w:val="000000"/>
          <w:sz w:val="22"/>
          <w:szCs w:val="22"/>
        </w:rPr>
        <w:t xml:space="preserve"> o modo de disputa “aberto”, em que as licitantes apresentarão lances públicos e sucessivos, </w:t>
      </w:r>
      <w:r>
        <w:rPr>
          <w:b/>
          <w:bCs/>
          <w:color w:val="000000"/>
          <w:sz w:val="22"/>
          <w:szCs w:val="22"/>
          <w:lang w:val="pt-BR"/>
        </w:rPr>
        <w:t xml:space="preserve">inclusive o </w:t>
      </w:r>
      <w:r>
        <w:rPr>
          <w:b/>
          <w:bCs/>
          <w:color w:val="000000"/>
          <w:sz w:val="22"/>
          <w:szCs w:val="22"/>
        </w:rPr>
        <w:t>lance final.</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shd w:val="clear" w:fill="auto"/>
          <w:lang w:val="pt-BR"/>
        </w:rPr>
        <w:t xml:space="preserve"> O Item aberto para lance, antes de ser encerrado, entrará no tempo de iminência, de 01 (um) a 60 (sessenta) minutos, determinado pelo Pregoeiro(a). Decorrido o tempo de iminência, o item entrará no modo de disputa aberto, o qual terá a duração mínima de 10 (dez) minutos</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lang w:val="pt-BR"/>
        </w:rPr>
        <w:t>O tempo de que trata o item 15.11, será prorrogado automaticamente pelo sistema quando houver lance ofertado nos 02 (dois) últimos minutos do período de duração</w:t>
      </w:r>
      <w:r>
        <w:rPr>
          <w:color w:val="000000"/>
          <w:sz w:val="22"/>
          <w:szCs w:val="22"/>
        </w:rPr>
        <w:t>.</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lang w:val="pt-BR"/>
        </w:rPr>
        <w:t>O período de duração da disputa será prorrogado automaticamente por mais 02 (dois) minutos, sempre que houver lance enviado no período de prorrogação de que trata o item 15.12</w:t>
      </w:r>
      <w:r>
        <w:rPr>
          <w:color w:val="000000"/>
          <w:sz w:val="22"/>
          <w:szCs w:val="22"/>
        </w:rPr>
        <w:t xml:space="preserve">. </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lang w:val="pt-BR"/>
        </w:rPr>
        <w:t>Na hipótese de não haver novos lances nos termos do subitem 15.12. a disputa será encerrada automaticamente.</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sz w:val="22"/>
          <w:szCs w:val="22"/>
        </w:rPr>
        <w:t>Os lances apresentados e levados em consideração para efeito de julgamento serão de exclusiva e total responsabilidade de cada licitante, não lhe cabendo o direito de pleitear qualquer alteração posterior.</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sz w:val="22"/>
          <w:szCs w:val="22"/>
        </w:rPr>
        <w:t>Durante a etapa de disputa de lances, o Pregoeiro poderá EXCLUIR qualquer lance cujo valor seja considerado supostamente irrisório ou inexequível, ou até que entenda ter sido lançado erroneamente, cabendo ao sistema o encaminhamento de mensagem automática ao licitante, o qual terá a faculdade de repetir tal lance, caso confirme a exatidão do lance registrado.</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rPr>
        <w:t>Após o término dos prazos estabelecidos nos itens anteriores, o sistema ordenará os lances segundo a ordem crescente de valores.</w:t>
      </w:r>
    </w:p>
    <w:p>
      <w:pPr>
        <w:pStyle w:val="130"/>
        <w:numPr>
          <w:ilvl w:val="1"/>
          <w:numId w:val="1"/>
        </w:numPr>
        <w:tabs>
          <w:tab w:val="left" w:pos="1134"/>
        </w:tabs>
        <w:spacing w:before="0" w:beforeAutospacing="0" w:after="0" w:afterAutospacing="0"/>
        <w:ind w:left="0" w:firstLine="567"/>
        <w:jc w:val="both"/>
        <w:textAlignment w:val="baseline"/>
      </w:pPr>
      <w:r>
        <w:rPr>
          <w:color w:val="000000"/>
          <w:sz w:val="22"/>
          <w:szCs w:val="22"/>
        </w:rPr>
        <w:t xml:space="preserve">As licitantes serão informadas, em tempo real, do valor do melhor lance registrado, durante a sessão pública do </w:t>
      </w:r>
      <w:r>
        <w:rPr>
          <w:rStyle w:val="45"/>
          <w:color w:val="000000" w:themeColor="text1"/>
          <w:sz w:val="22"/>
          <w:szCs w:val="22"/>
        </w:rPr>
        <w:t>Pregão</w:t>
      </w:r>
      <w:r>
        <w:rPr>
          <w:color w:val="000000"/>
          <w:sz w:val="22"/>
          <w:szCs w:val="22"/>
        </w:rPr>
        <w:t>, sendo vedada a identificação do seu detentor.</w:t>
      </w:r>
    </w:p>
    <w:p>
      <w:pPr>
        <w:pStyle w:val="2"/>
        <w:spacing w:before="360" w:after="0"/>
      </w:pPr>
      <w:bookmarkStart w:id="16" w:name="_Toc149517440"/>
      <w:r>
        <w:rPr>
          <w:rStyle w:val="45"/>
          <w:sz w:val="22"/>
          <w:szCs w:val="22"/>
        </w:rPr>
        <w:t>DESCONEXÃO DO</w:t>
      </w:r>
      <w:bookmarkEnd w:id="16"/>
      <w:r>
        <w:rPr>
          <w:rStyle w:val="45"/>
          <w:sz w:val="22"/>
          <w:szCs w:val="22"/>
        </w:rPr>
        <w:t xml:space="preserve"> PREGOEIRO</w:t>
      </w:r>
    </w:p>
    <w:p>
      <w:pPr>
        <w:pStyle w:val="130"/>
        <w:numPr>
          <w:ilvl w:val="1"/>
          <w:numId w:val="1"/>
        </w:numPr>
        <w:tabs>
          <w:tab w:val="left" w:pos="1134"/>
        </w:tabs>
        <w:spacing w:before="120" w:beforeAutospacing="0" w:after="0" w:afterAutospacing="0"/>
        <w:ind w:left="0" w:firstLine="567"/>
        <w:jc w:val="both"/>
        <w:textAlignment w:val="baseline"/>
      </w:pPr>
      <w:r>
        <w:rPr>
          <w:color w:val="000000"/>
          <w:sz w:val="22"/>
          <w:szCs w:val="22"/>
        </w:rPr>
        <w:t xml:space="preserve">No caso de desconexão do </w:t>
      </w:r>
      <w:r>
        <w:rPr>
          <w:sz w:val="22"/>
          <w:szCs w:val="22"/>
        </w:rPr>
        <w:t>Pregoeiro</w:t>
      </w:r>
      <w:r>
        <w:rPr>
          <w:color w:val="000000"/>
          <w:sz w:val="22"/>
          <w:szCs w:val="22"/>
        </w:rPr>
        <w:t xml:space="preserve">, no decorrer da etapa competitiva do </w:t>
      </w:r>
      <w:r>
        <w:rPr>
          <w:rStyle w:val="45"/>
          <w:color w:val="000000" w:themeColor="text1"/>
          <w:sz w:val="22"/>
          <w:szCs w:val="22"/>
        </w:rPr>
        <w:t>Pregão</w:t>
      </w:r>
      <w:r>
        <w:rPr>
          <w:color w:val="000000"/>
          <w:sz w:val="22"/>
          <w:szCs w:val="22"/>
        </w:rPr>
        <w:t xml:space="preserve">, o sistema poderá permanecer acessível às licitantes para a recepção dos lances, retornando o </w:t>
      </w:r>
      <w:r>
        <w:rPr>
          <w:sz w:val="22"/>
          <w:szCs w:val="22"/>
        </w:rPr>
        <w:t>Pregoeiro</w:t>
      </w:r>
      <w:r>
        <w:rPr>
          <w:color w:val="000000"/>
          <w:sz w:val="22"/>
          <w:szCs w:val="22"/>
        </w:rPr>
        <w:t>, quando possível, sua atuação no certame, sem prejuízo dos atos realizados.</w:t>
      </w:r>
    </w:p>
    <w:p>
      <w:pPr>
        <w:pStyle w:val="130"/>
        <w:numPr>
          <w:ilvl w:val="1"/>
          <w:numId w:val="1"/>
        </w:numPr>
        <w:tabs>
          <w:tab w:val="left" w:pos="1134"/>
        </w:tabs>
        <w:spacing w:before="0" w:beforeAutospacing="0" w:after="0" w:afterAutospacing="0"/>
        <w:ind w:left="0" w:firstLine="567"/>
        <w:jc w:val="both"/>
        <w:textAlignment w:val="baseline"/>
      </w:pPr>
      <w:r>
        <w:rPr>
          <w:color w:val="000000"/>
          <w:sz w:val="22"/>
          <w:szCs w:val="22"/>
        </w:rPr>
        <w:t xml:space="preserve">Quando a desconexão do </w:t>
      </w:r>
      <w:r>
        <w:rPr>
          <w:sz w:val="22"/>
          <w:szCs w:val="22"/>
        </w:rPr>
        <w:t>Pregoeiro</w:t>
      </w:r>
      <w:r>
        <w:rPr>
          <w:color w:val="000000"/>
          <w:sz w:val="22"/>
          <w:szCs w:val="22"/>
        </w:rPr>
        <w:t xml:space="preserve"> persistir </w:t>
      </w:r>
      <w:r>
        <w:rPr>
          <w:sz w:val="22"/>
          <w:szCs w:val="22"/>
        </w:rPr>
        <w:t>por</w:t>
      </w:r>
      <w:r>
        <w:rPr>
          <w:color w:val="000000"/>
          <w:sz w:val="22"/>
          <w:szCs w:val="22"/>
        </w:rPr>
        <w:t xml:space="preserve"> tempo superior a 10 (dez) minutos, a sessão do </w:t>
      </w:r>
      <w:r>
        <w:rPr>
          <w:rStyle w:val="45"/>
          <w:color w:val="000000" w:themeColor="text1"/>
          <w:sz w:val="22"/>
          <w:szCs w:val="22"/>
        </w:rPr>
        <w:t>Pregão</w:t>
      </w:r>
      <w:r>
        <w:rPr>
          <w:color w:val="000000"/>
          <w:sz w:val="22"/>
          <w:szCs w:val="22"/>
        </w:rPr>
        <w:t xml:space="preserve"> será suspensa e reiniciada somente após a comunicação expressa aos participantes, com no mínimo, 12 (doze) horas de antecedência, no </w:t>
      </w:r>
      <w:r>
        <w:rPr>
          <w:sz w:val="22"/>
          <w:szCs w:val="22"/>
        </w:rPr>
        <w:t xml:space="preserve">Portal Licitanet, disponível no endereço eletrônico: </w:t>
      </w:r>
      <w:r>
        <w:fldChar w:fldCharType="begin"/>
      </w:r>
      <w:r>
        <w:instrText xml:space="preserve"> HYPERLINK "https://www.licitanet.com.br/" \h </w:instrText>
      </w:r>
      <w:r>
        <w:fldChar w:fldCharType="separate"/>
      </w:r>
      <w:r>
        <w:rPr>
          <w:rStyle w:val="54"/>
          <w:sz w:val="22"/>
          <w:szCs w:val="22"/>
        </w:rPr>
        <w:t>https://www.licitanet.com.br/</w:t>
      </w:r>
      <w:r>
        <w:rPr>
          <w:rStyle w:val="54"/>
          <w:sz w:val="22"/>
          <w:szCs w:val="22"/>
        </w:rPr>
        <w:fldChar w:fldCharType="end"/>
      </w:r>
      <w:r>
        <w:rPr>
          <w:color w:val="000000"/>
          <w:sz w:val="22"/>
          <w:szCs w:val="22"/>
        </w:rPr>
        <w:t>.</w:t>
      </w:r>
    </w:p>
    <w:p>
      <w:pPr>
        <w:pStyle w:val="2"/>
        <w:spacing w:before="360" w:after="0"/>
      </w:pPr>
      <w:bookmarkStart w:id="17" w:name="_Toc149517441"/>
      <w:r>
        <w:rPr>
          <w:rStyle w:val="45"/>
          <w:sz w:val="22"/>
          <w:szCs w:val="22"/>
        </w:rPr>
        <w:t>BENEFÍCIOS ÀS MICROEMPRESAS</w:t>
      </w:r>
      <w:r>
        <w:rPr>
          <w:rStyle w:val="45"/>
          <w:sz w:val="22"/>
          <w:szCs w:val="22"/>
          <w:lang w:val="pt-BR"/>
        </w:rPr>
        <w:t>,</w:t>
      </w:r>
      <w:r>
        <w:rPr>
          <w:rStyle w:val="45"/>
          <w:sz w:val="22"/>
          <w:szCs w:val="22"/>
        </w:rPr>
        <w:t xml:space="preserve"> EMPRESAS DE PEQUENO PORTE</w:t>
      </w:r>
      <w:bookmarkEnd w:id="17"/>
      <w:r>
        <w:rPr>
          <w:rStyle w:val="45"/>
          <w:sz w:val="22"/>
          <w:szCs w:val="22"/>
          <w:lang w:val="pt-BR"/>
        </w:rPr>
        <w:t xml:space="preserve"> E REGIONAIS</w:t>
      </w:r>
    </w:p>
    <w:p>
      <w:pPr>
        <w:pStyle w:val="130"/>
        <w:numPr>
          <w:ilvl w:val="1"/>
          <w:numId w:val="1"/>
        </w:numPr>
        <w:tabs>
          <w:tab w:val="left" w:pos="1134"/>
        </w:tabs>
        <w:spacing w:before="120" w:beforeAutospacing="0" w:after="0" w:afterAutospacing="0"/>
        <w:ind w:left="0" w:firstLine="567"/>
        <w:jc w:val="both"/>
        <w:textAlignment w:val="baseline"/>
      </w:pPr>
      <w:r>
        <w:rPr>
          <w:color w:val="000000"/>
          <w:sz w:val="22"/>
          <w:szCs w:val="22"/>
        </w:rPr>
        <w:t xml:space="preserve">A obtenção de benefícios previstos dos </w:t>
      </w:r>
      <w:r>
        <w:fldChar w:fldCharType="begin"/>
      </w:r>
      <w:r>
        <w:rPr>
          <w:rStyle w:val="54"/>
          <w:sz w:val="22"/>
          <w:szCs w:val="22"/>
        </w:rPr>
        <w:instrText xml:space="preserve"> HYPERLINK "https://www.planalto.gov.br/ccivil_03/leis/lcp/lcp123.htm" \l "art42"</w:instrText>
      </w:r>
      <w:r>
        <w:rPr>
          <w:rStyle w:val="54"/>
          <w:sz w:val="22"/>
          <w:szCs w:val="22"/>
        </w:rPr>
        <w:fldChar w:fldCharType="separate"/>
      </w:r>
      <w:r>
        <w:rPr>
          <w:rStyle w:val="54"/>
          <w:sz w:val="22"/>
          <w:szCs w:val="22"/>
        </w:rPr>
        <w:t>artigos 42 a 49 da Lei Complementar Federal nº 123, de 2006</w:t>
      </w:r>
      <w:r>
        <w:rPr>
          <w:rStyle w:val="54"/>
          <w:sz w:val="22"/>
          <w:szCs w:val="22"/>
        </w:rPr>
        <w:fldChar w:fldCharType="end"/>
      </w:r>
      <w:r>
        <w:rPr>
          <w:color w:val="000000"/>
          <w:sz w:val="22"/>
          <w:szCs w:val="22"/>
        </w:rPr>
        <w:t xml:space="preserve"> fica limitada às microempresas (ME) e às empresas de pequeno porte (EPP)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para fins de habilitação.</w:t>
      </w:r>
    </w:p>
    <w:p>
      <w:pPr>
        <w:pStyle w:val="130"/>
        <w:numPr>
          <w:ilvl w:val="1"/>
          <w:numId w:val="1"/>
        </w:numPr>
        <w:tabs>
          <w:tab w:val="left" w:pos="1134"/>
        </w:tabs>
        <w:spacing w:before="0" w:beforeAutospacing="0" w:after="0" w:afterAutospacing="0"/>
        <w:ind w:left="0" w:firstLine="567"/>
        <w:jc w:val="both"/>
        <w:textAlignment w:val="baseline"/>
      </w:pPr>
      <w:r>
        <w:rPr>
          <w:sz w:val="22"/>
          <w:szCs w:val="22"/>
        </w:rPr>
        <w:t xml:space="preserve">O licitante enquadrado como microempresa ou empresa de pequeno porte deverá declarar, ainda, em campo próprio do sistema eletrônico, que cumpre os requisitos estabelecidos no </w:t>
      </w:r>
      <w:r>
        <w:fldChar w:fldCharType="begin"/>
      </w:r>
      <w:r>
        <w:rPr>
          <w:rStyle w:val="54"/>
          <w:sz w:val="22"/>
          <w:szCs w:val="22"/>
        </w:rPr>
        <w:instrText xml:space="preserve"> HYPERLINK "https://www.planalto.gov.br/ccivil_03/leis/lcp/lcp123.htm" \l "art3"</w:instrText>
      </w:r>
      <w:r>
        <w:rPr>
          <w:rStyle w:val="54"/>
          <w:sz w:val="22"/>
          <w:szCs w:val="22"/>
        </w:rPr>
        <w:fldChar w:fldCharType="separate"/>
      </w:r>
      <w:r>
        <w:rPr>
          <w:rStyle w:val="54"/>
          <w:sz w:val="22"/>
          <w:szCs w:val="22"/>
        </w:rPr>
        <w:t>artigo 3° da Lei Complementar Federal nº 123, de 2006</w:t>
      </w:r>
      <w:r>
        <w:rPr>
          <w:rStyle w:val="54"/>
          <w:sz w:val="22"/>
          <w:szCs w:val="22"/>
        </w:rPr>
        <w:fldChar w:fldCharType="end"/>
      </w:r>
      <w:r>
        <w:rPr>
          <w:sz w:val="22"/>
          <w:szCs w:val="22"/>
        </w:rPr>
        <w:t xml:space="preserve">, estando apto a usufruir do tratamento favorecido estabelecido nos </w:t>
      </w:r>
      <w:r>
        <w:fldChar w:fldCharType="begin"/>
      </w:r>
      <w:r>
        <w:rPr>
          <w:rStyle w:val="54"/>
          <w:sz w:val="22"/>
          <w:szCs w:val="22"/>
        </w:rPr>
        <w:instrText xml:space="preserve"> HYPERLINK "https://www.planalto.gov.br/ccivil_03/leis/lcp/lcp123.htm" \l "art42"</w:instrText>
      </w:r>
      <w:r>
        <w:rPr>
          <w:rStyle w:val="54"/>
          <w:sz w:val="22"/>
          <w:szCs w:val="22"/>
        </w:rPr>
        <w:fldChar w:fldCharType="separate"/>
      </w:r>
      <w:r>
        <w:rPr>
          <w:rStyle w:val="54"/>
          <w:sz w:val="22"/>
          <w:szCs w:val="22"/>
        </w:rPr>
        <w:t>arts. 42 a 49 da Lei Complementar Federal nº 123, de 2006</w:t>
      </w:r>
      <w:r>
        <w:rPr>
          <w:rStyle w:val="54"/>
          <w:sz w:val="22"/>
          <w:szCs w:val="22"/>
        </w:rPr>
        <w:fldChar w:fldCharType="end"/>
      </w:r>
      <w:r>
        <w:rPr>
          <w:sz w:val="22"/>
          <w:szCs w:val="22"/>
        </w:rPr>
        <w:t xml:space="preserve">, observado o disposto nos </w:t>
      </w:r>
      <w:r>
        <w:fldChar w:fldCharType="begin"/>
      </w:r>
      <w:r>
        <w:rPr>
          <w:rStyle w:val="54"/>
          <w:sz w:val="22"/>
          <w:szCs w:val="22"/>
        </w:rPr>
        <w:instrText xml:space="preserve"> HYPERLINK "http://www.planalto.gov.br/ccivil_03/_ato2019-2022/2021/lei/L14133.htm" \l "art4§1"</w:instrText>
      </w:r>
      <w:r>
        <w:rPr>
          <w:rStyle w:val="54"/>
          <w:sz w:val="22"/>
          <w:szCs w:val="22"/>
        </w:rPr>
        <w:fldChar w:fldCharType="separate"/>
      </w:r>
      <w:r>
        <w:rPr>
          <w:rStyle w:val="54"/>
          <w:sz w:val="22"/>
          <w:szCs w:val="22"/>
        </w:rPr>
        <w:t>art. 4º, §§ 1º ao 3º, da Lei Federal nº 14.133, de 2021.</w:t>
      </w:r>
      <w:r>
        <w:rPr>
          <w:rStyle w:val="54"/>
          <w:sz w:val="22"/>
          <w:szCs w:val="22"/>
        </w:rPr>
        <w:fldChar w:fldCharType="end"/>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rPr>
        <w:t xml:space="preserve">Após a fase de lances, o sistema </w:t>
      </w:r>
      <w:r>
        <w:rPr>
          <w:sz w:val="22"/>
          <w:szCs w:val="22"/>
        </w:rPr>
        <w:t>identificará</w:t>
      </w:r>
      <w:r>
        <w:rPr>
          <w:color w:val="000000"/>
          <w:sz w:val="22"/>
          <w:szCs w:val="22"/>
        </w:rPr>
        <w:t xml:space="preserve"> em coluna própria as microempresas (ME) e empresas de pequeno porte (EPP) participantes, fazendo a comparação entre os valores da primeira colocada, caso esta não seja uma ME ou EPP, e das demais ME ou EPP na ordem de classificação, que será disponibilizada automaticamente nas telas do(a) </w:t>
      </w:r>
      <w:r>
        <w:rPr>
          <w:sz w:val="22"/>
          <w:szCs w:val="22"/>
        </w:rPr>
        <w:t>Pregoeiro</w:t>
      </w:r>
      <w:r>
        <w:rPr>
          <w:color w:val="000000"/>
          <w:sz w:val="22"/>
          <w:szCs w:val="22"/>
        </w:rPr>
        <w:t xml:space="preserve"> e do fornecedor e encaminhada em</w:t>
      </w:r>
      <w:r>
        <w:rPr>
          <w:color w:val="00B050"/>
          <w:sz w:val="22"/>
          <w:szCs w:val="22"/>
        </w:rPr>
        <w:t xml:space="preserve"> </w:t>
      </w:r>
      <w:r>
        <w:rPr>
          <w:color w:val="000000"/>
          <w:sz w:val="22"/>
          <w:szCs w:val="22"/>
        </w:rPr>
        <w:t>mensagem por meio de </w:t>
      </w:r>
      <w:r>
        <w:rPr>
          <w:i/>
          <w:iCs/>
          <w:color w:val="000000"/>
          <w:sz w:val="22"/>
          <w:szCs w:val="22"/>
        </w:rPr>
        <w:t>chat</w:t>
      </w:r>
      <w:r>
        <w:rPr>
          <w:color w:val="000000"/>
          <w:sz w:val="22"/>
          <w:szCs w:val="22"/>
        </w:rPr>
        <w:t>.</w:t>
      </w:r>
    </w:p>
    <w:p>
      <w:pPr>
        <w:pStyle w:val="130"/>
        <w:numPr>
          <w:ilvl w:val="1"/>
          <w:numId w:val="1"/>
        </w:numPr>
        <w:tabs>
          <w:tab w:val="left" w:pos="1134"/>
        </w:tabs>
        <w:spacing w:before="0" w:beforeAutospacing="0" w:after="0" w:afterAutospacing="0"/>
        <w:ind w:left="0" w:firstLine="567"/>
        <w:jc w:val="both"/>
        <w:textAlignment w:val="baseline"/>
      </w:pPr>
      <w:r>
        <w:rPr>
          <w:sz w:val="22"/>
          <w:szCs w:val="22"/>
        </w:rPr>
        <w:t>Quanto aos ITENS, na fase de PROPOSTA será concedido TRATAMENTO DIFERENCIADO às ME's e EPP's, caso a proposta mais bem classificada tenha sido ofertada por empresa de médio ou grande porte e haja proposta apresentada por ME/EPP de valor até 10% (dez por cento) superior ao da melhor proposta, oportunidade em que o Portal Licitanet (</w:t>
      </w:r>
      <w:r>
        <w:fldChar w:fldCharType="begin"/>
      </w:r>
      <w:r>
        <w:instrText xml:space="preserve"> HYPERLINK "https://www.licitanet.com.br/" \h </w:instrText>
      </w:r>
      <w:r>
        <w:fldChar w:fldCharType="separate"/>
      </w:r>
      <w:r>
        <w:rPr>
          <w:rStyle w:val="54"/>
          <w:sz w:val="22"/>
          <w:szCs w:val="22"/>
        </w:rPr>
        <w:t>https://www.licitanet.com.br/</w:t>
      </w:r>
      <w:r>
        <w:rPr>
          <w:rStyle w:val="54"/>
          <w:sz w:val="22"/>
          <w:szCs w:val="22"/>
        </w:rPr>
        <w:fldChar w:fldCharType="end"/>
      </w:r>
      <w:r>
        <w:rPr>
          <w:sz w:val="22"/>
          <w:szCs w:val="22"/>
        </w:rPr>
        <w:t>), automaticamente, procederá da seguinte forma:</w:t>
      </w:r>
    </w:p>
    <w:p>
      <w:pPr>
        <w:pStyle w:val="130"/>
        <w:numPr>
          <w:ilvl w:val="2"/>
          <w:numId w:val="1"/>
        </w:numPr>
        <w:tabs>
          <w:tab w:val="left" w:pos="1134"/>
        </w:tabs>
        <w:spacing w:before="0" w:beforeAutospacing="0" w:after="0" w:afterAutospacing="0"/>
        <w:jc w:val="both"/>
        <w:textAlignment w:val="baseline"/>
        <w:rPr>
          <w:rFonts w:ascii="Times New Roman" w:hAnsi="Times New Roman"/>
        </w:rPr>
      </w:pPr>
      <w:r>
        <w:rPr>
          <w:sz w:val="22"/>
          <w:szCs w:val="22"/>
        </w:rPr>
        <w:t>A ME/EPP mais bem classificada poderá, no prazo de 5 (cinco) minutos, apresentar proposta de preço inferior a do licitante mais bem classificado e, atendidas as exigências deste Edital e seus Anexos, será reclassificada como melhor proposta do certame;</w:t>
      </w:r>
    </w:p>
    <w:p>
      <w:pPr>
        <w:pStyle w:val="130"/>
        <w:numPr>
          <w:ilvl w:val="2"/>
          <w:numId w:val="1"/>
        </w:numPr>
        <w:tabs>
          <w:tab w:val="left" w:pos="1134"/>
        </w:tabs>
        <w:spacing w:before="0" w:beforeAutospacing="0" w:after="0" w:afterAutospacing="0"/>
        <w:jc w:val="both"/>
        <w:textAlignment w:val="baseline"/>
        <w:rPr>
          <w:rFonts w:ascii="Times New Roman" w:hAnsi="Times New Roman"/>
        </w:rPr>
      </w:pPr>
      <w:r>
        <w:rPr>
          <w:sz w:val="22"/>
          <w:szCs w:val="22"/>
        </w:rPr>
        <w:t xml:space="preserve">não sendo registrado um novo lance pela ME/EPP convocada através do sistema na forma do subitem anterior, e havendo outros licitantes que se enquadrem na condição prevista no </w:t>
      </w:r>
      <w:r>
        <w:rPr>
          <w:i/>
          <w:iCs/>
          <w:sz w:val="22"/>
          <w:szCs w:val="22"/>
        </w:rPr>
        <w:t>caput</w:t>
      </w:r>
      <w:r>
        <w:rPr>
          <w:sz w:val="22"/>
          <w:szCs w:val="22"/>
        </w:rPr>
        <w:t>, estes serão convocados, na ordem classificatória, para o exercício do mesmo direito, também no prazo de 5 (cinco) minutos;</w:t>
      </w:r>
    </w:p>
    <w:p>
      <w:pPr>
        <w:pStyle w:val="130"/>
        <w:numPr>
          <w:ilvl w:val="2"/>
          <w:numId w:val="1"/>
        </w:numPr>
        <w:tabs>
          <w:tab w:val="left" w:pos="1134"/>
        </w:tabs>
        <w:spacing w:before="0" w:beforeAutospacing="0" w:after="0" w:afterAutospacing="0"/>
        <w:jc w:val="both"/>
        <w:textAlignment w:val="baseline"/>
      </w:pPr>
      <w:r>
        <w:rPr>
          <w:sz w:val="22"/>
          <w:szCs w:val="22"/>
        </w:rPr>
        <w:t xml:space="preserve">havendo empate de valor entre duas empresas beneficiárias do direito de preferência fixada na </w:t>
      </w:r>
      <w:r>
        <w:fldChar w:fldCharType="begin"/>
      </w:r>
      <w:r>
        <w:instrText xml:space="preserve"> HYPERLINK "https://www.planalto.gov.br/ccivil_03/leis/lcp/lcp123.htm" \h </w:instrText>
      </w:r>
      <w:r>
        <w:fldChar w:fldCharType="separate"/>
      </w:r>
      <w:r>
        <w:rPr>
          <w:rStyle w:val="54"/>
          <w:sz w:val="22"/>
          <w:szCs w:val="22"/>
        </w:rPr>
        <w:t>Lei Complementar Federal nº 123, de 2006</w:t>
      </w:r>
      <w:r>
        <w:rPr>
          <w:rStyle w:val="54"/>
          <w:sz w:val="22"/>
          <w:szCs w:val="22"/>
        </w:rPr>
        <w:fldChar w:fldCharType="end"/>
      </w:r>
      <w:r>
        <w:rPr>
          <w:sz w:val="22"/>
          <w:szCs w:val="22"/>
        </w:rPr>
        <w:t>, exercerá tal direito prioritariamente aquela cuja proposta tenha sido recebida e registrada pelo sistema primeiramente;</w:t>
      </w:r>
    </w:p>
    <w:p>
      <w:pPr>
        <w:pStyle w:val="130"/>
        <w:numPr>
          <w:ilvl w:val="2"/>
          <w:numId w:val="1"/>
        </w:numPr>
        <w:tabs>
          <w:tab w:val="left" w:pos="1134"/>
        </w:tabs>
        <w:spacing w:before="0" w:beforeAutospacing="0" w:after="0" w:afterAutospacing="0"/>
        <w:jc w:val="both"/>
        <w:textAlignment w:val="baseline"/>
        <w:rPr>
          <w:rFonts w:ascii="Times New Roman" w:hAnsi="Times New Roman"/>
        </w:rPr>
      </w:pPr>
      <w:r>
        <w:rPr>
          <w:sz w:val="22"/>
          <w:szCs w:val="22"/>
        </w:rPr>
        <w:t>o sistema encaminhará mensagem automática, por meio do “chat”, convocando a ME/EPP mais bem classificada a fazer sua última oferta no prazo de 5 (cinco) minutos, sob pena de decadência do direito concedido;</w:t>
      </w:r>
    </w:p>
    <w:p>
      <w:pPr>
        <w:pStyle w:val="130"/>
        <w:numPr>
          <w:ilvl w:val="2"/>
          <w:numId w:val="1"/>
        </w:numPr>
        <w:tabs>
          <w:tab w:val="left" w:pos="1134"/>
        </w:tabs>
        <w:spacing w:before="0" w:beforeAutospacing="0" w:after="0" w:afterAutospacing="0"/>
        <w:jc w:val="both"/>
        <w:textAlignment w:val="baseline"/>
        <w:rPr>
          <w:rFonts w:ascii="Times New Roman" w:hAnsi="Times New Roman"/>
        </w:rPr>
      </w:pPr>
      <w:r>
        <w:rPr>
          <w:sz w:val="22"/>
          <w:szCs w:val="22"/>
        </w:rPr>
        <w:t>na hipótese em que nenhuma dos licitantes exerça o direito de tratamento diferenciado, será mantida a ordem classificatória do certame.</w:t>
      </w:r>
    </w:p>
    <w:p>
      <w:pPr>
        <w:pStyle w:val="130"/>
        <w:numPr>
          <w:ilvl w:val="1"/>
          <w:numId w:val="1"/>
        </w:numPr>
        <w:tabs>
          <w:tab w:val="left" w:pos="1134"/>
        </w:tabs>
        <w:spacing w:before="0" w:beforeAutospacing="0" w:after="0" w:afterAutospacing="0"/>
        <w:jc w:val="both"/>
        <w:textAlignment w:val="baseline"/>
      </w:pPr>
      <w:r>
        <w:t xml:space="preserve">Na fase de HABILITAÇÃO, será concedido TRATAMENTO DIFERENCIADO às ME's/EPP's que estejam com problemas de REGULARIDADE FISCAL, SOCIAL E TRABALHISTA, à luz do disposto nos </w:t>
      </w:r>
      <w:r>
        <w:fldChar w:fldCharType="begin"/>
      </w:r>
      <w:r>
        <w:rPr>
          <w:rStyle w:val="54"/>
        </w:rPr>
        <w:instrText xml:space="preserve"> HYPERLINK "https://www.planalto.gov.br/ccivil_03/leis/lcp/lcp123.htm" \l "art42"</w:instrText>
      </w:r>
      <w:r>
        <w:rPr>
          <w:rStyle w:val="54"/>
        </w:rPr>
        <w:fldChar w:fldCharType="separate"/>
      </w:r>
      <w:r>
        <w:rPr>
          <w:rStyle w:val="54"/>
        </w:rPr>
        <w:t>arts. 42 e 43 da Lei Complementar Federal nº 123, de 2006</w:t>
      </w:r>
      <w:r>
        <w:rPr>
          <w:rStyle w:val="54"/>
        </w:rPr>
        <w:fldChar w:fldCharType="end"/>
      </w:r>
      <w:r>
        <w:t>, conforme as seguintes regras:</w:t>
      </w:r>
    </w:p>
    <w:p>
      <w:pPr>
        <w:pStyle w:val="130"/>
        <w:numPr>
          <w:ilvl w:val="2"/>
          <w:numId w:val="1"/>
        </w:numPr>
        <w:tabs>
          <w:tab w:val="left" w:pos="1134"/>
        </w:tabs>
        <w:spacing w:before="0" w:beforeAutospacing="0" w:after="0" w:afterAutospacing="0"/>
        <w:jc w:val="both"/>
        <w:textAlignment w:val="baseline"/>
        <w:rPr>
          <w:rFonts w:ascii="Times New Roman" w:hAnsi="Times New Roman"/>
        </w:rPr>
      </w:pPr>
      <w:r>
        <w:t>em se tratando de ME/EPP com alguma RESTRIÇÃO na comprovação da HABILITAÇÃO FISCAL, SOCIAL E TRABALHISTA, deverá(ão) ser apresentada(s) e juntada(s) aos autos a(s) respectiva(s) certidão(ões) com validade vencida ou com restrição, sendo aceita a situação parcial de irregularidade ali comprovada, julgando-se “habilitada” no certame empresa(s) nessa situação;</w:t>
      </w:r>
    </w:p>
    <w:p>
      <w:pPr>
        <w:pStyle w:val="130"/>
        <w:numPr>
          <w:ilvl w:val="2"/>
          <w:numId w:val="1"/>
        </w:numPr>
        <w:tabs>
          <w:tab w:val="left" w:pos="1134"/>
        </w:tabs>
        <w:spacing w:before="0" w:beforeAutospacing="0" w:after="0" w:afterAutospacing="0"/>
        <w:jc w:val="both"/>
        <w:textAlignment w:val="baseline"/>
        <w:rPr>
          <w:rFonts w:ascii="Times New Roman" w:hAnsi="Times New Roman"/>
        </w:rPr>
      </w:pPr>
      <w:r>
        <w:t>será assegurado o prazo de 5 (cinco) dias úteis, prorrogáveis por igual período, a critério da Administração, para a regularização da documentação, pagamento ou parcelamento do débito, e emissão de eventuais certidões;</w:t>
      </w:r>
    </w:p>
    <w:p>
      <w:pPr>
        <w:pStyle w:val="130"/>
        <w:numPr>
          <w:ilvl w:val="2"/>
          <w:numId w:val="1"/>
        </w:numPr>
        <w:tabs>
          <w:tab w:val="left" w:pos="1134"/>
        </w:tabs>
        <w:spacing w:before="0" w:beforeAutospacing="0" w:after="0" w:afterAutospacing="0"/>
        <w:jc w:val="both"/>
        <w:textAlignment w:val="baseline"/>
        <w:rPr>
          <w:rFonts w:ascii="Times New Roman" w:hAnsi="Times New Roman"/>
        </w:rPr>
      </w:pPr>
      <w:r>
        <w:t>a não regularização da documentação fiscal, social ou trabalhista, implicará na decadência do direito à contratação, sem prejuízo das sanções previstas neste Edital e seus Anexos;</w:t>
      </w:r>
    </w:p>
    <w:p>
      <w:pPr>
        <w:pStyle w:val="130"/>
        <w:numPr>
          <w:ilvl w:val="2"/>
          <w:numId w:val="1"/>
        </w:numPr>
        <w:tabs>
          <w:tab w:val="left" w:pos="1134"/>
        </w:tabs>
        <w:spacing w:before="0" w:beforeAutospacing="0" w:after="0" w:afterAutospacing="0"/>
        <w:jc w:val="both"/>
        <w:textAlignment w:val="baseline"/>
        <w:rPr>
          <w:rFonts w:ascii="Times New Roman" w:hAnsi="Times New Roman"/>
        </w:rPr>
      </w:pPr>
      <w:r>
        <w:t>no caso de decadência do direito por não regularização da situação, será facultada à Câmara Municipal de Primavera do Leste – MT a convocação dos licitantes remanescentes, na ordem de classificação.</w:t>
      </w:r>
    </w:p>
    <w:p>
      <w:pPr>
        <w:pStyle w:val="130"/>
        <w:numPr>
          <w:ilvl w:val="1"/>
          <w:numId w:val="1"/>
        </w:numPr>
        <w:tabs>
          <w:tab w:val="left" w:pos="1134"/>
        </w:tabs>
        <w:spacing w:before="0" w:beforeAutospacing="0" w:after="0" w:afterAutospacing="0"/>
        <w:jc w:val="both"/>
        <w:textAlignment w:val="baseline"/>
        <w:rPr>
          <w:rFonts w:ascii="Times New Roman" w:hAnsi="Times New Roman"/>
        </w:rPr>
      </w:pPr>
      <w:r>
        <w:rPr>
          <w:lang w:val="pt-BR"/>
        </w:rPr>
        <w:t xml:space="preserve">A fim de cumprir o disposto no </w:t>
      </w:r>
      <w:r>
        <w:rPr>
          <w:b/>
          <w:bCs/>
          <w:lang w:val="pt-BR"/>
        </w:rPr>
        <w:t>Artigo 3º da Lei Municipal 1.953 de 27/05/2021</w:t>
      </w:r>
      <w:r>
        <w:rPr>
          <w:lang w:val="pt-BR"/>
        </w:rPr>
        <w:t xml:space="preserve">, a prioridade de contratação com a microempresas e empresas de pequeno porte sediadas local ou regionalmente, até o limite de </w:t>
      </w:r>
      <w:r>
        <w:rPr>
          <w:b/>
          <w:bCs/>
          <w:lang w:val="pt-BR"/>
        </w:rPr>
        <w:t>10% (dez por cento)</w:t>
      </w:r>
      <w:r>
        <w:rPr>
          <w:lang w:val="pt-BR"/>
        </w:rPr>
        <w:t xml:space="preserve"> do melhor preço válido, proporciona a está o direito de ofertar um preço menor do que aquela classificada (empate Ficto).</w:t>
      </w:r>
    </w:p>
    <w:p>
      <w:pPr>
        <w:pStyle w:val="130"/>
        <w:numPr>
          <w:ilvl w:val="1"/>
          <w:numId w:val="1"/>
        </w:numPr>
        <w:tabs>
          <w:tab w:val="left" w:pos="1134"/>
        </w:tabs>
        <w:spacing w:before="0" w:beforeAutospacing="0" w:after="0" w:afterAutospacing="0"/>
        <w:jc w:val="both"/>
        <w:textAlignment w:val="baseline"/>
        <w:rPr>
          <w:rFonts w:ascii="Times New Roman" w:hAnsi="Times New Roman"/>
        </w:rPr>
      </w:pPr>
      <w:r>
        <w:rPr>
          <w:lang w:val="pt-BR"/>
        </w:rPr>
        <w:t>Em consonância com o Anexo IV da Lei nº 10.340, de 19 de novembro de 2015 pertencem a regionalidade da REGIÃO V – SUDESTE as cidades: Rondonópolis (Cidade Polo), Gaúcha do Norte, Paranatinga, Santo Antônio do Leste, Campo Verde, Primavera do Leste, Dom Aquino, Poxoréu, Tesouro, Jaciara, São Pedro da Cipa, Juscimeira, Pedra Preta, Guiratinga, São José do Povo, Alto Garças, Itiquira, Alto Araguaia, Alto Taquari.</w:t>
      </w:r>
    </w:p>
    <w:p>
      <w:pPr>
        <w:pStyle w:val="130"/>
        <w:numPr>
          <w:ilvl w:val="1"/>
          <w:numId w:val="1"/>
        </w:numPr>
        <w:tabs>
          <w:tab w:val="left" w:pos="1134"/>
        </w:tabs>
        <w:spacing w:before="0" w:beforeAutospacing="0" w:after="0" w:afterAutospacing="0"/>
        <w:jc w:val="both"/>
        <w:textAlignment w:val="baseline"/>
        <w:rPr>
          <w:rFonts w:ascii="Times New Roman" w:hAnsi="Times New Roman"/>
        </w:rPr>
      </w:pPr>
      <w:r>
        <w:rPr>
          <w:lang w:val="pt-BR"/>
        </w:rPr>
        <w:t>Realizada  etapa descrita no item 18.7, e não havendo menor proposta por parte de ME e EPP sediadas local ou regionalmente, será aberta a possibilidade de que outras ME e EPP possam oferecer proposta inferior a melhor proposta, desde que seja até 5% maior (empate ficto).</w:t>
      </w:r>
    </w:p>
    <w:p>
      <w:pPr>
        <w:pStyle w:val="130"/>
        <w:numPr>
          <w:ilvl w:val="0"/>
          <w:numId w:val="0"/>
        </w:numPr>
        <w:tabs>
          <w:tab w:val="left" w:pos="1134"/>
        </w:tabs>
        <w:spacing w:before="0" w:beforeAutospacing="0" w:after="0" w:afterAutospacing="0"/>
        <w:ind w:left="360" w:leftChars="0"/>
        <w:jc w:val="both"/>
        <w:textAlignment w:val="baseline"/>
        <w:rPr>
          <w:rFonts w:ascii="Times New Roman" w:hAnsi="Times New Roman"/>
        </w:rPr>
      </w:pPr>
    </w:p>
    <w:p>
      <w:pPr>
        <w:pStyle w:val="2"/>
        <w:spacing w:before="360" w:after="0"/>
      </w:pPr>
      <w:bookmarkStart w:id="18" w:name="_Toc149517442"/>
      <w:r>
        <w:rPr>
          <w:rStyle w:val="45"/>
        </w:rPr>
        <w:t>EMPATE FICTO</w:t>
      </w:r>
      <w:bookmarkEnd w:id="18"/>
    </w:p>
    <w:p>
      <w:pPr>
        <w:pStyle w:val="130"/>
        <w:numPr>
          <w:ilvl w:val="1"/>
          <w:numId w:val="1"/>
        </w:numPr>
        <w:tabs>
          <w:tab w:val="left" w:pos="1134"/>
        </w:tabs>
        <w:spacing w:before="120" w:beforeAutospacing="0" w:after="0" w:afterAutospacing="0"/>
        <w:ind w:left="0" w:firstLine="567"/>
        <w:jc w:val="both"/>
        <w:textAlignment w:val="baseline"/>
      </w:pPr>
      <w:r>
        <w:rPr>
          <w:color w:val="000000"/>
        </w:rPr>
        <w:t xml:space="preserve">Se o melhor lance for ofertado por licitante que não se enquadre na condição de ME ou EPP, o sistema facultará a estas o exercício do direito de preferência para fins de desempate, conforme determina o </w:t>
      </w:r>
      <w:r>
        <w:fldChar w:fldCharType="begin"/>
      </w:r>
      <w:r>
        <w:rPr>
          <w:rStyle w:val="54"/>
        </w:rPr>
        <w:instrText xml:space="preserve"> HYPERLINK "https://www.planalto.gov.br/ccivil_03/leis/lcp/lcp123.htm" \l "art44"</w:instrText>
      </w:r>
      <w:r>
        <w:rPr>
          <w:rStyle w:val="54"/>
        </w:rPr>
        <w:fldChar w:fldCharType="separate"/>
      </w:r>
      <w:r>
        <w:rPr>
          <w:rStyle w:val="54"/>
        </w:rPr>
        <w:t>art. 44, §2º, da Lei Complementar Federal nº 123, de 2006</w:t>
      </w:r>
      <w:r>
        <w:rPr>
          <w:rStyle w:val="54"/>
        </w:rPr>
        <w:fldChar w:fldCharType="end"/>
      </w:r>
      <w:r>
        <w:rPr>
          <w:color w:val="000000"/>
        </w:rPr>
        <w:t xml:space="preserve">, momento no qual a ME ou EPP mais bem classificada será convocada para apresentar nova proposta, no prazo máximo </w:t>
      </w:r>
      <w:r>
        <w:rPr>
          <w:color w:val="000000"/>
          <w:shd w:val="clear" w:fill="auto"/>
        </w:rPr>
        <w:t>de 5 (cinco) mi</w:t>
      </w:r>
      <w:r>
        <w:rPr>
          <w:color w:val="000000"/>
        </w:rPr>
        <w:t xml:space="preserve">nutos controlados pelo sistema, sob pena de preclusão, consoante determina o </w:t>
      </w:r>
      <w:r>
        <w:fldChar w:fldCharType="begin"/>
      </w:r>
      <w:r>
        <w:rPr>
          <w:rStyle w:val="54"/>
        </w:rPr>
        <w:instrText xml:space="preserve"> HYPERLINK "https://www.planalto.gov.br/ccivil_03/leis/lcp/lcp123.htm" \l "art45"</w:instrText>
      </w:r>
      <w:r>
        <w:rPr>
          <w:rStyle w:val="54"/>
        </w:rPr>
        <w:fldChar w:fldCharType="separate"/>
      </w:r>
      <w:r>
        <w:rPr>
          <w:rStyle w:val="54"/>
        </w:rPr>
        <w:t>art. 45, §3º, da Lei Complementar Federal nº 123, de 2006</w:t>
      </w:r>
      <w:r>
        <w:rPr>
          <w:rStyle w:val="54"/>
        </w:rPr>
        <w:fldChar w:fldCharType="end"/>
      </w:r>
      <w:r>
        <w:rPr>
          <w:color w:val="000000"/>
        </w:rPr>
        <w:t>.</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O direito de preferência de que trata o item anterior será concedido da seguinte forma:</w:t>
      </w:r>
    </w:p>
    <w:p>
      <w:pPr>
        <w:pStyle w:val="130"/>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Ocorrendo o empate, a microempresa ou a empresa de pequeno porte melhor classificada poderá apresentar proposta de preço inferior àquela considerada vencedora do certame, situação em que será adjudicado o objeto em seu favor; e</w:t>
      </w:r>
    </w:p>
    <w:p>
      <w:pPr>
        <w:pStyle w:val="130"/>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não ocorrendo a contratação da microempresa ou empresa de pequeno porte, na forma da alínea anterior, serão convocadas as remanescentes que porventura se enquadrem na situação de empate, na ordem classificatória, para o exercício do mesmo direito; e</w:t>
      </w:r>
    </w:p>
    <w:p>
      <w:pPr>
        <w:pStyle w:val="130"/>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no caso de equivalência dos valores apresentados pelas microempresas e empresas de pequeno porte que se encontrem em situação de empate, será realizado sorteio entre elas para que se identifique aquela que primeiro poderá apresentar melhor oferta.</w:t>
      </w:r>
    </w:p>
    <w:p>
      <w:pPr>
        <w:pStyle w:val="130"/>
        <w:numPr>
          <w:ilvl w:val="1"/>
          <w:numId w:val="1"/>
        </w:numPr>
        <w:tabs>
          <w:tab w:val="left" w:pos="1134"/>
        </w:tabs>
        <w:spacing w:before="0" w:beforeAutospacing="0" w:after="0" w:afterAutospacing="0"/>
        <w:ind w:left="0" w:firstLine="567"/>
        <w:jc w:val="both"/>
        <w:textAlignment w:val="baseline"/>
      </w:pPr>
      <w:r>
        <w:rPr>
          <w:color w:val="000000"/>
        </w:rPr>
        <w:t xml:space="preserve">Se houver equivalência de valores apresentados pelas MEs ou EPPs, que se encontrem no intervalo estabelecido no </w:t>
      </w:r>
      <w:r>
        <w:fldChar w:fldCharType="begin"/>
      </w:r>
      <w:r>
        <w:rPr>
          <w:rStyle w:val="54"/>
        </w:rPr>
        <w:instrText xml:space="preserve"> HYPERLINK "https://www.planalto.gov.br/ccivil_03/leis/lcp/lcp123.htm" \l "art44"</w:instrText>
      </w:r>
      <w:r>
        <w:rPr>
          <w:rStyle w:val="54"/>
        </w:rPr>
        <w:fldChar w:fldCharType="separate"/>
      </w:r>
      <w:r>
        <w:rPr>
          <w:rStyle w:val="54"/>
        </w:rPr>
        <w:t>art. 44, §2º, da Lei Complementar Federal nº 123, de 2006</w:t>
      </w:r>
      <w:r>
        <w:rPr>
          <w:rStyle w:val="54"/>
        </w:rPr>
        <w:fldChar w:fldCharType="end"/>
      </w:r>
      <w:r>
        <w:rPr>
          <w:color w:val="000000"/>
        </w:rPr>
        <w:t>, o sistema efetuará sorteio para identificar a empresa que primeiro poderá apresentar melhor oferta.</w:t>
      </w:r>
    </w:p>
    <w:p>
      <w:pPr>
        <w:pStyle w:val="130"/>
        <w:numPr>
          <w:ilvl w:val="1"/>
          <w:numId w:val="1"/>
        </w:numPr>
        <w:tabs>
          <w:tab w:val="left" w:pos="1134"/>
        </w:tabs>
        <w:spacing w:before="0" w:beforeAutospacing="0" w:after="0" w:afterAutospacing="0"/>
        <w:ind w:left="0" w:firstLine="567"/>
        <w:jc w:val="both"/>
        <w:textAlignment w:val="baseline"/>
      </w:pPr>
      <w:r>
        <w:rPr>
          <w:color w:val="000000"/>
        </w:rPr>
        <w:t xml:space="preserve">Caso a ME ou EPP convocada decline de exercer o direito de preferência, o sistema convocará as remanescentes que porventura se enquadrem na hipótese do </w:t>
      </w:r>
      <w:r>
        <w:fldChar w:fldCharType="begin"/>
      </w:r>
      <w:r>
        <w:rPr>
          <w:rStyle w:val="54"/>
        </w:rPr>
        <w:instrText xml:space="preserve"> HYPERLINK "https://www.planalto.gov.br/ccivil_03/leis/lcp/lcp123.htm" \l "art44"</w:instrText>
      </w:r>
      <w:r>
        <w:rPr>
          <w:rStyle w:val="54"/>
        </w:rPr>
        <w:fldChar w:fldCharType="separate"/>
      </w:r>
      <w:r>
        <w:rPr>
          <w:rStyle w:val="54"/>
        </w:rPr>
        <w:t>art. 44, §2º, da Lei Complementar Federal nº 123, de 2006</w:t>
      </w:r>
      <w:r>
        <w:rPr>
          <w:rStyle w:val="54"/>
        </w:rPr>
        <w:fldChar w:fldCharType="end"/>
      </w:r>
      <w:r>
        <w:rPr>
          <w:color w:val="000000"/>
        </w:rPr>
        <w:t>, na ordem de classificação. </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Se houver êxito no procedimento especificado acima, o sistema disponibilizará nova classificação dos fornecedores para fins de aceitação pelo(a) </w:t>
      </w:r>
      <w:r>
        <w:t>Pregoeiro</w:t>
      </w:r>
      <w:r>
        <w:rPr>
          <w:color w:val="000000"/>
        </w:rPr>
        <w:t>. Não havendo êxito ou não existindo ME ou EPP participante, prevalecerá a classificação inicial.</w:t>
      </w:r>
    </w:p>
    <w:p>
      <w:pPr>
        <w:pStyle w:val="2"/>
        <w:spacing w:before="360" w:after="0"/>
      </w:pPr>
      <w:bookmarkStart w:id="19" w:name="_Toc149517443"/>
      <w:r>
        <w:rPr>
          <w:rStyle w:val="45"/>
        </w:rPr>
        <w:t>EMPATE REAL</w:t>
      </w:r>
      <w:bookmarkEnd w:id="19"/>
    </w:p>
    <w:p>
      <w:pPr>
        <w:pStyle w:val="130"/>
        <w:numPr>
          <w:ilvl w:val="1"/>
          <w:numId w:val="1"/>
        </w:numPr>
        <w:tabs>
          <w:tab w:val="left" w:pos="1134"/>
        </w:tabs>
        <w:spacing w:before="120" w:beforeAutospacing="0" w:after="0" w:afterAutospacing="0"/>
        <w:ind w:left="0" w:firstLine="567"/>
        <w:jc w:val="both"/>
        <w:textAlignment w:val="baseline"/>
      </w:pPr>
      <w:r>
        <w:rPr>
          <w:color w:val="000000"/>
        </w:rPr>
        <w:t xml:space="preserve">Em caso de empate entre 2 (duas) ou mais propostas, desde que não se enquadre em situação prevista nos </w:t>
      </w:r>
      <w:r>
        <w:fldChar w:fldCharType="begin"/>
      </w:r>
      <w:r>
        <w:rPr>
          <w:rStyle w:val="54"/>
        </w:rPr>
        <w:instrText xml:space="preserve"> HYPERLINK "https://www.planalto.gov.br/ccivil_03/leis/lcp/lcp123.htm" \l "art44"</w:instrText>
      </w:r>
      <w:r>
        <w:rPr>
          <w:rStyle w:val="54"/>
        </w:rPr>
        <w:fldChar w:fldCharType="separate"/>
      </w:r>
      <w:r>
        <w:rPr>
          <w:rStyle w:val="54"/>
        </w:rPr>
        <w:t>arts. 44 e 45 da Lei Complementar Federal nº 123, de 2006</w:t>
      </w:r>
      <w:r>
        <w:rPr>
          <w:rStyle w:val="54"/>
        </w:rPr>
        <w:fldChar w:fldCharType="end"/>
      </w:r>
      <w:r>
        <w:rPr>
          <w:color w:val="000000"/>
        </w:rPr>
        <w:t xml:space="preserve">, serão utilizados os critérios de desempate previstos no </w:t>
      </w:r>
      <w:r>
        <w:fldChar w:fldCharType="begin"/>
      </w:r>
      <w:r>
        <w:rPr>
          <w:rStyle w:val="54"/>
        </w:rPr>
        <w:instrText xml:space="preserve"> HYPERLINK "https://www.planalto.gov.br/ccivil_03/_ato2019-2022/2021/lei/l14133.htm" \l "art60"</w:instrText>
      </w:r>
      <w:r>
        <w:rPr>
          <w:rStyle w:val="54"/>
        </w:rPr>
        <w:fldChar w:fldCharType="separate"/>
      </w:r>
      <w:r>
        <w:rPr>
          <w:rStyle w:val="54"/>
        </w:rPr>
        <w:t>art. 60 da Lei Federal nº 14.133, de 2021</w:t>
      </w:r>
      <w:r>
        <w:rPr>
          <w:rStyle w:val="54"/>
        </w:rPr>
        <w:fldChar w:fldCharType="end"/>
      </w:r>
      <w:r>
        <w:rPr>
          <w:color w:val="000000"/>
        </w:rPr>
        <w:t>, naquela ordem, mesmo não havendo envio de lances na fase competitiva.</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Persistindo</w:t>
      </w:r>
      <w:r>
        <w:t xml:space="preserve"> o empate, será assegurada preferência, sucessivamente, aos produtos produzidos por:</w:t>
      </w:r>
    </w:p>
    <w:p>
      <w:pPr>
        <w:pStyle w:val="130"/>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Empresas</w:t>
      </w:r>
      <w:r>
        <w:t xml:space="preserve"> brasileiras;</w:t>
      </w:r>
    </w:p>
    <w:p>
      <w:pPr>
        <w:pStyle w:val="130"/>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Empresas</w:t>
      </w:r>
      <w:r>
        <w:t xml:space="preserve"> estabelecidas no território de Mato Grosso;</w:t>
      </w:r>
    </w:p>
    <w:p>
      <w:pPr>
        <w:pStyle w:val="130"/>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Empresas</w:t>
      </w:r>
      <w:r>
        <w:t xml:space="preserve"> que invistam em pesquisa e no desenvolvimento de tecnologia no País;</w:t>
      </w:r>
    </w:p>
    <w:p>
      <w:pPr>
        <w:pStyle w:val="130"/>
        <w:numPr>
          <w:ilvl w:val="2"/>
          <w:numId w:val="1"/>
        </w:numPr>
        <w:tabs>
          <w:tab w:val="left" w:pos="1134"/>
        </w:tabs>
        <w:spacing w:before="0" w:beforeAutospacing="0" w:after="0" w:afterAutospacing="0"/>
        <w:jc w:val="both"/>
        <w:textAlignment w:val="baseline"/>
      </w:pPr>
      <w:r>
        <w:t xml:space="preserve">Empresas que comprovem a prática de mitigação, nos termos da </w:t>
      </w:r>
      <w:r>
        <w:fldChar w:fldCharType="begin"/>
      </w:r>
      <w:r>
        <w:instrText xml:space="preserve"> HYPERLINK "https://www.planalto.gov.br/ccivil_03/_ato2007-2010/2009/lei/l12187.htm" \h </w:instrText>
      </w:r>
      <w:r>
        <w:fldChar w:fldCharType="separate"/>
      </w:r>
      <w:r>
        <w:rPr>
          <w:rStyle w:val="54"/>
        </w:rPr>
        <w:t>Lei Federal nº 12.187, de 2009</w:t>
      </w:r>
      <w:r>
        <w:rPr>
          <w:rStyle w:val="54"/>
        </w:rPr>
        <w:fldChar w:fldCharType="end"/>
      </w:r>
      <w:r>
        <w:t>.</w:t>
      </w:r>
    </w:p>
    <w:p>
      <w:pPr>
        <w:pStyle w:val="130"/>
        <w:numPr>
          <w:ilvl w:val="0"/>
          <w:numId w:val="0"/>
        </w:numPr>
        <w:tabs>
          <w:tab w:val="left" w:pos="1134"/>
        </w:tabs>
        <w:spacing w:before="0" w:beforeAutospacing="0" w:after="0" w:afterAutospacing="0"/>
        <w:ind w:left="720" w:firstLine="0"/>
        <w:jc w:val="both"/>
        <w:textAlignment w:val="baseline"/>
        <w:rPr>
          <w:rFonts w:ascii="Times New Roman" w:hAnsi="Times New Roman"/>
        </w:rPr>
      </w:pPr>
    </w:p>
    <w:p>
      <w:pPr>
        <w:pStyle w:val="130"/>
        <w:numPr>
          <w:ilvl w:val="0"/>
          <w:numId w:val="1"/>
        </w:numPr>
        <w:pBdr>
          <w:bottom w:val="single" w:color="000000" w:sz="8" w:space="1"/>
        </w:pBdr>
        <w:shd w:val="clear" w:color="auto" w:fill="BEBEBE" w:themeFill="background1" w:themeFillShade="BF"/>
        <w:spacing w:before="0" w:beforeAutospacing="0" w:after="0" w:afterAutospacing="0"/>
        <w:jc w:val="both"/>
        <w:textAlignment w:val="baseline"/>
      </w:pPr>
      <w:r>
        <w:rPr>
          <w:rStyle w:val="45"/>
          <w:b/>
          <w:bCs/>
        </w:rPr>
        <w:t>CONFORMIDADE DA PROPOSTA CLASSIFICADA EM PRIMEIRO LUGAR </w:t>
      </w:r>
    </w:p>
    <w:p>
      <w:pPr>
        <w:pStyle w:val="130"/>
        <w:numPr>
          <w:ilvl w:val="1"/>
          <w:numId w:val="1"/>
        </w:numPr>
        <w:tabs>
          <w:tab w:val="left" w:pos="1134"/>
        </w:tabs>
        <w:spacing w:before="0" w:beforeAutospacing="0" w:after="0" w:afterAutospacing="0"/>
        <w:ind w:left="0" w:firstLine="567"/>
        <w:jc w:val="both"/>
        <w:textAlignment w:val="baseline"/>
      </w:pPr>
      <w:r>
        <w:rPr>
          <w:color w:val="000000"/>
        </w:rPr>
        <w:t>Encerrada a etapa de lances, após observado o disposto no item “</w:t>
      </w:r>
      <w:r>
        <w:fldChar w:fldCharType="begin"/>
      </w:r>
      <w:r>
        <w:instrText xml:space="preserve"> HYPERLINK \l "_CONSÓRCIO" \h </w:instrText>
      </w:r>
      <w:r>
        <w:fldChar w:fldCharType="separate"/>
      </w:r>
      <w:r>
        <w:rPr>
          <w:rStyle w:val="54"/>
        </w:rPr>
        <w:t>8 - CONSÓRCIO</w:t>
      </w:r>
      <w:r>
        <w:rPr>
          <w:rStyle w:val="54"/>
        </w:rPr>
        <w:fldChar w:fldCharType="end"/>
      </w:r>
      <w:r>
        <w:rPr>
          <w:color w:val="000000"/>
        </w:rPr>
        <w:t xml:space="preserve">” deste Edital, o(a) </w:t>
      </w:r>
      <w:r>
        <w:t>Pregoeiro</w:t>
      </w:r>
      <w:r>
        <w:rPr>
          <w:color w:val="000000"/>
        </w:rPr>
        <w:t xml:space="preserve"> solicitará, no prazo de 2 (duas) horas, o envio da proposta classificada em primeiro lugar adequada ao último lance ofertado, e se necessário, dos documentos complementares, que será julgada pelo critério de menor preço unitário/total por item/lote e realizará a verificação da conformidade da proposta em relação ao objeto e à compatibilidade do preço em relação ao máximo para a contratação, conforme definido neste edital. </w:t>
      </w:r>
    </w:p>
    <w:p>
      <w:pPr>
        <w:pStyle w:val="130"/>
        <w:numPr>
          <w:ilvl w:val="0"/>
          <w:numId w:val="0"/>
        </w:numPr>
        <w:tabs>
          <w:tab w:val="left" w:pos="1134"/>
        </w:tabs>
        <w:spacing w:before="0" w:beforeAutospacing="0" w:after="0" w:afterAutospacing="0"/>
        <w:ind w:left="567" w:firstLine="0"/>
        <w:jc w:val="both"/>
        <w:textAlignment w:val="baseline"/>
        <w:rPr>
          <w:rFonts w:ascii="Times New Roman" w:hAnsi="Times New Roman"/>
          <w:color w:val="000000"/>
        </w:rPr>
      </w:pPr>
    </w:p>
    <w:p>
      <w:pPr>
        <w:pStyle w:val="130"/>
        <w:numPr>
          <w:ilvl w:val="0"/>
          <w:numId w:val="1"/>
        </w:numPr>
        <w:pBdr>
          <w:bottom w:val="single" w:color="000000" w:sz="8" w:space="1"/>
        </w:pBdr>
        <w:shd w:val="clear" w:color="auto" w:fill="BEBEBE" w:themeFill="background1" w:themeFillShade="BF"/>
        <w:spacing w:before="0" w:beforeAutospacing="0" w:after="0" w:afterAutospacing="0"/>
        <w:jc w:val="both"/>
        <w:textAlignment w:val="baseline"/>
      </w:pPr>
      <w:r>
        <w:rPr>
          <w:rStyle w:val="45"/>
          <w:b/>
          <w:bCs/>
        </w:rPr>
        <w:t>NEGOCIAÇÃO</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Definido o resultado do julgamento, o(a) </w:t>
      </w:r>
      <w:r>
        <w:t>Pregoeiro</w:t>
      </w:r>
      <w:r>
        <w:rPr>
          <w:color w:val="000000"/>
        </w:rPr>
        <w:t xml:space="preserve"> poderá negociar condições mais vantajosas com o primeiro colocado, pelo sistema eletrônico, podendo, a negociação ser acompanhada pelos demais licitantes.</w:t>
      </w:r>
    </w:p>
    <w:p>
      <w:pPr>
        <w:pStyle w:val="130"/>
        <w:numPr>
          <w:ilvl w:val="1"/>
          <w:numId w:val="1"/>
        </w:numPr>
        <w:tabs>
          <w:tab w:val="left" w:pos="1134"/>
        </w:tabs>
        <w:spacing w:before="0" w:beforeAutospacing="0" w:after="0" w:afterAutospacing="0"/>
        <w:ind w:left="0" w:firstLine="567"/>
        <w:jc w:val="both"/>
        <w:textAlignment w:val="baseline"/>
      </w:pPr>
      <w:r>
        <w:rPr>
          <w:color w:val="000000"/>
        </w:rPr>
        <w:t xml:space="preserve">Caso a proposta da licitante classificada em primeiro lugar apresente preço superior ao máximo para a contratação, o(a) </w:t>
      </w:r>
      <w:r>
        <w:t>Pregoeiro</w:t>
      </w:r>
      <w:r>
        <w:rPr>
          <w:color w:val="000000"/>
        </w:rPr>
        <w:t xml:space="preserve"> deverá negociar condições mais vantajosas, pelo sistema eletrônico, podendo, a negociação ser acompanhada pelos demais licitantes (</w:t>
      </w:r>
      <w:r>
        <w:fldChar w:fldCharType="begin"/>
      </w:r>
      <w:r>
        <w:rPr>
          <w:rStyle w:val="54"/>
        </w:rPr>
        <w:instrText xml:space="preserve"> HYPERLINK "https://www.planalto.gov.br/ccivil_03/_ato2019-2022/2021/lei/l14133.htm" \l "art61"</w:instrText>
      </w:r>
      <w:r>
        <w:rPr>
          <w:rStyle w:val="54"/>
        </w:rPr>
        <w:fldChar w:fldCharType="separate"/>
      </w:r>
      <w:r>
        <w:rPr>
          <w:rStyle w:val="54"/>
        </w:rPr>
        <w:t>art. 61, §1º, da Lei Federal nº 14.133, de 2021</w:t>
      </w:r>
      <w:r>
        <w:rPr>
          <w:rStyle w:val="54"/>
        </w:rPr>
        <w:fldChar w:fldCharType="end"/>
      </w:r>
      <w:r>
        <w:rPr>
          <w:color w:val="000000"/>
        </w:rPr>
        <w:t>).</w:t>
      </w:r>
    </w:p>
    <w:p>
      <w:pPr>
        <w:pStyle w:val="130"/>
        <w:numPr>
          <w:ilvl w:val="1"/>
          <w:numId w:val="1"/>
        </w:numPr>
        <w:tabs>
          <w:tab w:val="left" w:pos="1134"/>
        </w:tabs>
        <w:spacing w:before="0" w:beforeAutospacing="0" w:after="0" w:afterAutospacing="0"/>
        <w:ind w:left="0" w:firstLine="567"/>
        <w:jc w:val="both"/>
        <w:textAlignment w:val="baseline"/>
      </w:pPr>
      <w:r>
        <w:rPr>
          <w:color w:val="000000"/>
        </w:rPr>
        <w:t xml:space="preserve">No caso de desclassificação da proposta da licitante classificada em primeiro lugar, a negociação poderá ser feita com as demais licitantes classificadas, exclusivamente por meio do sistema eletrônico, respeitada a ordem de classificação. Em caso de propostas intermediárias empatadas, serão utilizados os critérios de desempate previstos no </w:t>
      </w:r>
      <w:r>
        <w:fldChar w:fldCharType="begin"/>
      </w:r>
      <w:r>
        <w:rPr>
          <w:rStyle w:val="54"/>
        </w:rPr>
        <w:instrText xml:space="preserve"> HYPERLINK "https://www.planalto.gov.br/ccivil_03/_ato2019-2022/2021/lei/l14133.htm" \l "art60"</w:instrText>
      </w:r>
      <w:r>
        <w:rPr>
          <w:rStyle w:val="54"/>
        </w:rPr>
        <w:fldChar w:fldCharType="separate"/>
      </w:r>
      <w:r>
        <w:rPr>
          <w:rStyle w:val="54"/>
        </w:rPr>
        <w:t>art. 60 da Lei Federal nº 14.133, de 2021</w:t>
      </w:r>
      <w:r>
        <w:rPr>
          <w:rStyle w:val="54"/>
        </w:rPr>
        <w:fldChar w:fldCharType="end"/>
      </w:r>
      <w:r>
        <w:rPr>
          <w:color w:val="000000"/>
        </w:rPr>
        <w:t xml:space="preserve"> (</w:t>
      </w:r>
      <w:r>
        <w:fldChar w:fldCharType="begin"/>
      </w:r>
      <w:r>
        <w:rPr>
          <w:rStyle w:val="54"/>
        </w:rPr>
        <w:instrText xml:space="preserve"> HYPERLINK "https://www.planalto.gov.br/ccivil_03/_ato2019-2022/2021/lei/l14133.htm" \l "art61"</w:instrText>
      </w:r>
      <w:r>
        <w:rPr>
          <w:rStyle w:val="54"/>
        </w:rPr>
        <w:fldChar w:fldCharType="separate"/>
      </w:r>
      <w:r>
        <w:rPr>
          <w:rStyle w:val="54"/>
        </w:rPr>
        <w:t>art.61, §1º da Lei Federal nº 14.133, de 2021</w:t>
      </w:r>
      <w:r>
        <w:rPr>
          <w:rStyle w:val="54"/>
        </w:rPr>
        <w:fldChar w:fldCharType="end"/>
      </w:r>
      <w:r>
        <w:rPr>
          <w:color w:val="000000"/>
        </w:rPr>
        <w:t>).</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A proposta de preços classificada em primeiro lugar, ajustada ao valor final aceito pelo(a) </w:t>
      </w:r>
      <w:r>
        <w:t>Pregoeiro</w:t>
      </w:r>
      <w:r>
        <w:rPr>
          <w:color w:val="000000"/>
        </w:rPr>
        <w:t xml:space="preserve"> após a devida negociação, deverá ser anexada ao sistema eletrônico após solicitação do(a) </w:t>
      </w:r>
      <w:r>
        <w:t>Pregoeiro</w:t>
      </w:r>
      <w:r>
        <w:rPr>
          <w:color w:val="000000"/>
        </w:rPr>
        <w:t xml:space="preserve"> pela opção "Convocar Anexo", no prazo de 2 (duas) horas, contado de sua solicitação.</w:t>
      </w:r>
    </w:p>
    <w:p>
      <w:pPr>
        <w:pStyle w:val="2"/>
        <w:spacing w:before="360" w:after="0"/>
      </w:pPr>
      <w:bookmarkStart w:id="20" w:name="_Toc149517444"/>
      <w:r>
        <w:rPr>
          <w:rStyle w:val="45"/>
        </w:rPr>
        <w:t>DESCLASSIFICAÇÃO DE PROPOSTA</w:t>
      </w:r>
      <w:bookmarkEnd w:id="20"/>
    </w:p>
    <w:p>
      <w:pPr>
        <w:pStyle w:val="130"/>
        <w:numPr>
          <w:ilvl w:val="1"/>
          <w:numId w:val="1"/>
        </w:numPr>
        <w:tabs>
          <w:tab w:val="left" w:pos="1134"/>
        </w:tabs>
        <w:spacing w:before="120" w:beforeAutospacing="0" w:after="0" w:afterAutospacing="0"/>
        <w:ind w:left="0" w:firstLine="567"/>
        <w:jc w:val="both"/>
        <w:textAlignment w:val="baseline"/>
      </w:pPr>
      <w:r>
        <w:rPr>
          <w:color w:val="000000"/>
        </w:rPr>
        <w:t>Será desclassificada a proposta, que (</w:t>
      </w:r>
      <w:r>
        <w:fldChar w:fldCharType="begin"/>
      </w:r>
      <w:r>
        <w:rPr>
          <w:rStyle w:val="54"/>
        </w:rPr>
        <w:instrText xml:space="preserve"> HYPERLINK "https://www.planalto.gov.br/ccivil_03/_ato2019-2022/2021/lei/l14133.htm" \l "art59"</w:instrText>
      </w:r>
      <w:r>
        <w:rPr>
          <w:rStyle w:val="54"/>
        </w:rPr>
        <w:fldChar w:fldCharType="separate"/>
      </w:r>
      <w:r>
        <w:rPr>
          <w:rStyle w:val="54"/>
        </w:rPr>
        <w:t>art. 59, da Lei Federal nº 14.133, de 2021</w:t>
      </w:r>
      <w:r>
        <w:rPr>
          <w:rStyle w:val="54"/>
        </w:rPr>
        <w:fldChar w:fldCharType="end"/>
      </w:r>
      <w:r>
        <w:rPr>
          <w:color w:val="000000"/>
        </w:rPr>
        <w:t>):</w:t>
      </w:r>
    </w:p>
    <w:p>
      <w:pPr>
        <w:pStyle w:val="130"/>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contiverem vícios insanáveis;</w:t>
      </w:r>
    </w:p>
    <w:p>
      <w:pPr>
        <w:pStyle w:val="130"/>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 xml:space="preserve"> obedecerem às especificações técnicas pormenorizadas no edital;</w:t>
      </w:r>
    </w:p>
    <w:p>
      <w:pPr>
        <w:pStyle w:val="130"/>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presentarem preços inexequíveis e não tiverem sua exequibilidade demonstrada, quando exigido pela Administração;</w:t>
      </w:r>
    </w:p>
    <w:p>
      <w:pPr>
        <w:pStyle w:val="130"/>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com preço superior ao estimado para a contratação;</w:t>
      </w:r>
    </w:p>
    <w:p>
      <w:pPr>
        <w:pStyle w:val="130"/>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Apresentarem desconformidade com quaisquer outras exigências do edital, desde que insanável.</w:t>
      </w:r>
    </w:p>
    <w:p>
      <w:pPr>
        <w:pStyle w:val="130"/>
        <w:numPr>
          <w:ilvl w:val="1"/>
          <w:numId w:val="1"/>
        </w:numPr>
        <w:tabs>
          <w:tab w:val="left" w:pos="1134"/>
        </w:tabs>
        <w:spacing w:before="0" w:beforeAutospacing="0" w:after="0" w:afterAutospacing="0"/>
        <w:ind w:left="0" w:firstLine="567"/>
        <w:jc w:val="both"/>
        <w:textAlignment w:val="baseline"/>
      </w:pPr>
      <w:r>
        <w:t>Erros no preenchimento da planilha não constituem motivo para a desclassificação da proposta. A planilha poderá ser ajustada pelo fornecedor, no prazo indicado pelo sistema, desde que não haja majoração do preço, que se comprove que este é o bastante para arcar com todos os custos da contratação e se limite a sanar erros ou falhas que não alterem a substância das propostas (</w:t>
      </w:r>
      <w:r>
        <w:fldChar w:fldCharType="begin"/>
      </w:r>
      <w:r>
        <w:instrText xml:space="preserve"> HYPERLINK "https://pesquisa.apps.tcu.gov.br/documento/acordao-completo/*/NUMACORDAO%253A1217%2520ANOACORDAO%253A2023%2520/DTRELEVANCIA%2520desc%252C%2520NUMACORDAOINT%2520desc/0" \h </w:instrText>
      </w:r>
      <w:r>
        <w:fldChar w:fldCharType="separate"/>
      </w:r>
      <w:r>
        <w:rPr>
          <w:rStyle w:val="54"/>
        </w:rPr>
        <w:t>Acórdão 1217/2023 Plenário - TCU</w:t>
      </w:r>
      <w:r>
        <w:rPr>
          <w:rStyle w:val="54"/>
        </w:rPr>
        <w:fldChar w:fldCharType="end"/>
      </w:r>
      <w:r>
        <w:t>).</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Será desclassificada a proposta que não corrigir ou não justificar eventuais falhas apontadas pelo(a) </w:t>
      </w:r>
      <w:r>
        <w:t>Pregoeiro</w:t>
      </w:r>
      <w:r>
        <w:rPr>
          <w:color w:val="000000"/>
        </w:rPr>
        <w:t>.</w:t>
      </w:r>
    </w:p>
    <w:p>
      <w:pPr>
        <w:pStyle w:val="2"/>
        <w:spacing w:before="360" w:after="0"/>
      </w:pPr>
      <w:bookmarkStart w:id="21" w:name="_Toc149517445"/>
      <w:r>
        <w:rPr>
          <w:rStyle w:val="45"/>
        </w:rPr>
        <w:t>INEXEQUIBILIDADE DE PROPOSTA</w:t>
      </w:r>
      <w:bookmarkEnd w:id="21"/>
    </w:p>
    <w:p>
      <w:pPr>
        <w:pStyle w:val="130"/>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t>É considerado indício de inexequibilidade das propostas valores inferiores a 50% (cinquenta por cento) do valor orçado pela Administração.</w:t>
      </w:r>
    </w:p>
    <w:p>
      <w:pPr>
        <w:pStyle w:val="130"/>
        <w:numPr>
          <w:ilvl w:val="1"/>
          <w:numId w:val="1"/>
        </w:numPr>
        <w:tabs>
          <w:tab w:val="left" w:pos="1134"/>
        </w:tabs>
        <w:spacing w:before="0" w:beforeAutospacing="0" w:after="120" w:afterAutospacing="0"/>
        <w:ind w:left="0" w:firstLine="567"/>
        <w:jc w:val="both"/>
        <w:textAlignment w:val="baseline"/>
        <w:rPr>
          <w:rFonts w:ascii="Times New Roman" w:hAnsi="Times New Roman"/>
        </w:rPr>
      </w:pPr>
      <w:r>
        <w:rPr>
          <w:color w:val="000000"/>
        </w:rPr>
        <w:t>Se houver indícios de inexequibilidade da proposta de preço, ou em caso da necessidade de esclarecimentos complementares, poderá ser efetuada diligência, e adotados, entre outros e no que couber, os seguintes procedimentos:</w:t>
      </w:r>
    </w:p>
    <w:p>
      <w:pPr>
        <w:pStyle w:val="130"/>
        <w:numPr>
          <w:ilvl w:val="2"/>
          <w:numId w:val="5"/>
        </w:numPr>
        <w:tabs>
          <w:tab w:val="left" w:pos="1134"/>
        </w:tabs>
        <w:spacing w:before="120" w:beforeAutospacing="0" w:after="0" w:afterAutospacing="0"/>
        <w:jc w:val="both"/>
        <w:textAlignment w:val="baseline"/>
        <w:rPr>
          <w:rFonts w:ascii="Times New Roman" w:hAnsi="Times New Roman"/>
        </w:rPr>
      </w:pPr>
      <w:r>
        <w:rPr>
          <w:color w:val="000000"/>
        </w:rPr>
        <w:t>Questionamentos junto à proponente para a apresentação de justificativas e comprovações em relação aos custos com indícios de inexequibilidade;</w:t>
      </w:r>
    </w:p>
    <w:p>
      <w:pPr>
        <w:pStyle w:val="130"/>
        <w:numPr>
          <w:ilvl w:val="2"/>
          <w:numId w:val="5"/>
        </w:numPr>
        <w:tabs>
          <w:tab w:val="left" w:pos="1134"/>
        </w:tabs>
        <w:spacing w:before="0" w:beforeAutospacing="0" w:after="0" w:afterAutospacing="0"/>
        <w:jc w:val="both"/>
        <w:textAlignment w:val="baseline"/>
        <w:rPr>
          <w:rFonts w:ascii="Times New Roman" w:hAnsi="Times New Roman"/>
        </w:rPr>
      </w:pPr>
      <w:r>
        <w:rPr>
          <w:color w:val="000000"/>
        </w:rPr>
        <w:t>verificação de acordos, convenções coletivas ou sentenças normativas;</w:t>
      </w:r>
    </w:p>
    <w:p>
      <w:pPr>
        <w:pStyle w:val="130"/>
        <w:numPr>
          <w:ilvl w:val="2"/>
          <w:numId w:val="5"/>
        </w:numPr>
        <w:tabs>
          <w:tab w:val="left" w:pos="1134"/>
        </w:tabs>
        <w:spacing w:before="0" w:beforeAutospacing="0" w:after="0" w:afterAutospacing="0"/>
        <w:jc w:val="both"/>
        <w:textAlignment w:val="baseline"/>
        <w:rPr>
          <w:rFonts w:ascii="Times New Roman" w:hAnsi="Times New Roman"/>
        </w:rPr>
      </w:pPr>
      <w:r>
        <w:rPr>
          <w:color w:val="000000"/>
        </w:rPr>
        <w:t>levantamento de informações no Ministério do Trabalho e Previdência e consultas às Secretarias de Fazenda Federal, Distrital, Estadual ou Municipal;</w:t>
      </w:r>
    </w:p>
    <w:p>
      <w:pPr>
        <w:pStyle w:val="130"/>
        <w:numPr>
          <w:ilvl w:val="2"/>
          <w:numId w:val="5"/>
        </w:numPr>
        <w:tabs>
          <w:tab w:val="left" w:pos="1134"/>
        </w:tabs>
        <w:spacing w:before="0" w:beforeAutospacing="0" w:after="0" w:afterAutospacing="0"/>
        <w:jc w:val="both"/>
        <w:textAlignment w:val="baseline"/>
        <w:rPr>
          <w:rFonts w:ascii="Times New Roman" w:hAnsi="Times New Roman"/>
        </w:rPr>
      </w:pPr>
      <w:r>
        <w:rPr>
          <w:color w:val="000000"/>
        </w:rPr>
        <w:t>consultas a entidades ou conselhos de classe, sindicatos ou similares;</w:t>
      </w:r>
    </w:p>
    <w:p>
      <w:pPr>
        <w:pStyle w:val="130"/>
        <w:numPr>
          <w:ilvl w:val="2"/>
          <w:numId w:val="5"/>
        </w:numPr>
        <w:tabs>
          <w:tab w:val="left" w:pos="1134"/>
        </w:tabs>
        <w:spacing w:before="0" w:beforeAutospacing="0" w:after="0" w:afterAutospacing="0"/>
        <w:jc w:val="both"/>
        <w:textAlignment w:val="baseline"/>
        <w:rPr>
          <w:rFonts w:ascii="Times New Roman" w:hAnsi="Times New Roman"/>
        </w:rPr>
      </w:pPr>
      <w:r>
        <w:rPr>
          <w:color w:val="000000"/>
        </w:rPr>
        <w:t>pesquisas em órgãos públicos ou empresas privadas para verificação de contratos da mesma natureza;</w:t>
      </w:r>
    </w:p>
    <w:p>
      <w:pPr>
        <w:pStyle w:val="130"/>
        <w:numPr>
          <w:ilvl w:val="2"/>
          <w:numId w:val="5"/>
        </w:numPr>
        <w:tabs>
          <w:tab w:val="left" w:pos="1134"/>
        </w:tabs>
        <w:spacing w:before="0" w:beforeAutospacing="0" w:after="0" w:afterAutospacing="0"/>
        <w:jc w:val="both"/>
        <w:textAlignment w:val="baseline"/>
        <w:rPr>
          <w:rFonts w:ascii="Times New Roman" w:hAnsi="Times New Roman"/>
        </w:rPr>
      </w:pPr>
      <w:r>
        <w:rPr>
          <w:color w:val="000000"/>
        </w:rPr>
        <w:t>pesquisa de preço com fornecedores dos insumos utilizados, tais como atacadistas, lojas de suprimentos, supermercados e fabricantes;</w:t>
      </w:r>
    </w:p>
    <w:p>
      <w:pPr>
        <w:pStyle w:val="130"/>
        <w:numPr>
          <w:ilvl w:val="2"/>
          <w:numId w:val="5"/>
        </w:numPr>
        <w:tabs>
          <w:tab w:val="left" w:pos="1134"/>
        </w:tabs>
        <w:spacing w:before="0" w:beforeAutospacing="0" w:after="0" w:afterAutospacing="0"/>
        <w:jc w:val="both"/>
        <w:textAlignment w:val="baseline"/>
        <w:rPr>
          <w:rFonts w:ascii="Times New Roman" w:hAnsi="Times New Roman"/>
        </w:rPr>
      </w:pPr>
      <w:r>
        <w:rPr>
          <w:color w:val="000000"/>
        </w:rPr>
        <w:t>verificação de notas fiscais dos produtos adquiridos pelo proponente;</w:t>
      </w:r>
    </w:p>
    <w:p>
      <w:pPr>
        <w:pStyle w:val="130"/>
        <w:numPr>
          <w:ilvl w:val="2"/>
          <w:numId w:val="5"/>
        </w:numPr>
        <w:tabs>
          <w:tab w:val="left" w:pos="1134"/>
        </w:tabs>
        <w:spacing w:before="0" w:beforeAutospacing="0" w:after="0" w:afterAutospacing="0"/>
        <w:jc w:val="both"/>
        <w:textAlignment w:val="baseline"/>
        <w:rPr>
          <w:rFonts w:ascii="Times New Roman" w:hAnsi="Times New Roman"/>
        </w:rPr>
      </w:pPr>
      <w:r>
        <w:rPr>
          <w:color w:val="000000"/>
        </w:rPr>
        <w:t>levantamento de indicadores salariais ou trabalhistas publicados por órgãos de pesquisa;</w:t>
      </w:r>
    </w:p>
    <w:p>
      <w:pPr>
        <w:pStyle w:val="130"/>
        <w:numPr>
          <w:ilvl w:val="2"/>
          <w:numId w:val="5"/>
        </w:numPr>
        <w:tabs>
          <w:tab w:val="left" w:pos="1134"/>
        </w:tabs>
        <w:spacing w:before="0" w:beforeAutospacing="0" w:after="0" w:afterAutospacing="0"/>
        <w:jc w:val="both"/>
        <w:textAlignment w:val="baseline"/>
        <w:rPr>
          <w:rFonts w:ascii="Times New Roman" w:hAnsi="Times New Roman"/>
        </w:rPr>
      </w:pPr>
      <w:r>
        <w:rPr>
          <w:color w:val="000000"/>
        </w:rPr>
        <w:t>estudos setoriais;</w:t>
      </w:r>
    </w:p>
    <w:p>
      <w:pPr>
        <w:pStyle w:val="130"/>
        <w:numPr>
          <w:ilvl w:val="2"/>
          <w:numId w:val="5"/>
        </w:numPr>
        <w:tabs>
          <w:tab w:val="left" w:pos="1134"/>
        </w:tabs>
        <w:spacing w:before="0" w:beforeAutospacing="0" w:after="0" w:afterAutospacing="0"/>
        <w:jc w:val="both"/>
        <w:textAlignment w:val="baseline"/>
        <w:rPr>
          <w:rFonts w:ascii="Times New Roman" w:hAnsi="Times New Roman"/>
        </w:rPr>
      </w:pPr>
      <w:r>
        <w:rPr>
          <w:color w:val="000000"/>
        </w:rPr>
        <w:t>análise de soluções técnicas e/ou condições excepcionalmente favoráveis que o proponente detenha para o fornecimento dos produtos; e</w:t>
      </w:r>
    </w:p>
    <w:p>
      <w:pPr>
        <w:pStyle w:val="130"/>
        <w:numPr>
          <w:ilvl w:val="2"/>
          <w:numId w:val="5"/>
        </w:numPr>
        <w:tabs>
          <w:tab w:val="left" w:pos="1134"/>
        </w:tabs>
        <w:spacing w:before="0" w:beforeAutospacing="0" w:after="120" w:afterAutospacing="0"/>
        <w:jc w:val="both"/>
        <w:textAlignment w:val="baseline"/>
        <w:rPr>
          <w:rFonts w:ascii="Times New Roman" w:hAnsi="Times New Roman"/>
        </w:rPr>
      </w:pPr>
      <w:r>
        <w:rPr>
          <w:color w:val="000000"/>
        </w:rPr>
        <w:t>demais verificações que porventura se fizerem necessárias.</w:t>
      </w:r>
    </w:p>
    <w:p>
      <w:pPr>
        <w:pStyle w:val="130"/>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t xml:space="preserve">A </w:t>
      </w:r>
      <w:r>
        <w:rPr>
          <w:color w:val="000000"/>
        </w:rPr>
        <w:t>inexequibilidade</w:t>
      </w:r>
      <w:r>
        <w:t xml:space="preserve"> só será considerada após diligência do pregoeiro, que comprove:</w:t>
      </w:r>
    </w:p>
    <w:p>
      <w:pPr>
        <w:pStyle w:val="130"/>
        <w:numPr>
          <w:ilvl w:val="2"/>
          <w:numId w:val="1"/>
        </w:numPr>
        <w:tabs>
          <w:tab w:val="left" w:pos="1134"/>
        </w:tabs>
        <w:spacing w:before="0" w:beforeAutospacing="0" w:after="0" w:afterAutospacing="0"/>
        <w:jc w:val="both"/>
        <w:textAlignment w:val="baseline"/>
        <w:rPr>
          <w:rFonts w:ascii="Times New Roman" w:hAnsi="Times New Roman"/>
        </w:rPr>
      </w:pPr>
      <w:r>
        <w:t xml:space="preserve">que o </w:t>
      </w:r>
      <w:r>
        <w:rPr>
          <w:color w:val="000000"/>
        </w:rPr>
        <w:t>custo</w:t>
      </w:r>
      <w:r>
        <w:t xml:space="preserve"> do licitante ultrapassa o valor da proposta; e</w:t>
      </w:r>
    </w:p>
    <w:p>
      <w:pPr>
        <w:pStyle w:val="130"/>
        <w:numPr>
          <w:ilvl w:val="2"/>
          <w:numId w:val="1"/>
        </w:numPr>
        <w:tabs>
          <w:tab w:val="left" w:pos="1134"/>
        </w:tabs>
        <w:spacing w:before="0" w:beforeAutospacing="0" w:after="0" w:afterAutospacing="0"/>
        <w:jc w:val="both"/>
        <w:textAlignment w:val="baseline"/>
        <w:rPr>
          <w:rFonts w:ascii="Times New Roman" w:hAnsi="Times New Roman"/>
        </w:rPr>
      </w:pPr>
      <w:r>
        <w:t>inexistirem custos de oportunidade capazes de justificar o vulto da oferta.</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A inexequibilidade da proposta será considerada quando a diligência comprovar que os custos da licitante ultrapassam o valor da proposta, bem como se inexistirem custos de oportunidade capazes de justificar o vulto da oferta.</w:t>
      </w:r>
    </w:p>
    <w:p>
      <w:pPr>
        <w:pStyle w:val="2"/>
        <w:spacing w:before="360" w:after="0"/>
      </w:pPr>
      <w:bookmarkStart w:id="22" w:name="_Toc149517446"/>
      <w:r>
        <w:rPr>
          <w:rStyle w:val="45"/>
        </w:rPr>
        <w:t>PROPOSTA CLASSIFICADA EM PRIMEIRO LUGAR</w:t>
      </w:r>
      <w:bookmarkEnd w:id="22"/>
      <w:r>
        <w:rPr>
          <w:rStyle w:val="45"/>
        </w:rPr>
        <w:t> </w:t>
      </w:r>
    </w:p>
    <w:p>
      <w:pPr>
        <w:pStyle w:val="130"/>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rPr>
          <w:color w:val="000000"/>
        </w:rPr>
        <w:t xml:space="preserve">Na hipótese de a proposta não ser aceitável ou se a licitante classificada em primeiro lugar não atender às exigências para a habilitação, o(a) </w:t>
      </w:r>
      <w:r>
        <w:t>Pregoeiro</w:t>
      </w:r>
      <w:r>
        <w:rPr>
          <w:color w:val="000000"/>
        </w:rPr>
        <w:t xml:space="preserve"> examinará a proposta subsequente até a apuração de uma proposta que atenda aos requisitos descritos neste Edital.</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Constatado o atendimento às exigências fixadas neste Edital, a licitante classificada em primeiro lugar será declarada vencedora da licitação.</w:t>
      </w:r>
    </w:p>
    <w:p>
      <w:pPr>
        <w:pStyle w:val="130"/>
        <w:numPr>
          <w:ilvl w:val="1"/>
          <w:numId w:val="1"/>
        </w:numPr>
        <w:tabs>
          <w:tab w:val="left" w:pos="1134"/>
        </w:tabs>
        <w:spacing w:before="0" w:beforeAutospacing="0" w:after="0" w:afterAutospacing="0"/>
        <w:ind w:left="0" w:firstLine="567"/>
        <w:jc w:val="both"/>
        <w:textAlignment w:val="baseline"/>
      </w:pPr>
      <w:r>
        <w:rPr>
          <w:color w:val="000000"/>
        </w:rPr>
        <w:t xml:space="preserve">No julgamento da habilitação e das propostas, o(a) </w:t>
      </w:r>
      <w:r>
        <w:t>Pregoeiro</w:t>
      </w:r>
      <w:r>
        <w:rPr>
          <w:color w:val="000000"/>
        </w:rPr>
        <w:t xml:space="preserve"> poderá sanar erros ou falhas que não alterem substancialmente as propostas, dos documentos de habilitação e sua validade jurídica, mediante despacho fundamentado, registrado em ata e acessível a todos, atribuindo-lhes validade e eficácia para fins de habilitação e classificação (</w:t>
      </w:r>
      <w:r>
        <w:fldChar w:fldCharType="begin"/>
      </w:r>
      <w:r>
        <w:rPr>
          <w:rStyle w:val="54"/>
        </w:rPr>
        <w:instrText xml:space="preserve"> HYPERLINK "https://www.planalto.gov.br/ccivil_03/_ato2019-2022/2021/lei/l14133.htm" \l "art64"</w:instrText>
      </w:r>
      <w:r>
        <w:rPr>
          <w:rStyle w:val="54"/>
        </w:rPr>
        <w:fldChar w:fldCharType="separate"/>
      </w:r>
      <w:r>
        <w:rPr>
          <w:rStyle w:val="54"/>
        </w:rPr>
        <w:t>art. 64, §1º, da Lei Federal nº 14.133, de 2021</w:t>
      </w:r>
      <w:r>
        <w:rPr>
          <w:rStyle w:val="54"/>
        </w:rPr>
        <w:fldChar w:fldCharType="end"/>
      </w:r>
      <w:r>
        <w:rPr>
          <w:color w:val="000000"/>
        </w:rPr>
        <w:t>).</w:t>
      </w:r>
    </w:p>
    <w:p>
      <w:pPr>
        <w:pStyle w:val="130"/>
        <w:numPr>
          <w:ilvl w:val="1"/>
          <w:numId w:val="1"/>
        </w:numPr>
        <w:tabs>
          <w:tab w:val="left" w:pos="1134"/>
        </w:tabs>
        <w:spacing w:before="0" w:beforeAutospacing="0" w:after="0" w:afterAutospacing="0"/>
        <w:ind w:left="0" w:firstLine="567"/>
        <w:jc w:val="both"/>
        <w:textAlignment w:val="baseline"/>
      </w:pPr>
      <w:r>
        <w:rPr>
          <w:color w:val="000000"/>
        </w:rPr>
        <w:t xml:space="preserve">Caso haja necessidade de suspensão da sessão pública para a realização de diligências, com vistas ao saneamento de que trata item anterior, a sessão pública será reiniciada mediante aviso prévio no sistema com, no mínimo, 12 (doze) horas de antecedência, sendo a ocorrência registrada em ata e disponibilizada no </w:t>
      </w:r>
      <w:r>
        <w:t xml:space="preserve">Portal Licitanet, disponível no endereço eletrônico: </w:t>
      </w:r>
      <w:r>
        <w:fldChar w:fldCharType="begin"/>
      </w:r>
      <w:r>
        <w:instrText xml:space="preserve"> HYPERLINK "https://www.licitanet.com.br/" \h </w:instrText>
      </w:r>
      <w:r>
        <w:fldChar w:fldCharType="separate"/>
      </w:r>
      <w:r>
        <w:rPr>
          <w:rStyle w:val="54"/>
        </w:rPr>
        <w:t>https://www.licitanet.com.br/</w:t>
      </w:r>
      <w:r>
        <w:rPr>
          <w:rStyle w:val="54"/>
        </w:rPr>
        <w:fldChar w:fldCharType="end"/>
      </w:r>
      <w:r>
        <w:rPr>
          <w:color w:val="000000"/>
        </w:rPr>
        <w:t>.</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A proposta de preços classificada em primeiro lugar, ajustada ao último lance ofertado pela licitante e, se necessário, com os documentos complementares solicitados pelo(a) </w:t>
      </w:r>
      <w:r>
        <w:t>Pregoeiro</w:t>
      </w:r>
      <w:r>
        <w:rPr>
          <w:color w:val="000000"/>
        </w:rPr>
        <w:t>, deverá ser anexada ao sistema eletrônico após a solicitação pela opção “Convocar Anexo”, no prazo de 2 (duas) horas, contado de sua solicitação.</w:t>
      </w:r>
    </w:p>
    <w:p>
      <w:pPr>
        <w:pStyle w:val="130"/>
        <w:numPr>
          <w:ilvl w:val="1"/>
          <w:numId w:val="1"/>
        </w:numPr>
        <w:tabs>
          <w:tab w:val="left" w:pos="1134"/>
        </w:tabs>
        <w:spacing w:before="0" w:beforeAutospacing="0" w:after="120" w:afterAutospacing="0"/>
        <w:ind w:left="0" w:firstLine="567"/>
        <w:jc w:val="both"/>
        <w:textAlignment w:val="baseline"/>
        <w:rPr>
          <w:rFonts w:ascii="Times New Roman" w:hAnsi="Times New Roman"/>
        </w:rPr>
      </w:pPr>
      <w:r>
        <w:rPr>
          <w:color w:val="000000"/>
        </w:rPr>
        <w:t>O prazo definido no item anterior poderá ser prorrogado por igual período, quando:</w:t>
      </w:r>
    </w:p>
    <w:p>
      <w:pPr>
        <w:pStyle w:val="130"/>
        <w:numPr>
          <w:ilvl w:val="2"/>
          <w:numId w:val="6"/>
        </w:numPr>
        <w:tabs>
          <w:tab w:val="left" w:pos="1134"/>
        </w:tabs>
        <w:spacing w:before="120" w:beforeAutospacing="0" w:after="0" w:afterAutospacing="0"/>
        <w:jc w:val="both"/>
        <w:textAlignment w:val="baseline"/>
        <w:rPr>
          <w:rFonts w:ascii="Times New Roman" w:hAnsi="Times New Roman"/>
        </w:rPr>
      </w:pPr>
      <w:r>
        <w:rPr>
          <w:color w:val="000000"/>
        </w:rPr>
        <w:t xml:space="preserve">solicitado pela licitante, mediante justificativa aceita pelo(a) </w:t>
      </w:r>
      <w:r>
        <w:t>Pregoeiro</w:t>
      </w:r>
      <w:r>
        <w:rPr>
          <w:color w:val="000000"/>
        </w:rPr>
        <w:t>; ou</w:t>
      </w:r>
    </w:p>
    <w:p>
      <w:pPr>
        <w:pStyle w:val="130"/>
        <w:numPr>
          <w:ilvl w:val="2"/>
          <w:numId w:val="6"/>
        </w:numPr>
        <w:tabs>
          <w:tab w:val="left" w:pos="1134"/>
        </w:tabs>
        <w:spacing w:before="0" w:beforeAutospacing="0" w:after="120" w:afterAutospacing="0"/>
        <w:jc w:val="both"/>
        <w:textAlignment w:val="baseline"/>
        <w:rPr>
          <w:rFonts w:ascii="Times New Roman" w:hAnsi="Times New Roman"/>
        </w:rPr>
      </w:pPr>
      <w:r>
        <w:rPr>
          <w:color w:val="000000"/>
        </w:rPr>
        <w:t xml:space="preserve">de ofício, a critério do(a) </w:t>
      </w:r>
      <w:r>
        <w:t>Pregoeiro</w:t>
      </w:r>
      <w:r>
        <w:rPr>
          <w:color w:val="000000"/>
        </w:rPr>
        <w:t>, quando constatado que o prazo estabelecido não é suficiente para o envio dos documentos exigidos.</w:t>
      </w:r>
    </w:p>
    <w:p>
      <w:pPr>
        <w:pStyle w:val="130"/>
        <w:numPr>
          <w:ilvl w:val="1"/>
          <w:numId w:val="1"/>
        </w:numPr>
        <w:tabs>
          <w:tab w:val="left" w:pos="1134"/>
        </w:tabs>
        <w:spacing w:before="120" w:beforeAutospacing="0" w:after="120" w:afterAutospacing="0"/>
        <w:ind w:left="0" w:firstLine="567"/>
        <w:jc w:val="both"/>
        <w:textAlignment w:val="baseline"/>
        <w:rPr>
          <w:rFonts w:ascii="Times New Roman" w:hAnsi="Times New Roman"/>
        </w:rPr>
      </w:pPr>
      <w:r>
        <w:rPr>
          <w:color w:val="000000"/>
        </w:rPr>
        <w:t>A proposta de preços deverá ser elaborada com observância das seguintes exigências:</w:t>
      </w:r>
    </w:p>
    <w:p>
      <w:pPr>
        <w:pStyle w:val="130"/>
        <w:numPr>
          <w:ilvl w:val="2"/>
          <w:numId w:val="7"/>
        </w:numPr>
        <w:tabs>
          <w:tab w:val="left" w:pos="1134"/>
        </w:tabs>
        <w:spacing w:before="120" w:beforeAutospacing="0" w:after="0" w:afterAutospacing="0"/>
        <w:jc w:val="both"/>
        <w:textAlignment w:val="baseline"/>
        <w:rPr>
          <w:rFonts w:ascii="Times New Roman" w:hAnsi="Times New Roman"/>
        </w:rPr>
      </w:pPr>
      <w:r>
        <w:rPr>
          <w:color w:val="000000"/>
        </w:rPr>
        <w:t>não conter cotações alternativas, emendas ou entrelinhas;</w:t>
      </w:r>
    </w:p>
    <w:p>
      <w:pPr>
        <w:pStyle w:val="130"/>
        <w:numPr>
          <w:ilvl w:val="2"/>
          <w:numId w:val="7"/>
        </w:numPr>
        <w:tabs>
          <w:tab w:val="left" w:pos="1134"/>
        </w:tabs>
        <w:spacing w:before="0" w:beforeAutospacing="0" w:after="0" w:afterAutospacing="0"/>
        <w:jc w:val="both"/>
        <w:textAlignment w:val="baseline"/>
        <w:rPr>
          <w:rFonts w:ascii="Times New Roman" w:hAnsi="Times New Roman"/>
        </w:rPr>
      </w:pPr>
      <w:r>
        <w:rPr>
          <w:color w:val="000000"/>
        </w:rPr>
        <w:t>fazer menção ao número deste Edital, conter a razão social do licitante, seu CNPJ, dados bancários e endereço completo;</w:t>
      </w:r>
    </w:p>
    <w:p>
      <w:pPr>
        <w:pStyle w:val="130"/>
        <w:numPr>
          <w:ilvl w:val="3"/>
          <w:numId w:val="7"/>
        </w:numPr>
        <w:tabs>
          <w:tab w:val="left" w:pos="1134"/>
        </w:tabs>
        <w:spacing w:before="0" w:beforeAutospacing="0" w:after="0" w:afterAutospacing="0"/>
        <w:jc w:val="both"/>
        <w:textAlignment w:val="baseline"/>
        <w:rPr>
          <w:rFonts w:ascii="Times New Roman" w:hAnsi="Times New Roman"/>
        </w:rPr>
      </w:pPr>
      <w:r>
        <w:rPr>
          <w:color w:val="000000"/>
        </w:rPr>
        <w:t>a falta do CNPJ e (ou) endereço completo poderá ser preenchida pelos dados constantes no sistema eletrônico.</w:t>
      </w:r>
    </w:p>
    <w:p>
      <w:pPr>
        <w:pStyle w:val="130"/>
        <w:numPr>
          <w:ilvl w:val="2"/>
          <w:numId w:val="7"/>
        </w:numPr>
        <w:tabs>
          <w:tab w:val="left" w:pos="1134"/>
        </w:tabs>
        <w:spacing w:before="0" w:beforeAutospacing="0" w:after="0" w:afterAutospacing="0"/>
        <w:jc w:val="both"/>
        <w:textAlignment w:val="baseline"/>
        <w:rPr>
          <w:rFonts w:ascii="Times New Roman" w:hAnsi="Times New Roman"/>
        </w:rPr>
      </w:pPr>
      <w:r>
        <w:rPr>
          <w:color w:val="000000"/>
        </w:rPr>
        <w:t>conter cotação de preço unitário e total para o item/lote ofertado, em moeda corrente nacional (Real), incluídos todos os tributos, taxas, fretes e demais encargos pertinentes, conforme Modelo de Proposta previsto no Anexo VI deste Edital;</w:t>
      </w:r>
    </w:p>
    <w:p>
      <w:pPr>
        <w:pStyle w:val="130"/>
        <w:numPr>
          <w:ilvl w:val="3"/>
          <w:numId w:val="7"/>
        </w:numPr>
        <w:tabs>
          <w:tab w:val="left" w:pos="1134"/>
        </w:tabs>
        <w:spacing w:before="0" w:beforeAutospacing="0" w:after="0" w:afterAutospacing="0"/>
        <w:jc w:val="both"/>
        <w:textAlignment w:val="baseline"/>
        <w:rPr>
          <w:rFonts w:ascii="Times New Roman" w:hAnsi="Times New Roman"/>
        </w:rPr>
      </w:pPr>
      <w:r>
        <w:rPr>
          <w:color w:val="000000"/>
        </w:rPr>
        <w:t xml:space="preserve">os custos relacionados ao fornecimento do objeto deverão ser detalhados para efeito de eventual reequilíbrio dos preços contratados; </w:t>
      </w:r>
    </w:p>
    <w:p>
      <w:pPr>
        <w:pStyle w:val="130"/>
        <w:numPr>
          <w:ilvl w:val="3"/>
          <w:numId w:val="7"/>
        </w:numPr>
        <w:tabs>
          <w:tab w:val="left" w:pos="1134"/>
        </w:tabs>
        <w:spacing w:before="0" w:beforeAutospacing="0" w:after="0" w:afterAutospacing="0"/>
        <w:jc w:val="both"/>
        <w:textAlignment w:val="baseline"/>
      </w:pPr>
      <w:r>
        <w:rPr>
          <w:color w:val="000000"/>
        </w:rPr>
        <w:t xml:space="preserve">o preço unitário/total máximo para o item/lote é o que consta do </w:t>
      </w:r>
      <w:r>
        <w:rPr>
          <w:rStyle w:val="45"/>
          <w:color w:val="000000"/>
        </w:rPr>
        <w:t>Termo de Referência</w:t>
      </w:r>
      <w:r>
        <w:rPr>
          <w:color w:val="000000"/>
        </w:rPr>
        <w:t xml:space="preserve"> - Anexo I deste Edital;</w:t>
      </w:r>
    </w:p>
    <w:p>
      <w:pPr>
        <w:pStyle w:val="130"/>
        <w:numPr>
          <w:ilvl w:val="2"/>
          <w:numId w:val="7"/>
        </w:numPr>
        <w:tabs>
          <w:tab w:val="left" w:pos="1134"/>
        </w:tabs>
        <w:spacing w:before="0" w:beforeAutospacing="0" w:after="0" w:afterAutospacing="0"/>
        <w:jc w:val="both"/>
        <w:textAlignment w:val="baseline"/>
        <w:rPr>
          <w:rFonts w:ascii="Times New Roman" w:hAnsi="Times New Roman"/>
        </w:rPr>
      </w:pPr>
      <w:r>
        <w:rPr>
          <w:color w:val="000000"/>
        </w:rPr>
        <w:t>conter a marca e, se existir, informar o modelo;</w:t>
      </w:r>
    </w:p>
    <w:p>
      <w:pPr>
        <w:pStyle w:val="130"/>
        <w:numPr>
          <w:ilvl w:val="3"/>
          <w:numId w:val="7"/>
        </w:numPr>
        <w:tabs>
          <w:tab w:val="left" w:pos="1134"/>
        </w:tabs>
        <w:spacing w:before="0" w:beforeAutospacing="0" w:after="0" w:afterAutospacing="0"/>
        <w:jc w:val="both"/>
        <w:textAlignment w:val="baseline"/>
      </w:pPr>
      <w:r>
        <w:rPr>
          <w:color w:val="000000"/>
        </w:rPr>
        <w:t xml:space="preserve">será aceita a oferta de produtos com marcas diferentes da marca de referência, desde que apresentem qualidade igual ou superior, observado o </w:t>
      </w:r>
      <w:r>
        <w:fldChar w:fldCharType="begin"/>
      </w:r>
      <w:r>
        <w:rPr>
          <w:rStyle w:val="54"/>
        </w:rPr>
        <w:instrText xml:space="preserve"> HYPERLINK "https://www.planalto.gov.br/ccivil_03/_ato2019-2022/2021/lei/l14133.htm" \l "art42"</w:instrText>
      </w:r>
      <w:r>
        <w:rPr>
          <w:rStyle w:val="54"/>
        </w:rPr>
        <w:fldChar w:fldCharType="separate"/>
      </w:r>
      <w:r>
        <w:rPr>
          <w:rStyle w:val="54"/>
        </w:rPr>
        <w:t>art. 42 da Lei Federal nº 14.133, de 2021</w:t>
      </w:r>
      <w:r>
        <w:rPr>
          <w:rStyle w:val="54"/>
        </w:rPr>
        <w:fldChar w:fldCharType="end"/>
      </w:r>
      <w:r>
        <w:rPr>
          <w:color w:val="000000"/>
        </w:rPr>
        <w:t>.</w:t>
      </w:r>
    </w:p>
    <w:p>
      <w:pPr>
        <w:pStyle w:val="130"/>
        <w:numPr>
          <w:ilvl w:val="2"/>
          <w:numId w:val="7"/>
        </w:numPr>
        <w:tabs>
          <w:tab w:val="left" w:pos="1134"/>
        </w:tabs>
        <w:spacing w:before="0" w:beforeAutospacing="0" w:after="120" w:afterAutospacing="0"/>
        <w:jc w:val="both"/>
        <w:textAlignment w:val="baseline"/>
        <w:rPr>
          <w:rFonts w:ascii="Times New Roman" w:hAnsi="Times New Roman"/>
        </w:rPr>
      </w:pPr>
      <w:r>
        <w:rPr>
          <w:color w:val="000000"/>
        </w:rPr>
        <w:t>indicar o número do CNPJ da filial ou do estabelecimento da licitante que emitirá a nota fiscal referente ao fornecimento dos materiais, indicação essa indispensável para efeito de empenho da despesa, liquidação do objeto contratado e realização do pagamento.</w:t>
      </w:r>
    </w:p>
    <w:p>
      <w:pPr>
        <w:pStyle w:val="130"/>
        <w:numPr>
          <w:ilvl w:val="1"/>
          <w:numId w:val="1"/>
        </w:numPr>
        <w:tabs>
          <w:tab w:val="left" w:pos="1134"/>
        </w:tabs>
        <w:spacing w:before="120" w:beforeAutospacing="0" w:after="0" w:afterAutospacing="0"/>
        <w:ind w:left="0" w:firstLine="567"/>
        <w:jc w:val="both"/>
        <w:textAlignment w:val="baseline"/>
      </w:pPr>
      <w:r>
        <w:rPr>
          <w:color w:val="000000"/>
        </w:rPr>
        <w:t xml:space="preserve">A apresentação da proposta implicará, necessariamente, a anuência a todas as exigências contidas neste Edital e seus anexos, inclusive quanto ao prazo de entrega e condições de garantia, conforme </w:t>
      </w:r>
      <w:r>
        <w:rPr>
          <w:rStyle w:val="45"/>
          <w:color w:val="000000"/>
        </w:rPr>
        <w:t>Termo de Referência</w:t>
      </w:r>
      <w:r>
        <w:rPr>
          <w:color w:val="000000"/>
        </w:rPr>
        <w:t xml:space="preserve"> - Anexo I deste Edital, bem como quanto ao prazo de validade da proposta, não inferior a 60 (sessenta) dias, contados da data de sua entrega (</w:t>
      </w:r>
      <w:r>
        <w:fldChar w:fldCharType="begin"/>
      </w:r>
      <w:r>
        <w:rPr>
          <w:rStyle w:val="54"/>
        </w:rPr>
        <w:instrText xml:space="preserve"> HYPERLINK "https://www.planalto.gov.br/ccivil_03/_ato2019-2022/2021/lei/l14133.htm" \l "art90"</w:instrText>
      </w:r>
      <w:r>
        <w:rPr>
          <w:rStyle w:val="54"/>
        </w:rPr>
        <w:fldChar w:fldCharType="separate"/>
      </w:r>
      <w:r>
        <w:rPr>
          <w:rStyle w:val="54"/>
        </w:rPr>
        <w:t>art. 90, §3º, da Lei Federal nº 14.133, de 2021</w:t>
      </w:r>
      <w:r>
        <w:rPr>
          <w:rStyle w:val="54"/>
        </w:rPr>
        <w:fldChar w:fldCharType="end"/>
      </w:r>
      <w:r>
        <w:rPr>
          <w:color w:val="000000"/>
        </w:rPr>
        <w:t>).</w:t>
      </w:r>
    </w:p>
    <w:p>
      <w:pPr>
        <w:pStyle w:val="2"/>
        <w:spacing w:before="360" w:after="0"/>
      </w:pPr>
      <w:bookmarkStart w:id="23" w:name="_Toc149517447"/>
      <w:r>
        <w:rPr>
          <w:rStyle w:val="45"/>
        </w:rPr>
        <w:t>ACEITABILIDADE DA PROPOSTA</w:t>
      </w:r>
      <w:bookmarkEnd w:id="23"/>
    </w:p>
    <w:p>
      <w:pPr>
        <w:pStyle w:val="130"/>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rPr>
          <w:color w:val="000000"/>
        </w:rPr>
        <w:t xml:space="preserve">Encerrada a etapa de negociação, o(a) </w:t>
      </w:r>
      <w:r>
        <w:t>Pregoeiro</w:t>
      </w:r>
      <w:r>
        <w:rPr>
          <w:color w:val="000000"/>
        </w:rPr>
        <w:t xml:space="preserve"> examinará a proposta classificada em primeiro lugar quanto à adequação ao objeto e à compatibilidade do preço em relação ao máximo estipulado para contratação neste Edital e em seus anexos.</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A licitante classificada em primeiro lugar deverá encaminhar a proposta de preços adequada ao novo valor por ela ofertado, em até 2 (duas) horas, bem como as especificações estipuladas no Edital e seus anexos.</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Qualquer interessado poderá requerer que se realizem diligências para aferir a exequibilidade e a legalidade das propostas, devendo apresentar as provas ou os indícios que fundamentam a suspeita.</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Na hipótese de necessidade de suspensão da sessão pública para a realização de diligências, com vistas ao saneamento das propostas, a sessão pública somente poderá ser reiniciada mediante aviso prévio no sistema com, no mínimo, 12 (doze) horas de antecedência, e a ocorrência será registrada em ata.</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O(A) </w:t>
      </w:r>
      <w:r>
        <w:t>Pregoeiro</w:t>
      </w:r>
      <w:r>
        <w:rPr>
          <w:color w:val="000000"/>
        </w:rPr>
        <w:t xml:space="preserve"> poderá convocar o licitante para enviar documento digital complementar, por meio de funcionalidade disponível no sistema, no prazo mínimo de 2 (duas) horas, sob pena de não aceitação da proposta.</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O prazo estabelecido no item anterior poderá ser prorrogado pelo(a) </w:t>
      </w:r>
      <w:r>
        <w:t>Pregoeiro</w:t>
      </w:r>
      <w:r>
        <w:rPr>
          <w:color w:val="000000"/>
        </w:rPr>
        <w:t xml:space="preserve"> por solicitação escrita e justificada do licitante, formulada antes de findo o prazo, e formalmente aceita pelo(a) </w:t>
      </w:r>
      <w:r>
        <w:t>Pregoeiro</w:t>
      </w:r>
      <w:r>
        <w:rPr>
          <w:color w:val="000000"/>
        </w:rPr>
        <w:t>.</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Para fins de análise da proposta quanto ao cumprimento das especificações do objeto, poderá ser colhida a manifestação escrita do setor requisitante do produto ou da área especializada no objeto.</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Se a proposta ou lance vencedor for desclassificado, o(a) </w:t>
      </w:r>
      <w:r>
        <w:t>Pregoeiro</w:t>
      </w:r>
      <w:r>
        <w:rPr>
          <w:color w:val="000000"/>
        </w:rPr>
        <w:t xml:space="preserve"> examinará a proposta ou lance subsequente, e, assim sucessivamente, na ordem de classificação.</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O(A) </w:t>
      </w:r>
      <w:r>
        <w:t>Pregoeiro</w:t>
      </w:r>
      <w:r>
        <w:rPr>
          <w:color w:val="000000"/>
        </w:rPr>
        <w:t xml:space="preserve"> poderá encaminhar, por meio do sistema eletrônico, contraproposta ao licitante que apresentou o lance mais vantajoso, com o fim de negociar a obtenção de melhor preço, vedada a negociação em condições diversas das previstas neste Edital. </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Também nas hipóteses em que o(a) </w:t>
      </w:r>
      <w:r>
        <w:t>Pregoeiro</w:t>
      </w:r>
      <w:r>
        <w:rPr>
          <w:color w:val="000000"/>
        </w:rPr>
        <w:t xml:space="preserve"> não aceitar a proposta do licitante vencedor e passar à subsequente, poderá negociar com o licitante para que seja obtido preço melhor. A(s) negociação(ões) será(ão) realizada(s) por meio do sistema, podendo ser acompanhada pelos demais licitantes. </w:t>
      </w:r>
    </w:p>
    <w:p>
      <w:pPr>
        <w:pStyle w:val="130"/>
        <w:numPr>
          <w:ilvl w:val="1"/>
          <w:numId w:val="1"/>
        </w:numPr>
        <w:tabs>
          <w:tab w:val="left" w:pos="1134"/>
        </w:tabs>
        <w:spacing w:before="0" w:beforeAutospacing="0" w:after="0" w:afterAutospacing="0"/>
        <w:ind w:left="0" w:firstLine="567"/>
        <w:jc w:val="both"/>
        <w:textAlignment w:val="baseline"/>
      </w:pPr>
      <w:r>
        <w:rPr>
          <w:color w:val="000000"/>
        </w:rPr>
        <w:t xml:space="preserve">Sempre que a proposta não for aceita, e antes de o(a) </w:t>
      </w:r>
      <w:r>
        <w:t>Pregoeiro</w:t>
      </w:r>
      <w:r>
        <w:rPr>
          <w:color w:val="000000"/>
        </w:rPr>
        <w:t xml:space="preserve"> passar à subsequente, haverá nova verificação, pelo sistema, da eventual ocorrência do empate ficto, previsto nos </w:t>
      </w:r>
      <w:r>
        <w:fldChar w:fldCharType="begin"/>
      </w:r>
      <w:r>
        <w:rPr>
          <w:rStyle w:val="54"/>
        </w:rPr>
        <w:instrText xml:space="preserve"> HYPERLINK "https://www.planalto.gov.br/ccivil_03/leis/lcp/lcp123.htm" \l "art44"</w:instrText>
      </w:r>
      <w:r>
        <w:rPr>
          <w:rStyle w:val="54"/>
        </w:rPr>
        <w:fldChar w:fldCharType="separate"/>
      </w:r>
      <w:r>
        <w:rPr>
          <w:rStyle w:val="54"/>
        </w:rPr>
        <w:t>arts. 44 e 45 da Lei Complementar Federal nº 123, de 2006</w:t>
      </w:r>
      <w:r>
        <w:rPr>
          <w:rStyle w:val="54"/>
        </w:rPr>
        <w:fldChar w:fldCharType="end"/>
      </w:r>
      <w:r>
        <w:rPr>
          <w:color w:val="000000"/>
        </w:rPr>
        <w:t>, seguindo-se a disciplina antes estabelecida, se for o caso.</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Havendo necessidade, o(a) </w:t>
      </w:r>
      <w:r>
        <w:t>Pregoeiro</w:t>
      </w:r>
      <w:r>
        <w:rPr>
          <w:color w:val="000000"/>
        </w:rPr>
        <w:t xml:space="preserve"> suspenderá a sessão, informando no “</w:t>
      </w:r>
      <w:r>
        <w:rPr>
          <w:i/>
          <w:iCs/>
          <w:color w:val="000000"/>
        </w:rPr>
        <w:t>chat</w:t>
      </w:r>
      <w:r>
        <w:rPr>
          <w:color w:val="000000"/>
        </w:rPr>
        <w:t xml:space="preserve">” a nova data e horário para a continuidade da mesma. </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Encerrada a análise quanto à aceitação da proposta, o(a) </w:t>
      </w:r>
      <w:r>
        <w:t>Pregoeiro</w:t>
      </w:r>
      <w:r>
        <w:rPr>
          <w:color w:val="000000"/>
        </w:rPr>
        <w:t xml:space="preserve"> verificará a habilitação do licitante classificado em primeiro lugar, observado o disposto neste Edital.</w:t>
      </w:r>
    </w:p>
    <w:p>
      <w:pPr>
        <w:pStyle w:val="2"/>
        <w:spacing w:before="360" w:after="0"/>
      </w:pPr>
      <w:bookmarkStart w:id="24" w:name="_Toc149517448"/>
      <w:r>
        <w:rPr>
          <w:rStyle w:val="45"/>
        </w:rPr>
        <w:t>HABILITAÇÃO DA LICITANTE CLASSIFICADA EM PRIMEIRO LUGAR</w:t>
      </w:r>
      <w:bookmarkEnd w:id="24"/>
    </w:p>
    <w:p>
      <w:pPr>
        <w:pStyle w:val="130"/>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rPr>
          <w:color w:val="000000"/>
        </w:rPr>
        <w:t>O licitante classificado em primeiro lugar na fase de propostas deverá encaminhar, nos termos deste Edital, a documentação relacionada nos itens a seguir, para fins de habilitação:</w:t>
      </w:r>
    </w:p>
    <w:p>
      <w:pPr>
        <w:pStyle w:val="130"/>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Habilitação Jurídica;</w:t>
      </w:r>
    </w:p>
    <w:p>
      <w:pPr>
        <w:pStyle w:val="130"/>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Qualificação Técnica;</w:t>
      </w:r>
    </w:p>
    <w:p>
      <w:pPr>
        <w:pStyle w:val="130"/>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Regularidade Fiscal, Social e Trabalhista;</w:t>
      </w:r>
    </w:p>
    <w:p>
      <w:pPr>
        <w:pStyle w:val="130"/>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Outros Documentos.</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Os licitantes encaminharão, exclusivamente por meio do sistema eletrônico, concomitantemente com a proposta, os documentos de habilitação exigidos neste Edital, até a data e o horário estabelecidos para abertura da sessão pública, quando, então, encerrar-se-á automaticamente a etapa de envio dessa documentação.</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A documentação de habilitação poderá ser:</w:t>
      </w:r>
    </w:p>
    <w:p>
      <w:pPr>
        <w:pStyle w:val="130"/>
        <w:numPr>
          <w:ilvl w:val="2"/>
          <w:numId w:val="1"/>
        </w:numPr>
        <w:tabs>
          <w:tab w:val="left" w:pos="1134"/>
        </w:tabs>
        <w:spacing w:before="0" w:beforeAutospacing="0" w:after="0" w:afterAutospacing="0"/>
        <w:jc w:val="both"/>
        <w:textAlignment w:val="baseline"/>
      </w:pPr>
      <w:bookmarkStart w:id="25" w:name="art70i"/>
      <w:bookmarkEnd w:id="25"/>
      <w:r>
        <w:rPr>
          <w:color w:val="000000"/>
        </w:rPr>
        <w:t>apresentada em original, por cópia ou por qualquer outro meio expressamente admitido pela Administração (</w:t>
      </w:r>
      <w:r>
        <w:fldChar w:fldCharType="begin"/>
      </w:r>
      <w:r>
        <w:rPr>
          <w:rStyle w:val="54"/>
        </w:rPr>
        <w:instrText xml:space="preserve"> HYPERLINK "https://www.planalto.gov.br/ccivil_03/_ato2019-2022/2021/lei/l14133.htm" \l "art70"</w:instrText>
      </w:r>
      <w:r>
        <w:rPr>
          <w:rStyle w:val="54"/>
        </w:rPr>
        <w:fldChar w:fldCharType="separate"/>
      </w:r>
      <w:r>
        <w:rPr>
          <w:rStyle w:val="54"/>
        </w:rPr>
        <w:t>art. 70, I, da Lei Federal nº 14.133, de 2021</w:t>
      </w:r>
      <w:r>
        <w:rPr>
          <w:rStyle w:val="54"/>
        </w:rPr>
        <w:fldChar w:fldCharType="end"/>
      </w:r>
      <w:r>
        <w:rPr>
          <w:color w:val="000000"/>
        </w:rPr>
        <w:t xml:space="preserve">); </w:t>
      </w:r>
    </w:p>
    <w:p>
      <w:pPr>
        <w:pStyle w:val="130"/>
        <w:numPr>
          <w:ilvl w:val="2"/>
          <w:numId w:val="1"/>
        </w:numPr>
        <w:tabs>
          <w:tab w:val="left" w:pos="1134"/>
        </w:tabs>
        <w:spacing w:before="0" w:beforeAutospacing="0" w:after="0" w:afterAutospacing="0"/>
        <w:jc w:val="both"/>
        <w:textAlignment w:val="baseline"/>
      </w:pPr>
      <w:bookmarkStart w:id="26" w:name="art70ii"/>
      <w:bookmarkEnd w:id="26"/>
      <w:r>
        <w:rPr>
          <w:color w:val="000000"/>
        </w:rPr>
        <w:t>substituída por registro cadastral unificado disponível no PNCP - Portal Nacional de Contratações Públicas (</w:t>
      </w:r>
      <w:r>
        <w:fldChar w:fldCharType="begin"/>
      </w:r>
      <w:r>
        <w:rPr>
          <w:rStyle w:val="54"/>
        </w:rPr>
        <w:instrText xml:space="preserve"> HYPERLINK "https://www.planalto.gov.br/ccivil_03/_ato2019-2022/2021/lei/l14133.htm" \l "art87"</w:instrText>
      </w:r>
      <w:r>
        <w:rPr>
          <w:rStyle w:val="54"/>
        </w:rPr>
        <w:fldChar w:fldCharType="separate"/>
      </w:r>
      <w:r>
        <w:rPr>
          <w:rStyle w:val="54"/>
        </w:rPr>
        <w:t>art. 87 da Lei Federal nº 14.133, de 2021</w:t>
      </w:r>
      <w:r>
        <w:rPr>
          <w:rStyle w:val="54"/>
        </w:rPr>
        <w:fldChar w:fldCharType="end"/>
      </w:r>
      <w:r>
        <w:rPr>
          <w:color w:val="000000"/>
        </w:rPr>
        <w:t>) ou no Sistema de Cadastramento Unificado de Fornecedores - SICAF (</w:t>
      </w:r>
      <w:r>
        <w:fldChar w:fldCharType="begin"/>
      </w:r>
      <w:r>
        <w:instrText xml:space="preserve"> HYPERLINK "https://www.gov.br/compras/pt-br/acesso-a-informacao/legislacao/instrucoes-normativas/instrucao-normativa-no-3-de-26-de-abril-de-2018" \h </w:instrText>
      </w:r>
      <w:r>
        <w:fldChar w:fldCharType="separate"/>
      </w:r>
      <w:r>
        <w:rPr>
          <w:rStyle w:val="54"/>
        </w:rPr>
        <w:t>Instrução Normativa nº 3, de 2018</w:t>
      </w:r>
      <w:r>
        <w:rPr>
          <w:rStyle w:val="54"/>
        </w:rPr>
        <w:fldChar w:fldCharType="end"/>
      </w:r>
      <w:r>
        <w:rPr>
          <w:color w:val="000000"/>
        </w:rPr>
        <w:t>, do Secretário de Gestão do Ministério do Planejamento, Desenvolvimento e Gestão).</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O envio dos documentos de habilitação exigidos neste Edital, ocorrerá por meio de chave de acesso e senha.</w:t>
      </w:r>
    </w:p>
    <w:p>
      <w:pPr>
        <w:pStyle w:val="130"/>
        <w:numPr>
          <w:ilvl w:val="1"/>
          <w:numId w:val="1"/>
        </w:numPr>
        <w:tabs>
          <w:tab w:val="left" w:pos="1134"/>
        </w:tabs>
        <w:spacing w:before="0" w:beforeAutospacing="0" w:after="0" w:afterAutospacing="0"/>
        <w:ind w:left="0" w:firstLine="567"/>
        <w:jc w:val="both"/>
        <w:textAlignment w:val="baseline"/>
      </w:pPr>
      <w:r>
        <w:rPr>
          <w:color w:val="000000"/>
        </w:rPr>
        <w:t>Os licitantes poderão deixar de apresentar, total ou parcialmente, os documentos de habilitação que constem no sistema de registro cadastral unificado disponível no PNCP - Portal Nacional de Contratações Públicas (</w:t>
      </w:r>
      <w:r>
        <w:fldChar w:fldCharType="begin"/>
      </w:r>
      <w:r>
        <w:rPr>
          <w:rStyle w:val="54"/>
        </w:rPr>
        <w:instrText xml:space="preserve"> HYPERLINK "https://www.planalto.gov.br/ccivil_03/_ato2019-2022/2021/lei/l14133.htm" \l "art87"</w:instrText>
      </w:r>
      <w:r>
        <w:rPr>
          <w:rStyle w:val="54"/>
        </w:rPr>
        <w:fldChar w:fldCharType="separate"/>
      </w:r>
      <w:r>
        <w:rPr>
          <w:rStyle w:val="54"/>
        </w:rPr>
        <w:t>art. 87 da Lei Federal nº 14.133, de 2021</w:t>
      </w:r>
      <w:r>
        <w:rPr>
          <w:rStyle w:val="54"/>
        </w:rPr>
        <w:fldChar w:fldCharType="end"/>
      </w:r>
      <w:r>
        <w:rPr>
          <w:color w:val="000000"/>
        </w:rPr>
        <w:t>) ou no Sistema de Cadastramento Unificado de Fornecedores - SICAF (</w:t>
      </w:r>
      <w:r>
        <w:fldChar w:fldCharType="begin"/>
      </w:r>
      <w:r>
        <w:instrText xml:space="preserve"> HYPERLINK "https://www.gov.br/compras/pt-br/acesso-a-informacao/legislacao/instrucoes-normativas/instrucao-normativa-no-3-de-26-de-abril-de-2018" \h </w:instrText>
      </w:r>
      <w:r>
        <w:fldChar w:fldCharType="separate"/>
      </w:r>
      <w:r>
        <w:rPr>
          <w:rStyle w:val="54"/>
        </w:rPr>
        <w:t>Instrução Normativa nº 3, de 2018</w:t>
      </w:r>
      <w:r>
        <w:rPr>
          <w:rStyle w:val="54"/>
        </w:rPr>
        <w:fldChar w:fldCharType="end"/>
      </w:r>
      <w:r>
        <w:rPr>
          <w:color w:val="000000"/>
        </w:rPr>
        <w:t>, do Secretário de Gestão do Ministério do Planejamento, Desenvolvimento e Gestão).</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Os licitantes que optarem por utilizar um dos cadastros indicados no item anterior deverão apresentar o certificado cadastral respectivo, sendo assegurado aos demais licitantes o direito de acesso aos dados constantes dos sistemas.</w:t>
      </w:r>
    </w:p>
    <w:p>
      <w:pPr>
        <w:pStyle w:val="130"/>
        <w:numPr>
          <w:ilvl w:val="1"/>
          <w:numId w:val="1"/>
        </w:numPr>
        <w:tabs>
          <w:tab w:val="left" w:pos="1134"/>
        </w:tabs>
        <w:spacing w:before="0" w:beforeAutospacing="0" w:after="0" w:afterAutospacing="0"/>
        <w:ind w:left="0" w:firstLine="567"/>
        <w:jc w:val="both"/>
        <w:textAlignment w:val="baseline"/>
      </w:pPr>
      <w:r>
        <w:t>É de responsabilidade do licitante conferir a exatidão dos seus dados cadastrais no registro cadastral unificado do PNCP (</w:t>
      </w:r>
      <w:r>
        <w:fldChar w:fldCharType="begin"/>
      </w:r>
      <w:r>
        <w:instrText xml:space="preserve"> HYPERLINK "https://pncp.gov.br/" \h </w:instrText>
      </w:r>
      <w:r>
        <w:fldChar w:fldCharType="separate"/>
      </w:r>
      <w:r>
        <w:rPr>
          <w:rStyle w:val="54"/>
        </w:rPr>
        <w:t>https://pncp.gov.br/</w:t>
      </w:r>
      <w:r>
        <w:rPr>
          <w:rStyle w:val="54"/>
        </w:rPr>
        <w:fldChar w:fldCharType="end"/>
      </w:r>
      <w:r>
        <w:t>) ou do SICAF e mantê-los atualizados junto aos órgãos responsáveis pela informação, devendo proceder, imediatamente, à correção ou à alteração dos registros tão logo identifique incorreção ou aqueles se tornem desatualizados.</w:t>
      </w:r>
    </w:p>
    <w:p>
      <w:pPr>
        <w:pStyle w:val="130"/>
        <w:numPr>
          <w:ilvl w:val="1"/>
          <w:numId w:val="1"/>
        </w:numPr>
        <w:tabs>
          <w:tab w:val="left" w:pos="1134"/>
        </w:tabs>
        <w:spacing w:before="0" w:beforeAutospacing="0" w:after="0" w:afterAutospacing="0"/>
        <w:ind w:left="0" w:firstLine="567"/>
        <w:jc w:val="both"/>
        <w:textAlignment w:val="baseline"/>
      </w:pPr>
      <w:r>
        <w:rPr>
          <w:color w:val="000000"/>
        </w:rPr>
        <w:t xml:space="preserve">As Microempresas (ME) e Empresas de Pequeno Porte (EPP) deverão encaminhar a documentação de habilitação, ainda que haja alguma restrição de regularidade fiscal e trabalhista, nos termos do </w:t>
      </w:r>
      <w:r>
        <w:fldChar w:fldCharType="begin"/>
      </w:r>
      <w:r>
        <w:rPr>
          <w:rStyle w:val="54"/>
        </w:rPr>
        <w:instrText xml:space="preserve"> HYPERLINK "https://www.planalto.gov.br/ccivil_03/leis/lcp/lcp123.htm" \l "art43"</w:instrText>
      </w:r>
      <w:r>
        <w:rPr>
          <w:rStyle w:val="54"/>
        </w:rPr>
        <w:fldChar w:fldCharType="separate"/>
      </w:r>
      <w:r>
        <w:rPr>
          <w:rStyle w:val="54"/>
        </w:rPr>
        <w:t>art. 43, § 1º, da Lei Complementar Federal nº 123, de 2006</w:t>
      </w:r>
      <w:r>
        <w:rPr>
          <w:rStyle w:val="54"/>
        </w:rPr>
        <w:fldChar w:fldCharType="end"/>
      </w:r>
      <w:r>
        <w:rPr>
          <w:color w:val="000000"/>
        </w:rPr>
        <w:t>.</w:t>
      </w:r>
    </w:p>
    <w:p>
      <w:pPr>
        <w:pStyle w:val="130"/>
        <w:numPr>
          <w:ilvl w:val="1"/>
          <w:numId w:val="1"/>
        </w:numPr>
        <w:tabs>
          <w:tab w:val="left" w:pos="1134"/>
        </w:tabs>
        <w:spacing w:before="0" w:beforeAutospacing="0" w:after="0" w:afterAutospacing="0"/>
        <w:ind w:left="0" w:firstLine="567"/>
        <w:jc w:val="both"/>
        <w:textAlignment w:val="baseline"/>
      </w:pPr>
      <w:r>
        <w:t xml:space="preserve">Na </w:t>
      </w:r>
      <w:r>
        <w:rPr>
          <w:color w:val="000000"/>
        </w:rPr>
        <w:t>hipótese</w:t>
      </w:r>
      <w:r>
        <w:t xml:space="preserve"> de o licitante vencedor ser empresa estrangeira que não funcione no País, para ﬁns de assinatura do contrato, os documentos exigidos para a habilitação serão traduzidos por tradutor juramentado no País e apostilados nos termos do disposto no </w:t>
      </w:r>
      <w:r>
        <w:fldChar w:fldCharType="begin"/>
      </w:r>
      <w:r>
        <w:instrText xml:space="preserve"> HYPERLINK "https://www.planalto.gov.br/ccivil_03/_ato2015-2018/2016/decreto/d8660.htm" \h </w:instrText>
      </w:r>
      <w:r>
        <w:fldChar w:fldCharType="separate"/>
      </w:r>
      <w:r>
        <w:rPr>
          <w:rStyle w:val="54"/>
        </w:rPr>
        <w:t>Decreto Federal nº 8.660, de 2016</w:t>
      </w:r>
      <w:r>
        <w:rPr>
          <w:rStyle w:val="54"/>
        </w:rPr>
        <w:fldChar w:fldCharType="end"/>
      </w:r>
      <w:r>
        <w:t>, ou de outro que venha a substituí-lo, ou consularizados pelos respectivos consulados ou embaixadas.</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Até a abertura da sessão pública, os licitantes poderão retirar ou substituir os documentos de habilitação anteriormente inseridos no sistema.</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Os documentos que compõem a proposta e a habilitação do licitante melhor classificado somente serão disponibilizados para avaliação do(a) </w:t>
      </w:r>
      <w:r>
        <w:t>Pregoeiro</w:t>
      </w:r>
      <w:r>
        <w:rPr>
          <w:color w:val="000000"/>
        </w:rPr>
        <w:t xml:space="preserve"> e para acesso público após o encerramento da fase de lances.</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Como condição prévia ao exame da documentação de habilitação do licitante detentor da proposta classificada em primeiro lugar, o(a) </w:t>
      </w:r>
      <w:r>
        <w:t>Pregoeiro</w:t>
      </w:r>
      <w:r>
        <w:rPr>
          <w:color w:val="000000"/>
        </w:rPr>
        <w:t xml:space="preserve"> verificará o eventual descumprimento das condições de participação, especialmente quanto à existência de sanção que impeça a participação no certame ou a futura contratação, mediante a consulta aos seguintes cadastros:</w:t>
      </w:r>
    </w:p>
    <w:p>
      <w:pPr>
        <w:pStyle w:val="130"/>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Cadastro Nacional de Empresas Punidas – CNEP, mantido pela Controladoria-Geral da União (CGU);</w:t>
      </w:r>
    </w:p>
    <w:p>
      <w:pPr>
        <w:pStyle w:val="130"/>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Cadastro Nacional de Empresas Inidôneas e Suspensas – CEIS, mantido pela Controladoria-Geral da União (CGU);</w:t>
      </w:r>
    </w:p>
    <w:p>
      <w:pPr>
        <w:pStyle w:val="130"/>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Cadastro Nacional de Condenações Cíveis por Atos de Improbidade Administrativa, mantido pelo Conselho Nacional de Justiça (CNJ);</w:t>
      </w:r>
    </w:p>
    <w:p>
      <w:pPr>
        <w:pStyle w:val="130"/>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Sistema de Inabilitados e Inidôneos, mantida pelo Tribunal de Contas da União;</w:t>
      </w:r>
    </w:p>
    <w:p>
      <w:pPr>
        <w:pStyle w:val="130"/>
        <w:numPr>
          <w:ilvl w:val="1"/>
          <w:numId w:val="1"/>
        </w:numPr>
        <w:tabs>
          <w:tab w:val="left" w:pos="1134"/>
        </w:tabs>
        <w:spacing w:before="0" w:beforeAutospacing="0" w:after="0" w:afterAutospacing="0"/>
        <w:ind w:left="0" w:firstLine="567"/>
        <w:jc w:val="both"/>
        <w:textAlignment w:val="baseline"/>
      </w:pPr>
      <w:r>
        <w:rPr>
          <w:color w:val="000000"/>
        </w:rPr>
        <w:t xml:space="preserve">A consulta aos cadastros será realizada em nome da empresa licitante e também de seu sócio majoritário, por força do </w:t>
      </w:r>
      <w:r>
        <w:fldChar w:fldCharType="begin"/>
      </w:r>
      <w:r>
        <w:rPr>
          <w:rStyle w:val="54"/>
        </w:rPr>
        <w:instrText xml:space="preserve"> HYPERLINK "https://www.planalto.gov.br/ccivil_03/leis/l8429.htm" \l "art12"</w:instrText>
      </w:r>
      <w:r>
        <w:rPr>
          <w:rStyle w:val="54"/>
        </w:rPr>
        <w:fldChar w:fldCharType="separate"/>
      </w:r>
      <w:r>
        <w:rPr>
          <w:rStyle w:val="54"/>
        </w:rPr>
        <w:t>art. 12 da Lei Federal nº 8.429, de 1992</w:t>
      </w:r>
      <w:r>
        <w:rPr>
          <w:rStyle w:val="54"/>
        </w:rPr>
        <w:fldChar w:fldCharType="end"/>
      </w:r>
      <w:r>
        <w:rPr>
          <w:color w:val="000000"/>
        </w:rPr>
        <w:t>, que prevê, dentre as sanções impostas ao responsável pela prática de ato de improbidade administrativa, a proibição de contratar com o Poder Público, inclusive por intermédio de pessoa jurídica da qual seja sócio majoritário.</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Caso conste na Consulta de Situação do Fornecedor a existência de Ocorrências Impeditivas Indiretas, o(a) </w:t>
      </w:r>
      <w:r>
        <w:t>Pregoeiro</w:t>
      </w:r>
      <w:r>
        <w:rPr>
          <w:color w:val="000000"/>
        </w:rPr>
        <w:t xml:space="preserve"> diligenciará para verificar se houve fraude por parte das empresas apontadas no Relatório de Ocorrências Impeditivas Indiretas, seguindo os seguintes procedimentos:</w:t>
      </w:r>
    </w:p>
    <w:p>
      <w:pPr>
        <w:pStyle w:val="130"/>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A tentativa de burla será verificada por meio dos vínculos societários, linhas de fornecimento similares, dentre outros;</w:t>
      </w:r>
    </w:p>
    <w:p>
      <w:pPr>
        <w:pStyle w:val="130"/>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O licitante será convocado para manifestação previamente à sua inabilitação;</w:t>
      </w:r>
    </w:p>
    <w:p>
      <w:pPr>
        <w:pStyle w:val="130"/>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 xml:space="preserve">Constatada a existência de sanção, o(a) </w:t>
      </w:r>
      <w:r>
        <w:t>Pregoeiro</w:t>
      </w:r>
      <w:r>
        <w:rPr>
          <w:color w:val="000000"/>
        </w:rPr>
        <w:t xml:space="preserve"> reputará o licitante inabilitado, por falta de condição de participação;</w:t>
      </w:r>
    </w:p>
    <w:p>
      <w:pPr>
        <w:pStyle w:val="130"/>
        <w:numPr>
          <w:ilvl w:val="2"/>
          <w:numId w:val="1"/>
        </w:numPr>
        <w:tabs>
          <w:tab w:val="left" w:pos="1134"/>
        </w:tabs>
        <w:spacing w:before="0" w:beforeAutospacing="0" w:after="0" w:afterAutospacing="0"/>
        <w:jc w:val="both"/>
        <w:textAlignment w:val="baseline"/>
      </w:pPr>
      <w:r>
        <w:rPr>
          <w:color w:val="000000"/>
        </w:rPr>
        <w:t xml:space="preserve">No caso de inabilitação, haverá nova verificação, pelo sistema, da eventual ocorrência do empate ficto, previsto nos </w:t>
      </w:r>
      <w:r>
        <w:fldChar w:fldCharType="begin"/>
      </w:r>
      <w:r>
        <w:rPr>
          <w:rStyle w:val="54"/>
        </w:rPr>
        <w:instrText xml:space="preserve"> HYPERLINK "https://www.planalto.gov.br/ccivil_03/leis/lcp/lcp123.htm" \l "art44"</w:instrText>
      </w:r>
      <w:r>
        <w:rPr>
          <w:rStyle w:val="54"/>
        </w:rPr>
        <w:fldChar w:fldCharType="separate"/>
      </w:r>
      <w:r>
        <w:rPr>
          <w:rStyle w:val="54"/>
        </w:rPr>
        <w:t>arts. 44 e 45 da Lei Complementar Federal nº 123, de 2006</w:t>
      </w:r>
      <w:r>
        <w:rPr>
          <w:rStyle w:val="54"/>
        </w:rPr>
        <w:fldChar w:fldCharType="end"/>
      </w:r>
      <w:r>
        <w:rPr>
          <w:color w:val="000000"/>
        </w:rPr>
        <w:t>, seguindo-se a disciplina antes estabelecida para aceitação da proposta subsequente.</w:t>
      </w:r>
    </w:p>
    <w:p>
      <w:pPr>
        <w:pStyle w:val="130"/>
        <w:numPr>
          <w:ilvl w:val="1"/>
          <w:numId w:val="1"/>
        </w:numPr>
        <w:tabs>
          <w:tab w:val="left" w:pos="1134"/>
        </w:tabs>
        <w:spacing w:before="0" w:beforeAutospacing="0" w:after="0" w:afterAutospacing="0"/>
        <w:ind w:left="0" w:firstLine="567"/>
        <w:jc w:val="both"/>
        <w:textAlignment w:val="baseline"/>
      </w:pPr>
      <w:r>
        <w:t>Após a entrega dos documentos para habilitação, não será permitida a substituição ou a apresentação de novos documentos, salvo em sede de diligência, para (</w:t>
      </w:r>
      <w:r>
        <w:fldChar w:fldCharType="begin"/>
      </w:r>
      <w:r>
        <w:rPr>
          <w:rStyle w:val="54"/>
        </w:rPr>
        <w:instrText xml:space="preserve"> HYPERLINK "http://www.planalto.gov.br/ccivil_03/_ato2019-2022/2021/lei/L14133.htm" \l "art64"</w:instrText>
      </w:r>
      <w:r>
        <w:rPr>
          <w:rStyle w:val="54"/>
        </w:rPr>
        <w:fldChar w:fldCharType="separate"/>
      </w:r>
      <w:r>
        <w:rPr>
          <w:rStyle w:val="54"/>
        </w:rPr>
        <w:t>art. 64 da Lei Federal nº 14.133, de 2021</w:t>
      </w:r>
      <w:r>
        <w:rPr>
          <w:rStyle w:val="54"/>
        </w:rPr>
        <w:fldChar w:fldCharType="end"/>
      </w:r>
      <w:r>
        <w:t>):</w:t>
      </w:r>
    </w:p>
    <w:p>
      <w:pPr>
        <w:pStyle w:val="130"/>
        <w:numPr>
          <w:ilvl w:val="2"/>
          <w:numId w:val="1"/>
        </w:numPr>
        <w:tabs>
          <w:tab w:val="left" w:pos="1134"/>
        </w:tabs>
        <w:spacing w:before="0" w:beforeAutospacing="0" w:after="0" w:afterAutospacing="0"/>
        <w:jc w:val="both"/>
        <w:textAlignment w:val="baseline"/>
        <w:rPr>
          <w:rFonts w:ascii="Times New Roman" w:hAnsi="Times New Roman"/>
        </w:rPr>
      </w:pPr>
      <w:r>
        <w:t>complementação de informações acerca dos documentos já apresentados pelos licitantes e desde que necessária para apurar fatos existentes à época da abertura do certame;</w:t>
      </w:r>
    </w:p>
    <w:p>
      <w:pPr>
        <w:pStyle w:val="130"/>
        <w:numPr>
          <w:ilvl w:val="2"/>
          <w:numId w:val="1"/>
        </w:numPr>
        <w:tabs>
          <w:tab w:val="left" w:pos="1134"/>
        </w:tabs>
        <w:spacing w:before="0" w:beforeAutospacing="0" w:after="0" w:afterAutospacing="0"/>
        <w:jc w:val="both"/>
        <w:textAlignment w:val="baseline"/>
        <w:rPr>
          <w:rFonts w:ascii="Times New Roman" w:hAnsi="Times New Roman"/>
        </w:rPr>
      </w:pPr>
      <w:r>
        <w:t>atualização de documentos cuja validade tenha expirado após a data de recebimento das propostas.</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Havendo a necessidade de envio de documentos de habilitação complementares, necessários à confirmação daqueles exigidos neste Edital e já apresentados, o licitante será convocado a encaminhá-los, em formato digital, via sistema, no prazo de 2 (duas) horas, sob pena de inabilitação.</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Somente poderá haver a prorrogação no prazo do item anterior, caso o licitante solicite sua prorrogação dentro do tempo limite concedido.</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Somente haverá a necessidade de comprovação do preenchimento de requisitos mediante apresentação dos documentos originais não-digitais quando houver dúvida em relação à integridade do documento digital </w:t>
      </w:r>
      <w:r>
        <w:t>ou quando a lei expressamente o exigir</w:t>
      </w:r>
      <w:r>
        <w:rPr>
          <w:color w:val="000000"/>
        </w:rPr>
        <w:t>.</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Não serão aceitos documentos de habilitação com indicação de CNPJ/CPF diferentes, salvo aqueles legalmente permitidos.</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t>Na análise dos documentos de habilitação, o(a) Pregoeiro poderá sanar erros ou falhas, que não alterem a substância dos documentos e sua validade jurídica, mediante decisão fundamentada, registrada em ata e acessível a todos, atribuindo-lhes eﬁcácia para fins de habilitação e classificação.</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bookmarkStart w:id="27" w:name="art64§2"/>
      <w:bookmarkEnd w:id="27"/>
      <w:bookmarkStart w:id="28" w:name="art64§1"/>
      <w:bookmarkEnd w:id="28"/>
      <w:r>
        <w:rPr>
          <w:color w:val="000000"/>
        </w:rPr>
        <w:t>Para os documentos que têm prazo de validade e este não estiver expresso no documento, será considerada a validade de 90 (noventa) dias, a partir de sua emissão, se outro prazo não estiver fixado em lei.</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Havendo necessidade de analisar minuciosamente os documentos exigidos, o(a) </w:t>
      </w:r>
      <w:r>
        <w:t>Pregoeiro</w:t>
      </w:r>
      <w:r>
        <w:rPr>
          <w:color w:val="000000"/>
        </w:rPr>
        <w:t xml:space="preserve"> suspenderá a sessão, informando no “</w:t>
      </w:r>
      <w:r>
        <w:rPr>
          <w:i/>
          <w:iCs/>
          <w:color w:val="000000"/>
        </w:rPr>
        <w:t>chat</w:t>
      </w:r>
      <w:r>
        <w:rPr>
          <w:color w:val="000000"/>
        </w:rPr>
        <w:t>” a nova data e horário para a continuidade.</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themeColor="text1"/>
        </w:rPr>
        <w:t xml:space="preserve">Atendidas </w:t>
      </w:r>
      <w:r>
        <w:rPr>
          <w:color w:val="000000"/>
        </w:rPr>
        <w:t>todas</w:t>
      </w:r>
      <w:r>
        <w:rPr>
          <w:color w:val="000000" w:themeColor="text1"/>
        </w:rPr>
        <w:t xml:space="preserve"> as disposições deste Edital, a licitante classificada em primeiro lugar será declarada vencedora da licitação.</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themeColor="text1"/>
        </w:rPr>
        <w:t>Serão disponibilizados para acesso público os documentos que compõem a proposta dos licitantes convocados para apresentação de propostas, após a fase de envio de lances.</w:t>
      </w:r>
    </w:p>
    <w:p>
      <w:pPr>
        <w:pStyle w:val="2"/>
        <w:spacing w:before="360" w:after="0"/>
      </w:pPr>
      <w:bookmarkStart w:id="29" w:name="_Toc149517449"/>
      <w:r>
        <w:rPr>
          <w:rStyle w:val="45"/>
        </w:rPr>
        <w:t>HABILITAÇÃO JURÍDICA</w:t>
      </w:r>
      <w:bookmarkEnd w:id="29"/>
    </w:p>
    <w:p>
      <w:pPr>
        <w:pStyle w:val="130"/>
        <w:numPr>
          <w:ilvl w:val="1"/>
          <w:numId w:val="1"/>
        </w:numPr>
        <w:tabs>
          <w:tab w:val="left" w:pos="1134"/>
        </w:tabs>
        <w:spacing w:before="120" w:beforeAutospacing="0" w:after="120" w:afterAutospacing="0"/>
        <w:ind w:left="0" w:firstLine="567"/>
        <w:jc w:val="both"/>
        <w:textAlignment w:val="baseline"/>
      </w:pPr>
      <w:r>
        <w:rPr>
          <w:color w:val="000000"/>
        </w:rPr>
        <w:t>A habilitação jurídica visa a demonstrar a capacidade de o licitante exercer direitos e assumir obrigações, e a documentação a ser apresentada por ele limita-se à comprovação de existência jurídica da pessoa e, quando cabível, de autorização para o exercício da atividade a ser contratada (</w:t>
      </w:r>
      <w:r>
        <w:fldChar w:fldCharType="begin"/>
      </w:r>
      <w:r>
        <w:rPr>
          <w:rStyle w:val="54"/>
        </w:rPr>
        <w:instrText xml:space="preserve"> HYPERLINK "https://www.planalto.gov.br/ccivil_03/_ato2019-2022/2021/lei/l14133.htm" \l "art66"</w:instrText>
      </w:r>
      <w:r>
        <w:rPr>
          <w:rStyle w:val="54"/>
        </w:rPr>
        <w:fldChar w:fldCharType="separate"/>
      </w:r>
      <w:r>
        <w:rPr>
          <w:rStyle w:val="54"/>
        </w:rPr>
        <w:t>art. 66 da Lei Federal nº 14.133, de 2021</w:t>
      </w:r>
      <w:r>
        <w:rPr>
          <w:rStyle w:val="54"/>
        </w:rPr>
        <w:fldChar w:fldCharType="end"/>
      </w:r>
      <w:r>
        <w:rPr>
          <w:color w:val="000000"/>
        </w:rPr>
        <w:t>), nos seguintes termos:</w:t>
      </w:r>
    </w:p>
    <w:p>
      <w:pPr>
        <w:pStyle w:val="130"/>
        <w:numPr>
          <w:ilvl w:val="2"/>
          <w:numId w:val="8"/>
        </w:numPr>
        <w:tabs>
          <w:tab w:val="left" w:pos="1134"/>
        </w:tabs>
        <w:spacing w:before="120" w:beforeAutospacing="0" w:after="0" w:afterAutospacing="0"/>
        <w:jc w:val="both"/>
        <w:textAlignment w:val="baseline"/>
        <w:rPr>
          <w:rFonts w:ascii="Times New Roman" w:hAnsi="Times New Roman"/>
        </w:rPr>
      </w:pPr>
      <w:r>
        <w:rPr>
          <w:color w:val="000000"/>
        </w:rPr>
        <w:t>No caso de empresário individual, inscrição no Registro Público de Empresas Mercantis, a cargo da Junta Comercial da respectiva sede;</w:t>
      </w:r>
    </w:p>
    <w:p>
      <w:pPr>
        <w:pStyle w:val="130"/>
        <w:numPr>
          <w:ilvl w:val="2"/>
          <w:numId w:val="8"/>
        </w:numPr>
        <w:tabs>
          <w:tab w:val="left" w:pos="1134"/>
        </w:tabs>
        <w:spacing w:before="0" w:beforeAutospacing="0" w:after="0" w:afterAutospacing="0"/>
        <w:jc w:val="both"/>
        <w:textAlignment w:val="baseline"/>
        <w:rPr>
          <w:rFonts w:ascii="Times New Roman" w:hAnsi="Times New Roman"/>
        </w:rPr>
      </w:pPr>
      <w:r>
        <w:rPr>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pPr>
        <w:pStyle w:val="130"/>
        <w:numPr>
          <w:ilvl w:val="2"/>
          <w:numId w:val="8"/>
        </w:numPr>
        <w:tabs>
          <w:tab w:val="left" w:pos="1134"/>
        </w:tabs>
        <w:spacing w:before="0" w:beforeAutospacing="0" w:after="0" w:afterAutospacing="0"/>
        <w:jc w:val="both"/>
        <w:textAlignment w:val="baseline"/>
        <w:rPr>
          <w:rFonts w:ascii="Times New Roman" w:hAnsi="Times New Roman"/>
        </w:rPr>
      </w:pPr>
      <w:r>
        <w:t>No caso de sociedades por ações, registro na Comissão de Valores Mobiliários - CVM, acompanhado de documentos que comprovem a eleição de seus administradores;</w:t>
      </w:r>
    </w:p>
    <w:p>
      <w:pPr>
        <w:pStyle w:val="130"/>
        <w:numPr>
          <w:ilvl w:val="2"/>
          <w:numId w:val="8"/>
        </w:numPr>
        <w:tabs>
          <w:tab w:val="left" w:pos="1134"/>
        </w:tabs>
        <w:spacing w:before="0" w:beforeAutospacing="0" w:after="0" w:afterAutospacing="0"/>
        <w:jc w:val="both"/>
        <w:textAlignment w:val="baseline"/>
        <w:rPr>
          <w:rFonts w:ascii="Times New Roman" w:hAnsi="Times New Roman"/>
        </w:rPr>
      </w:pPr>
      <w:r>
        <w:rPr>
          <w:color w:val="000000"/>
        </w:rPr>
        <w:t>No caso de ser o participante sucursal, filial ou agência, inscrição no Registro Público de Empresas Mercantis onde opera, com averbação no Registro onde tem sede a matriz;</w:t>
      </w:r>
    </w:p>
    <w:p>
      <w:pPr>
        <w:pStyle w:val="130"/>
        <w:numPr>
          <w:ilvl w:val="2"/>
          <w:numId w:val="8"/>
        </w:numPr>
        <w:tabs>
          <w:tab w:val="left" w:pos="1134"/>
        </w:tabs>
        <w:spacing w:before="0" w:beforeAutospacing="0" w:after="0" w:afterAutospacing="0"/>
        <w:jc w:val="both"/>
        <w:textAlignment w:val="baseline"/>
        <w:rPr>
          <w:rFonts w:ascii="Times New Roman" w:hAnsi="Times New Roman"/>
        </w:rPr>
      </w:pPr>
      <w:r>
        <w:rPr>
          <w:color w:val="000000"/>
        </w:rPr>
        <w:t>No caso de sociedade simples, inscrição do ato constitutivo no Registro Civil das Pessoas Jurídicas do local de sua sede, acompanhada de prova da indicação dos seus administradores;</w:t>
      </w:r>
    </w:p>
    <w:p>
      <w:pPr>
        <w:pStyle w:val="130"/>
        <w:numPr>
          <w:ilvl w:val="2"/>
          <w:numId w:val="8"/>
        </w:numPr>
        <w:tabs>
          <w:tab w:val="left" w:pos="1134"/>
        </w:tabs>
        <w:spacing w:before="0" w:beforeAutospacing="0" w:after="120" w:afterAutospacing="0"/>
        <w:jc w:val="both"/>
        <w:textAlignment w:val="baseline"/>
        <w:rPr>
          <w:rFonts w:ascii="Times New Roman" w:hAnsi="Times New Roman"/>
        </w:rPr>
      </w:pPr>
      <w:r>
        <w:rPr>
          <w:color w:val="000000"/>
        </w:rPr>
        <w:t>No caso de sociedade empresária estrangeira em funcionamento no País, decreto de autorização.</w:t>
      </w:r>
    </w:p>
    <w:p>
      <w:pPr>
        <w:pStyle w:val="130"/>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rPr>
          <w:color w:val="000000"/>
        </w:rPr>
        <w:t>Os documentos acima deverão estar acompanhados de todas as alterações ou da</w:t>
      </w:r>
      <w:r>
        <w:rPr>
          <w:color w:val="000000"/>
        </w:rPr>
        <w:br w:type="textWrapping"/>
      </w:r>
      <w:r>
        <w:rPr>
          <w:color w:val="000000"/>
        </w:rPr>
        <w:t>consolidação respectiva.</w:t>
      </w:r>
    </w:p>
    <w:p>
      <w:pPr>
        <w:pStyle w:val="2"/>
        <w:spacing w:before="360" w:after="0"/>
      </w:pPr>
      <w:bookmarkStart w:id="30" w:name="_Toc149517450"/>
      <w:r>
        <w:rPr>
          <w:rStyle w:val="45"/>
        </w:rPr>
        <w:t>QUALIFICAÇÃO TÉCNICO-PROFISSIONAL E TÉCNICO-OPERACIONAL</w:t>
      </w:r>
      <w:bookmarkEnd w:id="30"/>
    </w:p>
    <w:p>
      <w:pPr>
        <w:pStyle w:val="130"/>
        <w:numPr>
          <w:ilvl w:val="1"/>
          <w:numId w:val="1"/>
        </w:numPr>
        <w:tabs>
          <w:tab w:val="left" w:pos="1134"/>
        </w:tabs>
        <w:spacing w:before="120" w:beforeAutospacing="0" w:after="120" w:afterAutospacing="0"/>
        <w:ind w:left="0" w:firstLine="567"/>
        <w:jc w:val="both"/>
        <w:textAlignment w:val="baseline"/>
        <w:rPr>
          <w:rFonts w:ascii="Times New Roman" w:hAnsi="Times New Roman"/>
        </w:rPr>
      </w:pPr>
      <w:r>
        <w:rPr>
          <w:color w:val="000000"/>
        </w:rPr>
        <w:t>A documentação relativa à qualificação técnica consistirá em apresentar as seguintes comprovações:</w:t>
      </w:r>
    </w:p>
    <w:p>
      <w:pPr>
        <w:pStyle w:val="173"/>
        <w:numPr>
          <w:ilvl w:val="0"/>
          <w:numId w:val="0"/>
        </w:numPr>
        <w:ind w:left="360" w:firstLine="0"/>
        <w:jc w:val="both"/>
        <w:rPr>
          <w:rFonts w:ascii="Times New Roman" w:hAnsi="Times New Roman"/>
        </w:rPr>
      </w:pPr>
      <w:r>
        <w:rPr>
          <w:rFonts w:ascii="Times New Roman" w:hAnsi="Times New Roman" w:cs="Times New Roman"/>
          <w:b/>
          <w:bCs/>
          <w:sz w:val="24"/>
          <w:szCs w:val="24"/>
        </w:rPr>
        <w:t xml:space="preserve">a) </w:t>
      </w:r>
      <w:r>
        <w:rPr>
          <w:rFonts w:ascii="Times New Roman" w:hAnsi="Times New Roman" w:cs="Times New Roman"/>
          <w:sz w:val="24"/>
          <w:szCs w:val="24"/>
        </w:rPr>
        <w:t>Um ou mais Atestado de Capacidade Técnica, expedido por pessoa jurídica de direito público ou privado, que expressamente consignem a aptidão da licitante para desempenho satisfatório de atividade pertinente e compatível em características, quantidades e prazos com o objeto da presente licitação. Podendo ser exigido da proposta melhor classificada, que apresente cópia autenticada do contrato da prestação do serviço ou da nota fiscal, que deram origem ao Atestado. Se o atestado for emitido por pessoa jurídica de direito privado, este deverá ser emitido preferencialmente em papel timbrado do emitente contendo razão social, CNPJ, endereço e telefone da pessoa jurídica que emitiu o atestado, data de emissão e identificação do responsável pela emissão do atestado (nome, cargo e assinatura) e deverá constar o reconhecimento de firma passado em cartório do titular da empresa que firmou a declaração.</w:t>
      </w:r>
    </w:p>
    <w:p>
      <w:pPr>
        <w:pStyle w:val="173"/>
        <w:numPr>
          <w:ilvl w:val="0"/>
          <w:numId w:val="0"/>
        </w:numPr>
        <w:ind w:left="360" w:firstLine="0"/>
        <w:jc w:val="both"/>
        <w:rPr>
          <w:rFonts w:ascii="Times New Roman" w:hAnsi="Times New Roman" w:eastAsia="Calibri" w:cs="Times New Roman"/>
          <w:b/>
          <w:bCs/>
          <w:color w:val="000000"/>
          <w:sz w:val="24"/>
          <w:szCs w:val="24"/>
        </w:rPr>
      </w:pPr>
    </w:p>
    <w:p>
      <w:pPr>
        <w:pStyle w:val="173"/>
        <w:widowControl/>
        <w:numPr>
          <w:ilvl w:val="0"/>
          <w:numId w:val="0"/>
        </w:numPr>
        <w:suppressAutoHyphens/>
        <w:bidi w:val="0"/>
        <w:spacing w:before="0" w:after="0" w:line="100" w:lineRule="atLeast"/>
        <w:ind w:left="1134" w:right="0" w:firstLine="0"/>
        <w:jc w:val="both"/>
        <w:rPr>
          <w:rFonts w:ascii="Times New Roman" w:hAnsi="Times New Roman"/>
        </w:rPr>
      </w:pPr>
      <w:r>
        <w:rPr>
          <w:rFonts w:ascii="Times New Roman" w:hAnsi="Times New Roman" w:cs="Times New Roman" w:eastAsiaTheme="minorHAnsi"/>
          <w:b/>
          <w:bCs/>
          <w:color w:val="000000"/>
          <w:sz w:val="24"/>
          <w:szCs w:val="24"/>
          <w:shd w:val="clear" w:fill="auto"/>
        </w:rPr>
        <w:t xml:space="preserve">a.1) </w:t>
      </w:r>
      <w:r>
        <w:rPr>
          <w:rFonts w:ascii="Times New Roman" w:hAnsi="Times New Roman" w:cs="Times New Roman" w:eastAsiaTheme="minorHAnsi"/>
          <w:color w:val="000000"/>
          <w:sz w:val="24"/>
          <w:szCs w:val="24"/>
          <w:shd w:val="clear" w:fill="auto"/>
        </w:rPr>
        <w:t>A Câmara de Primavera do Leste para comprovar a veracidade dos atestados, poderá requisitar cópias dos respectivos contratos e aditivos e/ou outros documentos comprobatórios do conteúdo declarado.</w:t>
      </w:r>
    </w:p>
    <w:p>
      <w:pPr>
        <w:pStyle w:val="173"/>
        <w:numPr>
          <w:ilvl w:val="0"/>
          <w:numId w:val="0"/>
        </w:numPr>
        <w:ind w:left="360" w:firstLine="0"/>
        <w:jc w:val="both"/>
        <w:rPr>
          <w:rFonts w:ascii="Times New Roman" w:hAnsi="Times New Roman"/>
        </w:rPr>
      </w:pPr>
      <w:r>
        <w:rPr>
          <w:rFonts w:ascii="Times New Roman" w:hAnsi="Times New Roman" w:cs="Times New Roman" w:eastAsiaTheme="minorHAnsi"/>
          <w:color w:val="000000"/>
          <w:sz w:val="24"/>
          <w:szCs w:val="24"/>
          <w:shd w:val="clear" w:fill="auto"/>
        </w:rPr>
        <w:t xml:space="preserve"> </w:t>
      </w:r>
    </w:p>
    <w:p>
      <w:pPr>
        <w:pStyle w:val="173"/>
        <w:numPr>
          <w:ilvl w:val="0"/>
          <w:numId w:val="0"/>
        </w:numPr>
        <w:ind w:left="360" w:firstLine="0"/>
        <w:jc w:val="both"/>
        <w:rPr>
          <w:rFonts w:ascii="Times New Roman" w:hAnsi="Times New Roman"/>
        </w:rPr>
      </w:pPr>
      <w:r>
        <w:rPr>
          <w:rFonts w:ascii="Times New Roman" w:hAnsi="Times New Roman" w:cs="Times New Roman" w:eastAsiaTheme="minorHAnsi"/>
          <w:b/>
          <w:bCs/>
          <w:color w:val="000000"/>
          <w:sz w:val="24"/>
          <w:szCs w:val="24"/>
          <w:shd w:val="clear" w:fill="auto"/>
        </w:rPr>
        <w:t>b)</w:t>
      </w:r>
      <w:r>
        <w:rPr>
          <w:rFonts w:ascii="Times New Roman" w:hAnsi="Times New Roman" w:cs="Times New Roman" w:eastAsiaTheme="minorHAnsi"/>
          <w:color w:val="000000"/>
          <w:sz w:val="24"/>
          <w:szCs w:val="24"/>
          <w:shd w:val="clear" w:fill="auto"/>
        </w:rPr>
        <w:t xml:space="preserve"> </w:t>
      </w:r>
      <w:r>
        <w:rPr>
          <w:rFonts w:ascii="Times New Roman" w:hAnsi="Times New Roman" w:cs="Times New Roman"/>
          <w:color w:val="000000"/>
          <w:sz w:val="24"/>
          <w:szCs w:val="24"/>
          <w:shd w:val="clear" w:fill="auto"/>
          <w:lang w:val="pt-BR"/>
        </w:rPr>
        <w:t>D</w:t>
      </w:r>
      <w:r>
        <w:rPr>
          <w:rFonts w:ascii="Times New Roman" w:hAnsi="Times New Roman" w:cs="Times New Roman" w:eastAsiaTheme="minorHAnsi"/>
          <w:color w:val="000000"/>
          <w:sz w:val="24"/>
          <w:szCs w:val="24"/>
          <w:shd w:val="clear" w:fill="auto"/>
        </w:rPr>
        <w:t>emais itens relativ</w:t>
      </w:r>
      <w:r>
        <w:rPr>
          <w:rFonts w:ascii="Times New Roman" w:hAnsi="Times New Roman" w:cs="Times New Roman"/>
          <w:color w:val="000000"/>
          <w:sz w:val="24"/>
          <w:szCs w:val="24"/>
          <w:shd w:val="clear" w:fill="auto"/>
          <w:lang w:val="pt-BR"/>
        </w:rPr>
        <w:t>os</w:t>
      </w:r>
      <w:r>
        <w:rPr>
          <w:rFonts w:ascii="Times New Roman" w:hAnsi="Times New Roman" w:cs="Times New Roman" w:eastAsiaTheme="minorHAnsi"/>
          <w:color w:val="000000"/>
          <w:sz w:val="24"/>
          <w:szCs w:val="24"/>
          <w:shd w:val="clear" w:fill="auto"/>
        </w:rPr>
        <w:t xml:space="preserve"> à qualificação técnica</w:t>
      </w:r>
      <w:r>
        <w:rPr>
          <w:rFonts w:ascii="Times New Roman" w:hAnsi="Times New Roman" w:cs="Times New Roman"/>
          <w:color w:val="000000"/>
          <w:sz w:val="24"/>
          <w:szCs w:val="24"/>
          <w:shd w:val="clear" w:fill="auto"/>
          <w:lang w:val="pt-BR"/>
        </w:rPr>
        <w:t xml:space="preserve"> </w:t>
      </w:r>
      <w:r>
        <w:rPr>
          <w:rFonts w:ascii="Times New Roman" w:hAnsi="Times New Roman" w:cs="Times New Roman" w:eastAsiaTheme="minorHAnsi"/>
          <w:color w:val="000000"/>
          <w:sz w:val="24"/>
          <w:szCs w:val="24"/>
          <w:shd w:val="clear" w:fill="auto"/>
        </w:rPr>
        <w:t xml:space="preserve">solicitados no Anexo I  - Termo de Referência. </w:t>
      </w:r>
    </w:p>
    <w:p>
      <w:pPr>
        <w:pStyle w:val="2"/>
        <w:spacing w:before="360" w:after="0"/>
      </w:pPr>
      <w:bookmarkStart w:id="31" w:name="_Toc149517451"/>
      <w:r>
        <w:rPr>
          <w:rStyle w:val="45"/>
        </w:rPr>
        <w:t>REGULARIDADE FISCAL, SOCIAL E TRABALHISTA</w:t>
      </w:r>
      <w:bookmarkEnd w:id="31"/>
    </w:p>
    <w:p>
      <w:pPr>
        <w:pStyle w:val="130"/>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rPr>
          <w:color w:val="000000"/>
        </w:rPr>
        <w:t>As habilitações fiscal, social e trabalhista serão aferidas mediante a verificação dos seguintes requisitos:</w:t>
      </w:r>
    </w:p>
    <w:p>
      <w:pPr>
        <w:pStyle w:val="130"/>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a inscrição no Cadastro Nacional da Pessoa Jurídica (CNPJ);</w:t>
      </w:r>
    </w:p>
    <w:p>
      <w:pPr>
        <w:pStyle w:val="130"/>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a inscrição no cadastro de contribuintes estadual, relativo ao domicílio ou sede do licitante, pertinente ao seu ramo de atividade e compatível com o objeto contratual;</w:t>
      </w:r>
    </w:p>
    <w:p>
      <w:pPr>
        <w:pStyle w:val="130"/>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a regularidade perante a Fazenda federal, estadual e municipal do domicílio ou sede do licitante, ou outra equivalente, na forma da lei;</w:t>
      </w:r>
    </w:p>
    <w:p>
      <w:pPr>
        <w:pStyle w:val="130"/>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a regularidade relativa à Seguridade Social e ao FGTS, que demonstre cumprimento dos encargos sociais instituídos por lei;</w:t>
      </w:r>
    </w:p>
    <w:p>
      <w:pPr>
        <w:pStyle w:val="130"/>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a regularidade perante a Justiça do Trabalho;</w:t>
      </w:r>
    </w:p>
    <w:p>
      <w:pPr>
        <w:pStyle w:val="130"/>
        <w:numPr>
          <w:ilvl w:val="2"/>
          <w:numId w:val="1"/>
        </w:numPr>
        <w:tabs>
          <w:tab w:val="left" w:pos="1134"/>
        </w:tabs>
        <w:spacing w:before="0" w:beforeAutospacing="0" w:after="0" w:afterAutospacing="0"/>
        <w:jc w:val="both"/>
        <w:textAlignment w:val="baseline"/>
      </w:pPr>
      <w:r>
        <w:rPr>
          <w:color w:val="000000"/>
        </w:rPr>
        <w:t xml:space="preserve">o cumprimento do disposto no </w:t>
      </w:r>
      <w:r>
        <w:fldChar w:fldCharType="begin"/>
      </w:r>
      <w:r>
        <w:rPr>
          <w:rStyle w:val="54"/>
        </w:rPr>
        <w:instrText xml:space="preserve"> HYPERLINK "https://www.planalto.gov.br/ccivil_03/constituicao/constituicao.htm" \l "art7"</w:instrText>
      </w:r>
      <w:r>
        <w:rPr>
          <w:rStyle w:val="54"/>
        </w:rPr>
        <w:fldChar w:fldCharType="separate"/>
      </w:r>
      <w:r>
        <w:rPr>
          <w:rStyle w:val="54"/>
        </w:rPr>
        <w:t>art. 7º, inc. XXXIII, da Constituição Federal de 1988</w:t>
      </w:r>
      <w:r>
        <w:rPr>
          <w:rStyle w:val="54"/>
        </w:rPr>
        <w:fldChar w:fldCharType="end"/>
      </w:r>
      <w:r>
        <w:rPr>
          <w:color w:val="000000"/>
        </w:rPr>
        <w:t>.</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Serão aceitas certidões negativas e certidões positivas com efeito de negativas.</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Caso a proposta mais vantajosa seja ofertada por licitante qualificada como microempresa (ME) ou empresa de pequeno porte (EPP), e uma vez constatada a existência de alguma restrição no que tange à regularidade fiscal, social e trabalhista, a mesma será convocada para, no prazo de 5 (cinco) dias úteis, comprovar a regularização. O prazo poderá ser prorrogado por igual período, a critério da Administração, quando requerida tempestivamente pelo licitante, mediante apresentação de justificativa.</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A não-regularização fiscal e trabalhista no prazo previsto no item anterior acarretará a inabilitação do licitante, sem prejuízo das sanções previstas neste Edital, sendo facultada a convocação dos licitantes remanescentes, na ordem de classificação. Se, na ordem de classificação, seguir-se outra microempresa (ME) ou empresa de pequeno porte (EPP) com alguma restrição na documentação fiscal, social e trabalhista, será concedido o mesmo prazo para regularização.</w:t>
      </w:r>
    </w:p>
    <w:p>
      <w:pPr>
        <w:pStyle w:val="2"/>
        <w:spacing w:before="360" w:after="0"/>
      </w:pPr>
      <w:bookmarkStart w:id="32" w:name="_Toc149517452"/>
      <w:r>
        <w:rPr>
          <w:rStyle w:val="45"/>
        </w:rPr>
        <w:t>HABILITAÇÃO ECONÔMICO-FINANCEIRA</w:t>
      </w:r>
      <w:bookmarkEnd w:id="32"/>
    </w:p>
    <w:p>
      <w:pPr>
        <w:pStyle w:val="130"/>
        <w:numPr>
          <w:ilvl w:val="1"/>
          <w:numId w:val="1"/>
        </w:numPr>
        <w:tabs>
          <w:tab w:val="left" w:pos="1134"/>
        </w:tabs>
        <w:spacing w:before="120" w:beforeAutospacing="0" w:after="0" w:afterAutospacing="0"/>
        <w:ind w:left="0" w:firstLine="567"/>
        <w:jc w:val="both"/>
        <w:textAlignment w:val="baseline"/>
      </w:pPr>
      <w:r>
        <w:rPr>
          <w:color w:val="000000"/>
        </w:rPr>
        <w:t xml:space="preserve">Em atenção à parte final do </w:t>
      </w:r>
      <w:r>
        <w:fldChar w:fldCharType="begin"/>
      </w:r>
      <w:r>
        <w:rPr>
          <w:rStyle w:val="54"/>
        </w:rPr>
        <w:instrText xml:space="preserve"> HYPERLINK "http://www.planalto.gov.br/ccivil_03/constituicao/constituicao.htm" \l "art37"</w:instrText>
      </w:r>
      <w:r>
        <w:rPr>
          <w:rStyle w:val="54"/>
        </w:rPr>
        <w:fldChar w:fldCharType="separate"/>
      </w:r>
      <w:r>
        <w:rPr>
          <w:rStyle w:val="54"/>
        </w:rPr>
        <w:t>art. 37, XXI, da Constituição Federal de 1988</w:t>
      </w:r>
      <w:r>
        <w:rPr>
          <w:rStyle w:val="54"/>
        </w:rPr>
        <w:fldChar w:fldCharType="end"/>
      </w:r>
      <w:r>
        <w:rPr>
          <w:color w:val="000000"/>
        </w:rPr>
        <w:t xml:space="preserve">, não haverá exigência de qualificação econômico-financeira, previstas no </w:t>
      </w:r>
      <w:r>
        <w:fldChar w:fldCharType="begin"/>
      </w:r>
      <w:r>
        <w:rPr>
          <w:rStyle w:val="54"/>
        </w:rPr>
        <w:instrText xml:space="preserve"> HYPERLINK "https://www.planalto.gov.br/ccivil_03/_ato2019-2022/2021/lei/l14133.htm" \l "art69"</w:instrText>
      </w:r>
      <w:r>
        <w:rPr>
          <w:rStyle w:val="54"/>
        </w:rPr>
        <w:fldChar w:fldCharType="separate"/>
      </w:r>
      <w:r>
        <w:rPr>
          <w:rStyle w:val="54"/>
        </w:rPr>
        <w:t>art. 69 da Lei Federal nº 14.133, de 2021</w:t>
      </w:r>
      <w:r>
        <w:rPr>
          <w:rStyle w:val="54"/>
        </w:rPr>
        <w:fldChar w:fldCharType="end"/>
      </w:r>
      <w:r>
        <w:rPr>
          <w:color w:val="000000"/>
        </w:rPr>
        <w:t>.</w:t>
      </w:r>
    </w:p>
    <w:p>
      <w:pPr>
        <w:pStyle w:val="2"/>
        <w:spacing w:before="360" w:after="0"/>
      </w:pPr>
      <w:bookmarkStart w:id="33" w:name="_Toc149517453"/>
      <w:r>
        <w:rPr>
          <w:rStyle w:val="45"/>
        </w:rPr>
        <w:t>OUTROS DOCUMENTOS</w:t>
      </w:r>
      <w:bookmarkEnd w:id="33"/>
    </w:p>
    <w:p>
      <w:pPr>
        <w:pStyle w:val="130"/>
        <w:numPr>
          <w:ilvl w:val="1"/>
          <w:numId w:val="1"/>
        </w:numPr>
        <w:tabs>
          <w:tab w:val="left" w:pos="1134"/>
        </w:tabs>
        <w:spacing w:before="120" w:beforeAutospacing="0" w:after="0" w:afterAutospacing="0"/>
        <w:ind w:left="0" w:firstLine="567"/>
        <w:jc w:val="both"/>
        <w:textAlignment w:val="baseline"/>
      </w:pPr>
      <w:r>
        <w:rPr>
          <w:color w:val="000000"/>
        </w:rPr>
        <w:t xml:space="preserve">Sob pena de inabilitação, o licitante deverá apresentar declarações, conforme modelo constante no </w:t>
      </w:r>
      <w:r>
        <w:fldChar w:fldCharType="begin"/>
      </w:r>
      <w:r>
        <w:instrText xml:space="preserve"> HYPERLINK \l "_ANEXO_III_-" \h </w:instrText>
      </w:r>
      <w:r>
        <w:fldChar w:fldCharType="separate"/>
      </w:r>
      <w:r>
        <w:rPr>
          <w:rStyle w:val="54"/>
        </w:rPr>
        <w:t>Anexo III - Modelo de Declarações</w:t>
      </w:r>
      <w:r>
        <w:rPr>
          <w:rStyle w:val="54"/>
        </w:rPr>
        <w:fldChar w:fldCharType="end"/>
      </w:r>
      <w:r>
        <w:rPr>
          <w:color w:val="000000"/>
        </w:rPr>
        <w:t>, de que:</w:t>
      </w:r>
    </w:p>
    <w:p>
      <w:pPr>
        <w:pStyle w:val="130"/>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está ciente e concorda com as condições contidas no Edital e seus anexos, bem como de que cumpre plenamente os requisitos de habilitação definidos no Edital;</w:t>
      </w:r>
    </w:p>
    <w:p>
      <w:pPr>
        <w:pStyle w:val="130"/>
        <w:numPr>
          <w:ilvl w:val="2"/>
          <w:numId w:val="1"/>
        </w:numPr>
        <w:tabs>
          <w:tab w:val="left" w:pos="1134"/>
        </w:tabs>
        <w:spacing w:before="0" w:after="0"/>
        <w:jc w:val="both"/>
        <w:textAlignment w:val="baseline"/>
        <w:rPr>
          <w:rFonts w:ascii="Times New Roman" w:hAnsi="Times New Roman"/>
        </w:rPr>
      </w:pPr>
      <w:r>
        <w:rPr>
          <w:color w:val="000000"/>
        </w:rPr>
        <w:t>inexistem fatos impeditivos para sua habilitação no certame, ciente da obrigatoriedade de declarar ocorrências posteriores;</w:t>
      </w:r>
    </w:p>
    <w:p>
      <w:pPr>
        <w:pStyle w:val="130"/>
        <w:numPr>
          <w:ilvl w:val="2"/>
          <w:numId w:val="1"/>
        </w:numPr>
        <w:tabs>
          <w:tab w:val="left" w:pos="1134"/>
        </w:tabs>
        <w:spacing w:before="0" w:beforeAutospacing="0" w:after="0" w:afterAutospacing="0"/>
        <w:jc w:val="both"/>
        <w:textAlignment w:val="baseline"/>
      </w:pPr>
      <w:r>
        <w:rPr>
          <w:color w:val="000000"/>
        </w:rPr>
        <w:t xml:space="preserve">não emprega menor de 18 anos em trabalho noturno, perigoso ou insalubre e não emprega menor de 16 anos, salvo menor, a partir de 14 anos, na condição de aprendiz, nos termos do </w:t>
      </w:r>
      <w:r>
        <w:fldChar w:fldCharType="begin"/>
      </w:r>
      <w:r>
        <w:rPr>
          <w:rStyle w:val="54"/>
        </w:rPr>
        <w:instrText xml:space="preserve"> HYPERLINK "https://www.planalto.gov.br/ccivil_03/constituicao/constituicao.htm" \l "art7"</w:instrText>
      </w:r>
      <w:r>
        <w:rPr>
          <w:rStyle w:val="54"/>
        </w:rPr>
        <w:fldChar w:fldCharType="separate"/>
      </w:r>
      <w:r>
        <w:rPr>
          <w:rStyle w:val="54"/>
        </w:rPr>
        <w:t>art. 7°, XXXIII, da Constituição Federal de 1988</w:t>
      </w:r>
      <w:r>
        <w:rPr>
          <w:rStyle w:val="54"/>
        </w:rPr>
        <w:fldChar w:fldCharType="end"/>
      </w:r>
      <w:r>
        <w:rPr>
          <w:color w:val="000000"/>
        </w:rPr>
        <w:t>;</w:t>
      </w:r>
    </w:p>
    <w:p>
      <w:pPr>
        <w:pStyle w:val="130"/>
        <w:numPr>
          <w:ilvl w:val="2"/>
          <w:numId w:val="1"/>
        </w:numPr>
        <w:tabs>
          <w:tab w:val="left" w:pos="1134"/>
        </w:tabs>
        <w:spacing w:before="0" w:beforeAutospacing="0" w:after="0" w:afterAutospacing="0"/>
        <w:jc w:val="both"/>
        <w:textAlignment w:val="baseline"/>
      </w:pPr>
      <w:r>
        <w:t xml:space="preserve">não possui empregados executando trabalho degradante ou forçado, observando o disposto nos </w:t>
      </w:r>
      <w:r>
        <w:fldChar w:fldCharType="begin"/>
      </w:r>
      <w:r>
        <w:rPr>
          <w:rStyle w:val="54"/>
        </w:rPr>
        <w:instrText xml:space="preserve"> HYPERLINK "https://www.planalto.gov.br/ccivil_03/constituicao/constituicao.htm" \l "art5"</w:instrText>
      </w:r>
      <w:r>
        <w:rPr>
          <w:rStyle w:val="54"/>
        </w:rPr>
        <w:fldChar w:fldCharType="separate"/>
      </w:r>
      <w:r>
        <w:rPr>
          <w:rStyle w:val="54"/>
        </w:rPr>
        <w:t>incisos III e IV do art. 1º e no inciso III do art. 5º da Constituição Federal de 1988</w:t>
      </w:r>
      <w:r>
        <w:rPr>
          <w:rStyle w:val="54"/>
        </w:rPr>
        <w:fldChar w:fldCharType="end"/>
      </w:r>
      <w:r>
        <w:t>;</w:t>
      </w:r>
    </w:p>
    <w:p>
      <w:pPr>
        <w:pStyle w:val="130"/>
        <w:numPr>
          <w:ilvl w:val="2"/>
          <w:numId w:val="1"/>
        </w:numPr>
        <w:tabs>
          <w:tab w:val="left" w:pos="1134"/>
        </w:tabs>
        <w:spacing w:before="0" w:beforeAutospacing="0" w:after="0" w:afterAutospacing="0"/>
        <w:jc w:val="both"/>
        <w:textAlignment w:val="baseline"/>
      </w:pPr>
      <w:r>
        <w:rPr>
          <w:color w:val="000000"/>
        </w:rPr>
        <w:t xml:space="preserve">não mantém vínculo de natureza técnica, comercial, econômica, financeira, trabalhista ou civil com dirigente da </w:t>
      </w:r>
      <w:bookmarkStart w:id="34" w:name="_Hlk149515729"/>
      <w:r>
        <w:rPr>
          <w:color w:val="000000"/>
        </w:rPr>
        <w:t>Câmara Municipal de Primavera do Leste - MT</w:t>
      </w:r>
      <w:bookmarkEnd w:id="34"/>
      <w:r>
        <w:t xml:space="preserve"> </w:t>
      </w:r>
      <w:r>
        <w:rPr>
          <w:color w:val="000000"/>
        </w:rPr>
        <w:t>ou que deles seja cônjuge, companheiro ou parente em linha reta, colateral ou por afinidade, até o terceiro grau (</w:t>
      </w:r>
      <w:r>
        <w:fldChar w:fldCharType="begin"/>
      </w:r>
      <w:r>
        <w:rPr>
          <w:rStyle w:val="54"/>
        </w:rPr>
        <w:instrText xml:space="preserve"> HYPERLINK "https://www.planalto.gov.br/ccivil_03/_ato2019-2022/2021/lei/l14133.htm" \l "art14"</w:instrText>
      </w:r>
      <w:r>
        <w:rPr>
          <w:rStyle w:val="54"/>
        </w:rPr>
        <w:fldChar w:fldCharType="separate"/>
      </w:r>
      <w:r>
        <w:rPr>
          <w:rStyle w:val="54"/>
        </w:rPr>
        <w:t>art. 14, IV, da Lei Federal nº 14.133, de 2021</w:t>
      </w:r>
      <w:r>
        <w:rPr>
          <w:rStyle w:val="54"/>
        </w:rPr>
        <w:fldChar w:fldCharType="end"/>
      </w:r>
      <w:r>
        <w:rPr>
          <w:color w:val="000000"/>
        </w:rPr>
        <w:t>);</w:t>
      </w:r>
    </w:p>
    <w:p>
      <w:pPr>
        <w:pStyle w:val="130"/>
        <w:numPr>
          <w:ilvl w:val="2"/>
          <w:numId w:val="1"/>
        </w:numPr>
        <w:tabs>
          <w:tab w:val="left" w:pos="1134"/>
        </w:tabs>
        <w:spacing w:before="0" w:beforeAutospacing="0" w:after="0" w:afterAutospacing="0"/>
        <w:jc w:val="both"/>
        <w:textAlignment w:val="baseline"/>
      </w:pPr>
      <w:r>
        <w:rPr>
          <w:color w:val="000000"/>
        </w:rPr>
        <w:t xml:space="preserve">cumpre as exigências de reserva de cargos para pessoa com deficiência e para reabilitado da Previdência Social, previstas em lei e em outras normas específicas, em especial no </w:t>
      </w:r>
      <w:r>
        <w:fldChar w:fldCharType="begin"/>
      </w:r>
      <w:r>
        <w:rPr>
          <w:rStyle w:val="54"/>
        </w:rPr>
        <w:instrText xml:space="preserve"> HYPERLINK "https://www.planalto.gov.br/ccivil_03/leis/l8213cons.htm" \l "art93"</w:instrText>
      </w:r>
      <w:r>
        <w:rPr>
          <w:rStyle w:val="54"/>
        </w:rPr>
        <w:fldChar w:fldCharType="separate"/>
      </w:r>
      <w:r>
        <w:rPr>
          <w:rStyle w:val="54"/>
        </w:rPr>
        <w:t>art. 93 da Lei Federal nº 8.213, de 1991</w:t>
      </w:r>
      <w:r>
        <w:rPr>
          <w:rStyle w:val="54"/>
        </w:rPr>
        <w:fldChar w:fldCharType="end"/>
      </w:r>
      <w:r>
        <w:rPr>
          <w:color w:val="000000"/>
        </w:rPr>
        <w:t xml:space="preserve"> (</w:t>
      </w:r>
      <w:r>
        <w:fldChar w:fldCharType="begin"/>
      </w:r>
      <w:r>
        <w:rPr>
          <w:rStyle w:val="54"/>
        </w:rPr>
        <w:instrText xml:space="preserve"> HYPERLINK "https://www.planalto.gov.br/ccivil_03/_ato2019-2022/2021/lei/l14133.htm" \l "art63"</w:instrText>
      </w:r>
      <w:r>
        <w:rPr>
          <w:rStyle w:val="54"/>
        </w:rPr>
        <w:fldChar w:fldCharType="separate"/>
      </w:r>
      <w:r>
        <w:rPr>
          <w:rStyle w:val="54"/>
        </w:rPr>
        <w:t>art. 63, IV, da Lei Federal nº 14.133, de 2021</w:t>
      </w:r>
      <w:r>
        <w:rPr>
          <w:rStyle w:val="54"/>
        </w:rPr>
        <w:fldChar w:fldCharType="end"/>
      </w:r>
      <w:r>
        <w:rPr>
          <w:color w:val="000000"/>
        </w:rPr>
        <w:t>).</w:t>
      </w:r>
    </w:p>
    <w:p>
      <w:pPr>
        <w:pStyle w:val="130"/>
        <w:numPr>
          <w:ilvl w:val="1"/>
          <w:numId w:val="1"/>
        </w:numPr>
        <w:tabs>
          <w:tab w:val="left" w:pos="1134"/>
        </w:tabs>
        <w:spacing w:before="0" w:beforeAutospacing="0" w:after="0" w:afterAutospacing="0"/>
        <w:ind w:left="0" w:firstLine="567"/>
        <w:jc w:val="both"/>
        <w:textAlignment w:val="baseline"/>
      </w:pPr>
      <w:bookmarkStart w:id="35" w:name="_Ref117000019"/>
      <w:r>
        <w:t xml:space="preserve">O </w:t>
      </w:r>
      <w:r>
        <w:rPr>
          <w:color w:val="000000"/>
        </w:rPr>
        <w:t>fornecedor</w:t>
      </w:r>
      <w:r>
        <w:t xml:space="preserve"> enquadrado como microempresa ou empresa de pequeno porte deverá declarar, ainda, em campo próprio do sistema eletrônico, que cumpre os requisitos estabelecidos no </w:t>
      </w:r>
      <w:r>
        <w:fldChar w:fldCharType="begin"/>
      </w:r>
      <w:r>
        <w:rPr>
          <w:rStyle w:val="54"/>
        </w:rPr>
        <w:instrText xml:space="preserve"> HYPERLINK "https://www.planalto.gov.br/ccivil_03/leis/lcp/lcp123.htm" \l "art3"</w:instrText>
      </w:r>
      <w:r>
        <w:rPr>
          <w:rStyle w:val="54"/>
        </w:rPr>
        <w:fldChar w:fldCharType="separate"/>
      </w:r>
      <w:r>
        <w:rPr>
          <w:rStyle w:val="54"/>
        </w:rPr>
        <w:t>artigo 3° da Lei Complementar Federal nº 123, de 2006</w:t>
      </w:r>
      <w:r>
        <w:rPr>
          <w:rStyle w:val="54"/>
        </w:rPr>
        <w:fldChar w:fldCharType="end"/>
      </w:r>
      <w:r>
        <w:t xml:space="preserve">, estando apto a usufruir do tratamento favorecido estabelecido em seus </w:t>
      </w:r>
      <w:r>
        <w:fldChar w:fldCharType="begin"/>
      </w:r>
      <w:r>
        <w:rPr>
          <w:rStyle w:val="54"/>
        </w:rPr>
        <w:instrText xml:space="preserve"> HYPERLINK "https://www.planalto.gov.br/ccivil_03/leis/lcp/lcp123.htm" \l "art42"</w:instrText>
      </w:r>
      <w:r>
        <w:rPr>
          <w:rStyle w:val="54"/>
        </w:rPr>
        <w:fldChar w:fldCharType="separate"/>
      </w:r>
      <w:bookmarkEnd w:id="35"/>
      <w:r>
        <w:rPr>
          <w:rStyle w:val="54"/>
        </w:rPr>
        <w:t>arts. 42 a 49</w:t>
      </w:r>
      <w:r>
        <w:rPr>
          <w:rStyle w:val="54"/>
        </w:rPr>
        <w:fldChar w:fldCharType="end"/>
      </w:r>
      <w:r>
        <w:t xml:space="preserve">, observado o disposto nos </w:t>
      </w:r>
      <w:r>
        <w:fldChar w:fldCharType="begin"/>
      </w:r>
      <w:r>
        <w:rPr>
          <w:rStyle w:val="54"/>
        </w:rPr>
        <w:instrText xml:space="preserve"> HYPERLINK "http://www.planalto.gov.br/ccivil_03/_ato2019-2022/2021/lei/L14133.htm" \l "art4§1"</w:instrText>
      </w:r>
      <w:r>
        <w:rPr>
          <w:rStyle w:val="54"/>
        </w:rPr>
        <w:fldChar w:fldCharType="separate"/>
      </w:r>
      <w:r>
        <w:rPr>
          <w:rStyle w:val="54"/>
        </w:rPr>
        <w:t>§§ 1º ao 3º do art. 4º, da Lei Federal nº 14.133, de 2021.</w:t>
      </w:r>
      <w:r>
        <w:rPr>
          <w:rStyle w:val="54"/>
        </w:rPr>
        <w:fldChar w:fldCharType="end"/>
      </w:r>
    </w:p>
    <w:p>
      <w:pPr>
        <w:pStyle w:val="130"/>
        <w:numPr>
          <w:ilvl w:val="1"/>
          <w:numId w:val="1"/>
        </w:numPr>
        <w:tabs>
          <w:tab w:val="left" w:pos="1134"/>
        </w:tabs>
        <w:spacing w:before="0" w:beforeAutospacing="0" w:after="0" w:afterAutospacing="0"/>
        <w:ind w:left="0" w:firstLine="567"/>
        <w:jc w:val="both"/>
        <w:textAlignment w:val="baseline"/>
      </w:pPr>
      <w:r>
        <w:rPr>
          <w:color w:val="000000"/>
        </w:rPr>
        <w:t xml:space="preserve">A declaração falsa relativa ao cumprimento de qualquer condição sujeitará o licitante às sanções previstas em lei e neste Edital, em especial a infração administrativa prevista no </w:t>
      </w:r>
      <w:r>
        <w:fldChar w:fldCharType="begin"/>
      </w:r>
      <w:r>
        <w:rPr>
          <w:rStyle w:val="54"/>
        </w:rPr>
        <w:instrText xml:space="preserve"> HYPERLINK "https://www.planalto.gov.br/ccivil_03/_ato2019-2022/2021/lei/l14133.htm" \l "art156"</w:instrText>
      </w:r>
      <w:r>
        <w:rPr>
          <w:rStyle w:val="54"/>
        </w:rPr>
        <w:fldChar w:fldCharType="separate"/>
      </w:r>
      <w:r>
        <w:rPr>
          <w:rStyle w:val="54"/>
        </w:rPr>
        <w:t>art. 156, IV, da Lei Federal nº 14.133, de 2021</w:t>
      </w:r>
      <w:r>
        <w:rPr>
          <w:rStyle w:val="54"/>
        </w:rPr>
        <w:fldChar w:fldCharType="end"/>
      </w:r>
      <w:r>
        <w:rPr>
          <w:color w:val="000000"/>
        </w:rPr>
        <w:t>.</w:t>
      </w:r>
    </w:p>
    <w:p>
      <w:pPr>
        <w:pStyle w:val="2"/>
        <w:spacing w:before="360" w:after="0"/>
      </w:pPr>
      <w:bookmarkStart w:id="36" w:name="_Toc149517454"/>
      <w:r>
        <w:rPr>
          <w:rStyle w:val="45"/>
        </w:rPr>
        <w:t>ENCAMINHAMENTO DA PROPOSTA VENCEDORA</w:t>
      </w:r>
      <w:bookmarkEnd w:id="36"/>
    </w:p>
    <w:p>
      <w:pPr>
        <w:pStyle w:val="130"/>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rPr>
          <w:color w:val="000000"/>
        </w:rPr>
        <w:t xml:space="preserve">A proposta final do licitante habilitado e declarado vencedor deverá ser encaminhada no prazo de 2 (duas) horas, a contar da solicitação do(a) </w:t>
      </w:r>
      <w:r>
        <w:t>Pregoeiro</w:t>
      </w:r>
      <w:r>
        <w:rPr>
          <w:color w:val="000000"/>
        </w:rPr>
        <w:t xml:space="preserve"> no sistema eletrônico e deverá:</w:t>
      </w:r>
    </w:p>
    <w:p>
      <w:pPr>
        <w:pStyle w:val="130"/>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ser redigida em língua portuguesa, datilografada ou digitada, em uma via, sem emendas, rasuras, entrelinhas ou ressalvas, devendo a última folha ser assinada e as demais rubricadas pelo licitante ou seu representante legal, se a assinatura não for digital;</w:t>
      </w:r>
    </w:p>
    <w:p>
      <w:pPr>
        <w:pStyle w:val="130"/>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conter a indicação do banco, número da conta e agência do licitante vencedor, para fins de pagamento;</w:t>
      </w:r>
    </w:p>
    <w:p>
      <w:pPr>
        <w:pStyle w:val="130"/>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conter os dados pessoais do responsável pela assinatura da contratação, devendo ser enviado cópia dos documentos pessoais e documento que comprove a representatividade.</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A proposta final deverá ser documentada nos autos e será levada em consideração no decorrer da execução do contrato e aplicação de eventual sanção administrativa à futura contratada, se for o caso.</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Todas as especificações do objeto contidas na proposta, tais como marca, modelo, tipo, fabricante e procedência, vinculam a futura contratada.</w:t>
      </w:r>
    </w:p>
    <w:p>
      <w:pPr>
        <w:pStyle w:val="130"/>
        <w:numPr>
          <w:ilvl w:val="1"/>
          <w:numId w:val="1"/>
        </w:numPr>
        <w:tabs>
          <w:tab w:val="left" w:pos="1134"/>
        </w:tabs>
        <w:spacing w:before="0" w:beforeAutospacing="0" w:after="0" w:afterAutospacing="0"/>
        <w:ind w:left="0" w:firstLine="567"/>
        <w:jc w:val="both"/>
        <w:textAlignment w:val="baseline"/>
      </w:pPr>
      <w:r>
        <w:rPr>
          <w:color w:val="000000"/>
        </w:rPr>
        <w:t>Os preços deverão ser expressos em moeda corrente nacional, o valor unitário em algarismos e o valor global em algarismos (</w:t>
      </w:r>
      <w:r>
        <w:fldChar w:fldCharType="begin"/>
      </w:r>
      <w:r>
        <w:rPr>
          <w:rStyle w:val="54"/>
        </w:rPr>
        <w:instrText xml:space="preserve"> HYPERLINK "https://www.planalto.gov.br/ccivil_03/_ato2019-2022/2021/lei/l14133.htm" \l "art12"</w:instrText>
      </w:r>
      <w:r>
        <w:rPr>
          <w:rStyle w:val="54"/>
        </w:rPr>
        <w:fldChar w:fldCharType="separate"/>
      </w:r>
      <w:r>
        <w:rPr>
          <w:rStyle w:val="54"/>
        </w:rPr>
        <w:t>art. 12, II, da Lei Federal nº 14.133, de 2021</w:t>
      </w:r>
      <w:r>
        <w:rPr>
          <w:rStyle w:val="54"/>
        </w:rPr>
        <w:fldChar w:fldCharType="end"/>
      </w:r>
      <w:r>
        <w:rPr>
          <w:color w:val="000000"/>
        </w:rPr>
        <w:t>).</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A oferta deverá ser firme e precisa, limitada, rigorosamente, ao objeto deste Edital, sem conter alternativas de preço ou de qualquer outra condição que induza o julgamento a mais de um resultado, sob pena de desclassificação.</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A proposta deverá obedecer aos termos deste Edital e seus Anexos, não sendo considerada aquela que não corresponda às especificações ali contidas ou que estabeleça vínculo à proposta de outro licitante.</w:t>
      </w:r>
    </w:p>
    <w:p>
      <w:pPr>
        <w:pStyle w:val="2"/>
        <w:spacing w:before="360" w:after="0"/>
      </w:pPr>
      <w:bookmarkStart w:id="37" w:name="_Toc149517455"/>
      <w:r>
        <w:rPr>
          <w:rStyle w:val="45"/>
        </w:rPr>
        <w:t>RECURSO(S) ADMINISTRATIVO(S)</w:t>
      </w:r>
      <w:bookmarkEnd w:id="37"/>
    </w:p>
    <w:p>
      <w:pPr>
        <w:pStyle w:val="130"/>
        <w:numPr>
          <w:ilvl w:val="1"/>
          <w:numId w:val="1"/>
        </w:numPr>
        <w:tabs>
          <w:tab w:val="left" w:pos="1134"/>
        </w:tabs>
        <w:spacing w:before="120" w:beforeAutospacing="0" w:after="0" w:afterAutospacing="0"/>
        <w:ind w:left="0" w:firstLine="567"/>
        <w:jc w:val="both"/>
        <w:textAlignment w:val="baseline"/>
      </w:pPr>
      <w:r>
        <w:rPr>
          <w:color w:val="000000"/>
        </w:rPr>
        <w:t xml:space="preserve">A interposição de recurso referente ao julgamento das propostas, à habilitação ou inabilitação de licitantes, à anulação ou revogação da licitação, observará o disposto no </w:t>
      </w:r>
      <w:r>
        <w:fldChar w:fldCharType="begin"/>
      </w:r>
      <w:r>
        <w:rPr>
          <w:rStyle w:val="54"/>
        </w:rPr>
        <w:instrText xml:space="preserve"> HYPERLINK "https://www.planalto.gov.br/ccivil_03/_ato2019-2022/2021/lei/l14133.htm" \l "art165"</w:instrText>
      </w:r>
      <w:r>
        <w:rPr>
          <w:rStyle w:val="54"/>
        </w:rPr>
        <w:fldChar w:fldCharType="separate"/>
      </w:r>
      <w:r>
        <w:rPr>
          <w:rStyle w:val="54"/>
        </w:rPr>
        <w:t>art. 165 da Lei Federal nº 14.133, de 2021</w:t>
      </w:r>
      <w:r>
        <w:rPr>
          <w:rStyle w:val="54"/>
        </w:rPr>
        <w:fldChar w:fldCharType="end"/>
      </w:r>
      <w:r>
        <w:rPr>
          <w:color w:val="000000"/>
        </w:rPr>
        <w:t>.</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Qualquer licitante poderá, durante o prazo concedido na sessão pública, não inferior a 10 (dez) minutos, de forma imediata após o término do julgamento das propostas e do ato de habilitação ou inabilitação, em campo próprio do sistema, manifestar sua INTENÇÃO DE RECORRER, com registro da síntese de suas razões, isto é, indicando contra qual(is) decisão(ões) pretende recorrer e por qual(is) motivo(s), sob pena de preclusão, ficando a autoridade superior autorizada a adjudicar o objeto à licitante vencedora.</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A aceitação de intenção de recurso apenas suspenderá a tramitação do processo licitatório em relação ao(s) item(ns) recorrido(s), inclusive quanto ao prazo de validade da proposta, o qual somente recomeçará a contar quando da decisão final da autoridade competente, sendo realizado o encerramento da sessão e adjudicação do objeto pelo(a) </w:t>
      </w:r>
      <w:r>
        <w:t>Pregoeiro</w:t>
      </w:r>
      <w:r>
        <w:rPr>
          <w:color w:val="000000"/>
        </w:rPr>
        <w:t xml:space="preserve"> em face dos demais itens do objeto da licitação.</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Os recursos e as contrarrazões deverão ser encaminhados em campo próprio do sistema, e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O RECURSO ADMINISTRATIVO poderá atacar qualquer ato decisório ou procedimento adotado pelo(a) </w:t>
      </w:r>
      <w:r>
        <w:t>Pregoeiro</w:t>
      </w:r>
      <w:r>
        <w:rPr>
          <w:color w:val="000000"/>
        </w:rPr>
        <w:t xml:space="preserve"> durante todo o certame licitatório, não sendo meio adequado para impugnar regras do Edital e seus Anexos.</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Havendo registro de INTENÇÃO DE RECURSO, o(a) </w:t>
      </w:r>
      <w:r>
        <w:t>Pregoeiro</w:t>
      </w:r>
      <w:r>
        <w:rPr>
          <w:color w:val="000000"/>
        </w:rPr>
        <w:t xml:space="preserve"> fará JUÍZO DE ADMISSIBILIDADE da intenção de recorrer manifestada, aceitando-a ou, motivadamente, rejeitando-a, em campo próprio do sistema, em razão da não observância dos pressupostos recursais de admissibilidade.</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Será rejeitada a INTENÇÃO DE RECURSO de caráter protelatório que:</w:t>
      </w:r>
    </w:p>
    <w:p>
      <w:pPr>
        <w:pStyle w:val="130"/>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seja registrada por quem não tenha legítimo interesse;</w:t>
      </w:r>
    </w:p>
    <w:p>
      <w:pPr>
        <w:pStyle w:val="130"/>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seja intempestiva;</w:t>
      </w:r>
    </w:p>
    <w:p>
      <w:pPr>
        <w:pStyle w:val="130"/>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 xml:space="preserve">não ataque ato decisório ou procedimental praticado pelo(a) </w:t>
      </w:r>
      <w:r>
        <w:t>Pregoeiro</w:t>
      </w:r>
      <w:r>
        <w:rPr>
          <w:color w:val="000000"/>
        </w:rPr>
        <w:t xml:space="preserve"> no certame; e/ou</w:t>
      </w:r>
    </w:p>
    <w:p>
      <w:pPr>
        <w:pStyle w:val="130"/>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seja fundamentada em mera insatisfação do licitante, sem alegação de qualquer fato prejudicial ou desconforme com o presente Edital e/ou com a legislação vigente.</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A apresentação das razões pela recorrente e de eventuais contrarrazões pelas demais licitantes será realizada exclusivamente no âmbito do sistema eletrônico, em campo próprio, no prazo de 3 (três) dias úteis, contados a partir da data de intimação ou de lavratura da ata e da data de intimação pessoal ou de divulgação da interposição do recurso, respectivamente, sendo-lhes assegurada vista imediata dos elementos indispensáveis à defesa dos seus interesses.</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Não é imprescindível haver total correspondência entre os fatos e fundamentos indicados na intenção de recurso e as razões escritas do respectivo recurso.</w:t>
      </w:r>
    </w:p>
    <w:p>
      <w:pPr>
        <w:pStyle w:val="130"/>
        <w:numPr>
          <w:ilvl w:val="1"/>
          <w:numId w:val="1"/>
        </w:numPr>
        <w:tabs>
          <w:tab w:val="left" w:pos="1134"/>
        </w:tabs>
        <w:spacing w:before="0" w:beforeAutospacing="0" w:after="0" w:afterAutospacing="0"/>
        <w:ind w:left="0" w:firstLine="567"/>
        <w:jc w:val="both"/>
        <w:textAlignment w:val="baseline"/>
      </w:pPr>
      <w:r>
        <w:rPr>
          <w:color w:val="000000"/>
        </w:rPr>
        <w:t xml:space="preserve">Para justificar sua intenção de recorrer e fundamentar suas razões ou contrarrazões de recurso administrativo, o licitante interessado poderá solicitar vistas dos autos ou consultar as informações do certame disponíveis no próprio </w:t>
      </w:r>
      <w:r>
        <w:t>Portal Licitanet (</w:t>
      </w:r>
      <w:r>
        <w:fldChar w:fldCharType="begin"/>
      </w:r>
      <w:r>
        <w:instrText xml:space="preserve"> HYPERLINK "https://www.licitanet.com.br/" \h </w:instrText>
      </w:r>
      <w:r>
        <w:fldChar w:fldCharType="separate"/>
      </w:r>
      <w:r>
        <w:rPr>
          <w:rStyle w:val="54"/>
        </w:rPr>
        <w:t>https://www.licitanet.com.br/</w:t>
      </w:r>
      <w:r>
        <w:rPr>
          <w:rStyle w:val="54"/>
        </w:rPr>
        <w:fldChar w:fldCharType="end"/>
      </w:r>
      <w:r>
        <w:t>).</w:t>
      </w:r>
    </w:p>
    <w:p>
      <w:pPr>
        <w:pStyle w:val="130"/>
        <w:numPr>
          <w:ilvl w:val="1"/>
          <w:numId w:val="1"/>
        </w:numPr>
        <w:tabs>
          <w:tab w:val="left" w:pos="1134"/>
        </w:tabs>
        <w:spacing w:before="0" w:beforeAutospacing="0" w:after="0" w:afterAutospacing="0"/>
        <w:ind w:left="0" w:firstLine="567"/>
        <w:jc w:val="both"/>
        <w:textAlignment w:val="baseline"/>
      </w:pPr>
      <w:r>
        <w:rPr>
          <w:color w:val="000000"/>
        </w:rPr>
        <w:t xml:space="preserve">Os autos do procedimento permanecerão com vista franqueada aos interessados. Para tanto, as empresas interessadas deverão entrar em contato com o(a) </w:t>
      </w:r>
      <w:r>
        <w:t>Pregoeiro</w:t>
      </w:r>
      <w:r>
        <w:rPr>
          <w:color w:val="000000"/>
        </w:rPr>
        <w:t xml:space="preserve"> por intermédio do e-mail </w:t>
      </w:r>
      <w:r>
        <w:fldChar w:fldCharType="begin"/>
      </w:r>
      <w:r>
        <w:instrText xml:space="preserve"> HYPERLINK "mailto:licitacao@primaveradoleste.mt.leg.br" \h </w:instrText>
      </w:r>
      <w:r>
        <w:fldChar w:fldCharType="separate"/>
      </w:r>
      <w:r>
        <w:rPr>
          <w:rStyle w:val="54"/>
        </w:rPr>
        <w:t>licitacao@primaveradoleste.mt.leg.br</w:t>
      </w:r>
      <w:r>
        <w:rPr>
          <w:rStyle w:val="54"/>
        </w:rPr>
        <w:fldChar w:fldCharType="end"/>
      </w:r>
      <w:r>
        <w:rPr>
          <w:color w:val="000000"/>
        </w:rPr>
        <w:t xml:space="preserve"> ou, nos dias úteis e no horário de funcionamento da Câmara, pelo telefone: </w:t>
      </w:r>
      <w:r>
        <w:rPr>
          <w:color w:val="000000"/>
          <w:shd w:val="clear" w:fill="auto"/>
        </w:rPr>
        <w:t>3498-3590.</w:t>
      </w:r>
    </w:p>
    <w:p>
      <w:pPr>
        <w:pStyle w:val="130"/>
        <w:numPr>
          <w:ilvl w:val="1"/>
          <w:numId w:val="1"/>
        </w:numPr>
        <w:tabs>
          <w:tab w:val="left" w:pos="1134"/>
        </w:tabs>
        <w:spacing w:before="0" w:beforeAutospacing="0" w:after="0" w:afterAutospacing="0"/>
        <w:ind w:left="0" w:firstLine="567"/>
        <w:jc w:val="both"/>
        <w:textAlignment w:val="baseline"/>
      </w:pPr>
      <w:r>
        <w:t>A não apresentação das razões referente à intenção de recurso registrada no sistema, no prazo legal, importa preclusão do direito de recurso, possibilitando a adjudicação do objeto e homologação do certame. A critério do(a) Pregoeiro ou da Autoridade Superior, e considerando eventuais indícios de ilegalidades ou irregularidades no julgamento do certame apontados na própria intenção de recurso, poderá haver a análise de mérito do recurso independente da apresentação das respectivas razões (ou de sua apresentação fora do prazo legal), como mero exercício do direito constitucional de petição (</w:t>
      </w:r>
      <w:r>
        <w:fldChar w:fldCharType="begin"/>
      </w:r>
      <w:r>
        <w:rPr>
          <w:rStyle w:val="54"/>
        </w:rPr>
        <w:instrText xml:space="preserve"> HYPERLINK "https://www.planalto.gov.br/ccivil_03/constituicao/constituicao.htm" \l "art5"</w:instrText>
      </w:r>
      <w:r>
        <w:rPr>
          <w:rStyle w:val="54"/>
        </w:rPr>
        <w:fldChar w:fldCharType="separate"/>
      </w:r>
      <w:r>
        <w:rPr>
          <w:rStyle w:val="54"/>
        </w:rPr>
        <w:t>art. 5º, XXXIV, "a", Constituição Federal de 1988</w:t>
      </w:r>
      <w:r>
        <w:rPr>
          <w:rStyle w:val="54"/>
        </w:rPr>
        <w:fldChar w:fldCharType="end"/>
      </w:r>
      <w:r>
        <w:t>).</w:t>
      </w:r>
    </w:p>
    <w:p>
      <w:pPr>
        <w:pStyle w:val="130"/>
        <w:numPr>
          <w:ilvl w:val="1"/>
          <w:numId w:val="1"/>
        </w:numPr>
        <w:tabs>
          <w:tab w:val="left" w:pos="1134"/>
        </w:tabs>
        <w:spacing w:before="0" w:beforeAutospacing="0" w:after="0" w:afterAutospacing="0"/>
        <w:ind w:left="0" w:firstLine="567"/>
        <w:jc w:val="both"/>
        <w:textAlignment w:val="baseline"/>
      </w:pPr>
      <w:r>
        <w:rPr>
          <w:color w:val="000000"/>
        </w:rPr>
        <w:t>Mesmo que o recurso administrativo não seja conhecida, a Administração pode anular seus próprios atos, quando eivados de vícios que os tornam ilegais, porque deles não se originam direitos; ou revogá-los, por motivo de conveniência ou oportunidade, respeitados os direitos adquiridos e assegurando a prévia manifestação dos interessados (</w:t>
      </w:r>
      <w:r>
        <w:fldChar w:fldCharType="begin"/>
      </w:r>
      <w:r>
        <w:instrText xml:space="preserve"> HYPERLINK "https://portal.stf.jus.br/jurisprudencia/sumariosumulas.asp?base=30&amp;sumula=1602" \h </w:instrText>
      </w:r>
      <w:r>
        <w:fldChar w:fldCharType="separate"/>
      </w:r>
      <w:r>
        <w:rPr>
          <w:rStyle w:val="54"/>
        </w:rPr>
        <w:t>Súmula nº 473 do STF</w:t>
      </w:r>
      <w:r>
        <w:rPr>
          <w:rStyle w:val="54"/>
        </w:rPr>
        <w:fldChar w:fldCharType="end"/>
      </w:r>
      <w:r>
        <w:rPr>
          <w:color w:val="000000"/>
        </w:rPr>
        <w:t xml:space="preserve"> e </w:t>
      </w:r>
      <w:r>
        <w:fldChar w:fldCharType="begin"/>
      </w:r>
      <w:r>
        <w:rPr>
          <w:rStyle w:val="54"/>
        </w:rPr>
        <w:instrText xml:space="preserve"> HYPERLINK "https://www.planalto.gov.br/ccivil_03/_ato2019-2022/2021/lei/l14133.htm" \l "art71"</w:instrText>
      </w:r>
      <w:r>
        <w:rPr>
          <w:rStyle w:val="54"/>
        </w:rPr>
        <w:fldChar w:fldCharType="separate"/>
      </w:r>
      <w:r>
        <w:rPr>
          <w:rStyle w:val="54"/>
        </w:rPr>
        <w:t>art. 71, § 3º, da Lei Federal nº 14.133, de 2021</w:t>
      </w:r>
      <w:r>
        <w:rPr>
          <w:rStyle w:val="54"/>
        </w:rPr>
        <w:fldChar w:fldCharType="end"/>
      </w:r>
      <w:r>
        <w:rPr>
          <w:color w:val="000000"/>
        </w:rPr>
        <w:t>).</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t>Não cabe RECURSO ADESIVO por ocasião do exercício do direito de contrarrazoar.</w:t>
      </w:r>
    </w:p>
    <w:p>
      <w:pPr>
        <w:pStyle w:val="130"/>
        <w:numPr>
          <w:ilvl w:val="1"/>
          <w:numId w:val="1"/>
        </w:numPr>
        <w:tabs>
          <w:tab w:val="left" w:pos="1134"/>
        </w:tabs>
        <w:spacing w:before="0" w:beforeAutospacing="0" w:after="0" w:afterAutospacing="0"/>
        <w:ind w:left="0" w:firstLine="567"/>
        <w:jc w:val="both"/>
        <w:textAlignment w:val="baseline"/>
      </w:pPr>
      <w:r>
        <w:rPr>
          <w:color w:val="000000"/>
        </w:rPr>
        <w:t xml:space="preserve">Os recursos serão apreciados em fase única, conforme disposto no </w:t>
      </w:r>
      <w:r>
        <w:fldChar w:fldCharType="begin"/>
      </w:r>
      <w:r>
        <w:rPr>
          <w:rStyle w:val="54"/>
        </w:rPr>
        <w:instrText xml:space="preserve"> HYPERLINK "https://www.planalto.gov.br/ccivil_03/_ato2019-2022/2021/lei/l14133.htm" \l "art165"</w:instrText>
      </w:r>
      <w:r>
        <w:rPr>
          <w:rStyle w:val="54"/>
        </w:rPr>
        <w:fldChar w:fldCharType="separate"/>
      </w:r>
      <w:r>
        <w:rPr>
          <w:rStyle w:val="54"/>
        </w:rPr>
        <w:t>art. 165, §2º, da Lei Federal nº 14.133, de 2021</w:t>
      </w:r>
      <w:r>
        <w:rPr>
          <w:rStyle w:val="54"/>
        </w:rPr>
        <w:fldChar w:fldCharType="end"/>
      </w:r>
      <w:r>
        <w:rPr>
          <w:color w:val="000000"/>
        </w:rPr>
        <w:t>.</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Na análise e julgamento do recurso administrativo, poderá o(a) </w:t>
      </w:r>
      <w:r>
        <w:t>Pregoeiro</w:t>
      </w:r>
      <w:r>
        <w:rPr>
          <w:color w:val="000000"/>
        </w:rPr>
        <w:t xml:space="preserve"> baixar em diligência os autos para fins de pronunciamento da unidade técnica competente, bem como para Assessoria Jurídica e/ou Assessoria Contábil.</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Decorridos os prazos de apresentação de razões e contrarrazões, o(a) </w:t>
      </w:r>
      <w:r>
        <w:t>Pregoeiro</w:t>
      </w:r>
      <w:r>
        <w:rPr>
          <w:color w:val="000000"/>
        </w:rPr>
        <w:t xml:space="preserve"> deverá analisar fundamentadamente os fatos e fundamentos arguidos pelo(s) recorrente(s), podendo, em sede de JUÍZO DE RETRATAÇÃO:</w:t>
      </w:r>
    </w:p>
    <w:p>
      <w:pPr>
        <w:pStyle w:val="130"/>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reconsiderar, total ou parcialmente, a decisão recorrida, reformando-a; ou</w:t>
      </w:r>
    </w:p>
    <w:p>
      <w:pPr>
        <w:pStyle w:val="130"/>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manter inalterada a decisão recorrida.</w:t>
      </w:r>
    </w:p>
    <w:p>
      <w:pPr>
        <w:pStyle w:val="130"/>
        <w:numPr>
          <w:ilvl w:val="1"/>
          <w:numId w:val="1"/>
        </w:numPr>
        <w:tabs>
          <w:tab w:val="left" w:pos="1134"/>
        </w:tabs>
        <w:spacing w:before="0" w:beforeAutospacing="0" w:after="0" w:afterAutospacing="0"/>
        <w:ind w:left="0" w:firstLine="567"/>
        <w:jc w:val="both"/>
        <w:textAlignment w:val="baseline"/>
      </w:pPr>
      <w:r>
        <w:rPr>
          <w:color w:val="000000"/>
        </w:rPr>
        <w:t xml:space="preserve">Qualquer que seja a decisão do(a) </w:t>
      </w:r>
      <w:r>
        <w:t>Pregoeiro</w:t>
      </w:r>
      <w:r>
        <w:rPr>
          <w:color w:val="000000"/>
        </w:rPr>
        <w:t xml:space="preserve">, o processo será submetido, depois de devidamente instruído pelo(a) </w:t>
      </w:r>
      <w:r>
        <w:t>Pregoeiro</w:t>
      </w:r>
      <w:r>
        <w:rPr>
          <w:color w:val="000000"/>
        </w:rPr>
        <w:t>, à apreciação da Autoridade Superior (</w:t>
      </w:r>
      <w:r>
        <w:fldChar w:fldCharType="begin"/>
      </w:r>
      <w:r>
        <w:rPr>
          <w:rStyle w:val="54"/>
        </w:rPr>
        <w:instrText xml:space="preserve"> HYPERLINK "https://www.planalto.gov.br/ccivil_03/_ato2019-2022/2021/lei/l14133.htm" \l "art165"</w:instrText>
      </w:r>
      <w:r>
        <w:rPr>
          <w:rStyle w:val="54"/>
        </w:rPr>
        <w:fldChar w:fldCharType="separate"/>
      </w:r>
      <w:r>
        <w:rPr>
          <w:rStyle w:val="54"/>
        </w:rPr>
        <w:t>art. 165, § 2º, da Lei Federal nº 14.133, de 2021</w:t>
      </w:r>
      <w:r>
        <w:rPr>
          <w:rStyle w:val="54"/>
        </w:rPr>
        <w:fldChar w:fldCharType="end"/>
      </w:r>
      <w:r>
        <w:rPr>
          <w:color w:val="000000"/>
        </w:rPr>
        <w:t xml:space="preserve">), que poderá: </w:t>
      </w:r>
    </w:p>
    <w:p>
      <w:pPr>
        <w:pStyle w:val="130"/>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 xml:space="preserve">decidir de pronto o mérito do recurso, segundo os documentos e informações contidas nos autos, como também os fundamentos da decisão do(a) </w:t>
      </w:r>
      <w:r>
        <w:t>Pregoeiro</w:t>
      </w:r>
      <w:r>
        <w:rPr>
          <w:color w:val="000000"/>
        </w:rPr>
        <w:t>; OU</w:t>
      </w:r>
    </w:p>
    <w:p>
      <w:pPr>
        <w:pStyle w:val="130"/>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determinar prévia emissão de parecer da área técnica e/ou jurídico para subsidiar sua decisão.</w:t>
      </w:r>
    </w:p>
    <w:p>
      <w:pPr>
        <w:pStyle w:val="130"/>
        <w:numPr>
          <w:ilvl w:val="1"/>
          <w:numId w:val="1"/>
        </w:numPr>
        <w:tabs>
          <w:tab w:val="left" w:pos="1134"/>
        </w:tabs>
        <w:spacing w:before="0" w:beforeAutospacing="0" w:after="0" w:afterAutospacing="0"/>
        <w:ind w:left="0" w:firstLine="567"/>
        <w:jc w:val="both"/>
        <w:textAlignment w:val="baseline"/>
      </w:pPr>
      <w:r>
        <w:rPr>
          <w:color w:val="000000"/>
        </w:rPr>
        <w:t>O acolhimento do recurso importará na invalidação apenas dos atos que não possam ser aproveitados. (</w:t>
      </w:r>
      <w:r>
        <w:fldChar w:fldCharType="begin"/>
      </w:r>
      <w:r>
        <w:rPr>
          <w:rStyle w:val="54"/>
        </w:rPr>
        <w:instrText xml:space="preserve"> HYPERLINK "https://www.planalto.gov.br/ccivil_03/_ato2019-2022/2021/lei/l14133.htm" \l "art165"</w:instrText>
      </w:r>
      <w:r>
        <w:rPr>
          <w:rStyle w:val="54"/>
        </w:rPr>
        <w:fldChar w:fldCharType="separate"/>
      </w:r>
      <w:r>
        <w:rPr>
          <w:rStyle w:val="54"/>
        </w:rPr>
        <w:t>art. 165, §3º, da Lei Federal nº 14.133, de 2021</w:t>
      </w:r>
      <w:r>
        <w:rPr>
          <w:rStyle w:val="54"/>
        </w:rPr>
        <w:fldChar w:fldCharType="end"/>
      </w:r>
      <w:r>
        <w:rPr>
          <w:color w:val="000000"/>
        </w:rPr>
        <w:t>).</w:t>
      </w:r>
    </w:p>
    <w:p>
      <w:pPr>
        <w:pStyle w:val="130"/>
        <w:numPr>
          <w:ilvl w:val="1"/>
          <w:numId w:val="1"/>
        </w:numPr>
        <w:tabs>
          <w:tab w:val="left" w:pos="1134"/>
        </w:tabs>
        <w:spacing w:before="0" w:beforeAutospacing="0" w:after="0" w:afterAutospacing="0"/>
        <w:ind w:left="0" w:firstLine="567"/>
        <w:jc w:val="both"/>
        <w:textAlignment w:val="baseline"/>
      </w:pPr>
      <w:r>
        <w:rPr>
          <w:color w:val="000000"/>
        </w:rPr>
        <w:t xml:space="preserve">Após decididos os recursos e constatada a regularidade dos atos praticados, o processo licitatório será enviado à autoridade competente da Câmara Municipal de Primavera do Leste - MT para adjudicar o objeto e homologar o procedimento licitatório, observado o disposto no </w:t>
      </w:r>
      <w:r>
        <w:fldChar w:fldCharType="begin"/>
      </w:r>
      <w:r>
        <w:rPr>
          <w:rStyle w:val="54"/>
        </w:rPr>
        <w:instrText xml:space="preserve"> HYPERLINK "https://www.planalto.gov.br/ccivil_03/_ato2019-2022/2021/lei/l14133.htm" \l "art71"</w:instrText>
      </w:r>
      <w:r>
        <w:rPr>
          <w:rStyle w:val="54"/>
        </w:rPr>
        <w:fldChar w:fldCharType="separate"/>
      </w:r>
      <w:r>
        <w:rPr>
          <w:rStyle w:val="54"/>
        </w:rPr>
        <w:t>art. 71 da Lei Federal nº 14.133, de 2021</w:t>
      </w:r>
      <w:r>
        <w:rPr>
          <w:rStyle w:val="54"/>
        </w:rPr>
        <w:fldChar w:fldCharType="end"/>
      </w:r>
      <w:r>
        <w:rPr>
          <w:color w:val="000000"/>
        </w:rPr>
        <w:t>.</w:t>
      </w:r>
    </w:p>
    <w:p>
      <w:pPr>
        <w:pStyle w:val="2"/>
        <w:spacing w:before="360" w:after="0"/>
      </w:pPr>
      <w:bookmarkStart w:id="38" w:name="_Toc149517456"/>
      <w:r>
        <w:rPr>
          <w:rStyle w:val="45"/>
        </w:rPr>
        <w:t>REABERTURA DA SESSÃO PÚBLICA</w:t>
      </w:r>
      <w:bookmarkEnd w:id="38"/>
    </w:p>
    <w:p>
      <w:pPr>
        <w:pStyle w:val="130"/>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t>A sessão pública poderá ser reaberta:</w:t>
      </w:r>
    </w:p>
    <w:p>
      <w:pPr>
        <w:pStyle w:val="130"/>
        <w:numPr>
          <w:ilvl w:val="2"/>
          <w:numId w:val="1"/>
        </w:numPr>
        <w:tabs>
          <w:tab w:val="left" w:pos="1134"/>
        </w:tabs>
        <w:spacing w:before="0" w:beforeAutospacing="0" w:after="0" w:afterAutospacing="0"/>
        <w:jc w:val="both"/>
        <w:textAlignment w:val="baseline"/>
        <w:rPr>
          <w:rFonts w:ascii="Times New Roman" w:hAnsi="Times New Roman"/>
        </w:rPr>
      </w:pPr>
      <w:r>
        <w:t>Nas hipóteses de provimento de recurso que leve à anulação de atos anteriores à realização da sessão pública precedente ou em que seja anulada a própria sessão pública, situação em que serão repetidos os atos anulados e os que dele dependam;</w:t>
      </w:r>
    </w:p>
    <w:p>
      <w:pPr>
        <w:pStyle w:val="130"/>
        <w:numPr>
          <w:ilvl w:val="2"/>
          <w:numId w:val="1"/>
        </w:numPr>
        <w:tabs>
          <w:tab w:val="left" w:pos="1134"/>
        </w:tabs>
        <w:spacing w:before="0" w:beforeAutospacing="0" w:after="0" w:afterAutospacing="0"/>
        <w:jc w:val="both"/>
        <w:textAlignment w:val="baseline"/>
      </w:pPr>
      <w:r>
        <w:t xml:space="preserve">Quando houver erro na aceitação do preço melhor classificado ou quando o licitante declarado vencedor não assinar o contrato, não retirar o instrumento equivalente ou não comprovar a regularização fiscal, social e trabalhista, nos termos do </w:t>
      </w:r>
      <w:r>
        <w:fldChar w:fldCharType="begin"/>
      </w:r>
      <w:r>
        <w:rPr>
          <w:rStyle w:val="54"/>
        </w:rPr>
        <w:instrText xml:space="preserve"> HYPERLINK "https://www.planalto.gov.br/ccivil_03/leis/lcp/lcp123.htm" \l "art43"</w:instrText>
      </w:r>
      <w:r>
        <w:rPr>
          <w:rStyle w:val="54"/>
        </w:rPr>
        <w:fldChar w:fldCharType="separate"/>
      </w:r>
      <w:r>
        <w:rPr>
          <w:rStyle w:val="54"/>
        </w:rPr>
        <w:t>art. 43, §1º, da Lei Complementar Federal nº 123, de 2006</w:t>
      </w:r>
      <w:r>
        <w:rPr>
          <w:rStyle w:val="54"/>
        </w:rPr>
        <w:fldChar w:fldCharType="end"/>
      </w:r>
      <w:r>
        <w:t>. Nessas hipóteses, serão adotados os procedimentos imediatamente posteriores ao encerramento da etapa de lances.</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t>Todos os licitantes remanescentes deverão ser convocados para acompanhar a sessão reaberta.</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t>A convocação se dará por meio do sistema eletrônico (“</w:t>
      </w:r>
      <w:r>
        <w:rPr>
          <w:i/>
          <w:iCs/>
        </w:rPr>
        <w:t>chat</w:t>
      </w:r>
      <w:r>
        <w:t xml:space="preserve">”) ou </w:t>
      </w:r>
      <w:r>
        <w:rPr>
          <w:i/>
          <w:iCs/>
        </w:rPr>
        <w:t>e-mail</w:t>
      </w:r>
      <w:r>
        <w:t>, de acordo com a fase do procedimento licitatório, de acordo com o endereço eletrônico registrado na proposta.</w:t>
      </w:r>
    </w:p>
    <w:p>
      <w:pPr>
        <w:pStyle w:val="2"/>
        <w:spacing w:before="360" w:after="0"/>
      </w:pPr>
      <w:bookmarkStart w:id="39" w:name="_Toc149517457"/>
      <w:r>
        <w:rPr>
          <w:rStyle w:val="45"/>
        </w:rPr>
        <w:t>ENCERRAMENTO DA LICITAÇÃO</w:t>
      </w:r>
      <w:bookmarkEnd w:id="39"/>
    </w:p>
    <w:p>
      <w:pPr>
        <w:pStyle w:val="130"/>
        <w:numPr>
          <w:ilvl w:val="1"/>
          <w:numId w:val="1"/>
        </w:numPr>
        <w:tabs>
          <w:tab w:val="left" w:pos="1134"/>
        </w:tabs>
        <w:spacing w:before="120" w:beforeAutospacing="0" w:after="120" w:afterAutospacing="0"/>
        <w:ind w:left="0" w:firstLine="567"/>
        <w:jc w:val="both"/>
        <w:textAlignment w:val="baseline"/>
      </w:pPr>
      <w:r>
        <w:t xml:space="preserve">Nos </w:t>
      </w:r>
      <w:r>
        <w:rPr>
          <w:color w:val="000000"/>
        </w:rPr>
        <w:t>termos</w:t>
      </w:r>
      <w:r>
        <w:t xml:space="preserve"> do </w:t>
      </w:r>
      <w:r>
        <w:fldChar w:fldCharType="begin"/>
      </w:r>
      <w:r>
        <w:rPr>
          <w:rStyle w:val="54"/>
        </w:rPr>
        <w:instrText xml:space="preserve"> HYPERLINK "https://www.planalto.gov.br/ccivil_03/_ato2019-2022/2021/lei/l14133.htm" \l "art71"</w:instrText>
      </w:r>
      <w:r>
        <w:rPr>
          <w:rStyle w:val="54"/>
        </w:rPr>
        <w:fldChar w:fldCharType="separate"/>
      </w:r>
      <w:r>
        <w:rPr>
          <w:rStyle w:val="54"/>
        </w:rPr>
        <w:t>art. 71 da Lei Federal nº 14.133, de 2021</w:t>
      </w:r>
      <w:r>
        <w:rPr>
          <w:rStyle w:val="54"/>
        </w:rPr>
        <w:fldChar w:fldCharType="end"/>
      </w:r>
      <w:r>
        <w:t>, encerradas as fases de julgamento e habilitação, e exauridos os recursos administrativos, o processo licitatório será encaminhado à autoridade superior, que poderá:</w:t>
      </w:r>
    </w:p>
    <w:p>
      <w:pPr>
        <w:pStyle w:val="130"/>
        <w:numPr>
          <w:ilvl w:val="2"/>
          <w:numId w:val="9"/>
        </w:numPr>
        <w:tabs>
          <w:tab w:val="left" w:pos="1134"/>
        </w:tabs>
        <w:spacing w:before="120" w:after="0"/>
        <w:rPr>
          <w:rFonts w:ascii="Times New Roman" w:hAnsi="Times New Roman"/>
        </w:rPr>
      </w:pPr>
      <w:r>
        <w:t>determinar o retorno dos autos para saneamento de irregularidades;</w:t>
      </w:r>
    </w:p>
    <w:p>
      <w:pPr>
        <w:pStyle w:val="130"/>
        <w:numPr>
          <w:ilvl w:val="2"/>
          <w:numId w:val="9"/>
        </w:numPr>
        <w:tabs>
          <w:tab w:val="left" w:pos="1134"/>
        </w:tabs>
        <w:spacing w:before="0" w:after="0"/>
        <w:rPr>
          <w:rFonts w:ascii="Times New Roman" w:hAnsi="Times New Roman"/>
        </w:rPr>
      </w:pPr>
      <w:r>
        <w:t>revogar a licitação por motivo de conveniência e oportunidade;</w:t>
      </w:r>
    </w:p>
    <w:p>
      <w:pPr>
        <w:pStyle w:val="130"/>
        <w:numPr>
          <w:ilvl w:val="2"/>
          <w:numId w:val="9"/>
        </w:numPr>
        <w:tabs>
          <w:tab w:val="left" w:pos="1134"/>
        </w:tabs>
        <w:spacing w:before="0" w:after="0"/>
        <w:rPr>
          <w:rFonts w:ascii="Times New Roman" w:hAnsi="Times New Roman"/>
        </w:rPr>
      </w:pPr>
      <w:r>
        <w:t>proceder à anulação da licitação, de ofício ou mediante provocação de terceiros, sempre que presente ilegalidade insanável;</w:t>
      </w:r>
    </w:p>
    <w:p>
      <w:pPr>
        <w:pStyle w:val="130"/>
        <w:numPr>
          <w:ilvl w:val="2"/>
          <w:numId w:val="9"/>
        </w:numPr>
        <w:tabs>
          <w:tab w:val="left" w:pos="1134"/>
        </w:tabs>
        <w:spacing w:before="0" w:after="120"/>
        <w:rPr>
          <w:rFonts w:ascii="Times New Roman" w:hAnsi="Times New Roman"/>
        </w:rPr>
      </w:pPr>
      <w:r>
        <w:t>adjudicar o objeto e homologar a licitação.</w:t>
      </w:r>
    </w:p>
    <w:p>
      <w:pPr>
        <w:pStyle w:val="130"/>
        <w:numPr>
          <w:ilvl w:val="1"/>
          <w:numId w:val="1"/>
        </w:numPr>
        <w:tabs>
          <w:tab w:val="left" w:pos="1134"/>
        </w:tabs>
        <w:spacing w:before="120" w:beforeAutospacing="0" w:after="0" w:afterAutospacing="0"/>
        <w:ind w:left="0" w:firstLine="567"/>
        <w:jc w:val="both"/>
        <w:textAlignment w:val="baseline"/>
      </w:pPr>
      <w:r>
        <w:t xml:space="preserve">Ao </w:t>
      </w:r>
      <w:r>
        <w:rPr>
          <w:color w:val="000000"/>
        </w:rPr>
        <w:t>pronunciar</w:t>
      </w:r>
      <w:r>
        <w:t xml:space="preserve"> a nulidade, a autoridade indicará expressamente os atos com vícios insanáveis, tornando sem efeito todos os subsequentes que deles dependam, e dará ensejo à apuração de responsabilidade de quem lhes tenha dado causa (</w:t>
      </w:r>
      <w:r>
        <w:fldChar w:fldCharType="begin"/>
      </w:r>
      <w:r>
        <w:rPr>
          <w:rStyle w:val="54"/>
        </w:rPr>
        <w:instrText xml:space="preserve"> HYPERLINK "https://www.planalto.gov.br/ccivil_03/_ato2019-2022/2021/lei/l14133.htm" \l "art71"</w:instrText>
      </w:r>
      <w:r>
        <w:rPr>
          <w:rStyle w:val="54"/>
        </w:rPr>
        <w:fldChar w:fldCharType="separate"/>
      </w:r>
      <w:r>
        <w:rPr>
          <w:rStyle w:val="54"/>
        </w:rPr>
        <w:t>art. 71, §1º, da Lei Federal nº 14.133, de 2021</w:t>
      </w:r>
      <w:r>
        <w:rPr>
          <w:rStyle w:val="54"/>
        </w:rPr>
        <w:fldChar w:fldCharType="end"/>
      </w:r>
      <w:r>
        <w:t>).</w:t>
      </w:r>
    </w:p>
    <w:p>
      <w:pPr>
        <w:pStyle w:val="130"/>
        <w:numPr>
          <w:ilvl w:val="1"/>
          <w:numId w:val="1"/>
        </w:numPr>
        <w:tabs>
          <w:tab w:val="left" w:pos="1134"/>
        </w:tabs>
        <w:spacing w:before="0" w:beforeAutospacing="0" w:after="0" w:afterAutospacing="0"/>
        <w:ind w:left="0" w:firstLine="567"/>
        <w:jc w:val="both"/>
        <w:textAlignment w:val="baseline"/>
      </w:pPr>
      <w:r>
        <w:t>O motivo determinante para a revogação do processo licitatório deverá ser resultante de fato superveniente devidamente comprovado (</w:t>
      </w:r>
      <w:r>
        <w:fldChar w:fldCharType="begin"/>
      </w:r>
      <w:r>
        <w:rPr>
          <w:rStyle w:val="54"/>
        </w:rPr>
        <w:instrText xml:space="preserve"> HYPERLINK "https://www.planalto.gov.br/ccivil_03/_ato2019-2022/2021/lei/l14133.htm" \l "art71"</w:instrText>
      </w:r>
      <w:r>
        <w:rPr>
          <w:rStyle w:val="54"/>
        </w:rPr>
        <w:fldChar w:fldCharType="separate"/>
      </w:r>
      <w:r>
        <w:rPr>
          <w:rStyle w:val="54"/>
        </w:rPr>
        <w:t>art. 71, §2º, da Lei Federal nº 14.133, de 2021</w:t>
      </w:r>
      <w:r>
        <w:rPr>
          <w:rStyle w:val="54"/>
        </w:rPr>
        <w:fldChar w:fldCharType="end"/>
      </w:r>
      <w:r>
        <w:t>).</w:t>
      </w:r>
    </w:p>
    <w:p>
      <w:pPr>
        <w:pStyle w:val="130"/>
        <w:numPr>
          <w:ilvl w:val="1"/>
          <w:numId w:val="1"/>
        </w:numPr>
        <w:tabs>
          <w:tab w:val="left" w:pos="1134"/>
        </w:tabs>
        <w:spacing w:before="0" w:beforeAutospacing="0" w:after="0" w:afterAutospacing="0"/>
        <w:ind w:left="0" w:firstLine="567"/>
        <w:jc w:val="both"/>
        <w:textAlignment w:val="baseline"/>
      </w:pPr>
      <w:r>
        <w:t>Nos casos de anulação e revogação, será assegurada a prévia manifestação dos interessados (</w:t>
      </w:r>
      <w:r>
        <w:fldChar w:fldCharType="begin"/>
      </w:r>
      <w:r>
        <w:rPr>
          <w:rStyle w:val="54"/>
        </w:rPr>
        <w:instrText xml:space="preserve"> HYPERLINK "https://www.planalto.gov.br/ccivil_03/_ato2019-2022/2021/lei/l14133.htm" \l "art71"</w:instrText>
      </w:r>
      <w:r>
        <w:rPr>
          <w:rStyle w:val="54"/>
        </w:rPr>
        <w:fldChar w:fldCharType="separate"/>
      </w:r>
      <w:r>
        <w:rPr>
          <w:rStyle w:val="54"/>
        </w:rPr>
        <w:t>art. 71, §3º, da Lei Federal nº 14.133, de 2021</w:t>
      </w:r>
      <w:r>
        <w:rPr>
          <w:rStyle w:val="54"/>
        </w:rPr>
        <w:fldChar w:fldCharType="end"/>
      </w:r>
      <w:r>
        <w:t>).</w:t>
      </w:r>
    </w:p>
    <w:p>
      <w:pPr>
        <w:pStyle w:val="2"/>
        <w:spacing w:before="360" w:after="0"/>
      </w:pPr>
      <w:bookmarkStart w:id="40" w:name="_Toc149517458"/>
      <w:bookmarkStart w:id="41" w:name="_Toc144196064"/>
      <w:r>
        <w:rPr>
          <w:rStyle w:val="45"/>
        </w:rPr>
        <w:t>REGISTRO DE PREÇOS</w:t>
      </w:r>
      <w:bookmarkEnd w:id="40"/>
      <w:bookmarkEnd w:id="41"/>
    </w:p>
    <w:p>
      <w:pPr>
        <w:pStyle w:val="130"/>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t>Homologado o resultado da licitação, respeitada a ordem de classificação e a quantidade de fornecedores a serem registrados, convocará os particulares para assinatura da Ata de Registro de Preços - ARP (Anexo IV), no prazo de 5 (cinco) dias úteis, a qual se constitui em compromisso formal de fornecimento nas condições estabelecidas.</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t>O prazo de convocação poderá ser prorrogado uma vez, por igual período, mediante solicitação do licitante mais bem classificado ou do fornecedor convocado, desde que:</w:t>
      </w:r>
    </w:p>
    <w:p>
      <w:pPr>
        <w:pStyle w:val="130"/>
        <w:numPr>
          <w:ilvl w:val="2"/>
          <w:numId w:val="1"/>
        </w:numPr>
        <w:tabs>
          <w:tab w:val="left" w:pos="1134"/>
        </w:tabs>
        <w:spacing w:before="0" w:beforeAutospacing="0" w:after="0" w:afterAutospacing="0"/>
        <w:jc w:val="both"/>
        <w:textAlignment w:val="baseline"/>
        <w:rPr>
          <w:rFonts w:ascii="Times New Roman" w:hAnsi="Times New Roman"/>
        </w:rPr>
      </w:pPr>
      <w:r>
        <w:t>a solicitação seja devidamente justificada e apresentada dentro do prazo; e</w:t>
      </w:r>
    </w:p>
    <w:p>
      <w:pPr>
        <w:pStyle w:val="130"/>
        <w:numPr>
          <w:ilvl w:val="2"/>
          <w:numId w:val="1"/>
        </w:numPr>
        <w:tabs>
          <w:tab w:val="left" w:pos="1134"/>
        </w:tabs>
        <w:spacing w:before="0" w:beforeAutospacing="0" w:after="0" w:afterAutospacing="0"/>
        <w:jc w:val="both"/>
        <w:textAlignment w:val="baseline"/>
        <w:rPr>
          <w:rFonts w:ascii="Times New Roman" w:hAnsi="Times New Roman"/>
        </w:rPr>
      </w:pPr>
      <w:r>
        <w:t>a justificativa apresentada seja aceita pela Administração.</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t>A ata de registro de preços será assinada por meio de assinatura digital e disponibilizada no sistema de registro de preços.</w:t>
      </w:r>
    </w:p>
    <w:p>
      <w:pPr>
        <w:pStyle w:val="130"/>
        <w:numPr>
          <w:ilvl w:val="1"/>
          <w:numId w:val="1"/>
        </w:numPr>
        <w:tabs>
          <w:tab w:val="left" w:pos="1134"/>
        </w:tabs>
        <w:spacing w:before="0" w:beforeAutospacing="0" w:after="0" w:afterAutospacing="0"/>
        <w:ind w:left="0" w:firstLine="567"/>
        <w:jc w:val="both"/>
        <w:textAlignment w:val="baseline"/>
      </w:pPr>
      <w:r>
        <w:t xml:space="preserve">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 sem prejuízo da aplicação da(s) penalidade(s) do </w:t>
      </w:r>
      <w:r>
        <w:fldChar w:fldCharType="begin"/>
      </w:r>
      <w:r>
        <w:rPr>
          <w:rStyle w:val="54"/>
        </w:rPr>
        <w:instrText xml:space="preserve"> HYPERLINK "https://www.planalto.gov.br/ccivil_03/_ato2019-2022/2021/lei/l14133.htm" \l "art156"</w:instrText>
      </w:r>
      <w:r>
        <w:rPr>
          <w:rStyle w:val="54"/>
        </w:rPr>
        <w:fldChar w:fldCharType="separate"/>
      </w:r>
      <w:r>
        <w:rPr>
          <w:rStyle w:val="54"/>
        </w:rPr>
        <w:t>art. 156 da Lei Federal nº 14.133, de 2021</w:t>
      </w:r>
      <w:r>
        <w:rPr>
          <w:rStyle w:val="54"/>
        </w:rPr>
        <w:fldChar w:fldCharType="end"/>
      </w:r>
      <w:r>
        <w:t>.</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pPr>
        <w:pStyle w:val="130"/>
        <w:numPr>
          <w:ilvl w:val="1"/>
          <w:numId w:val="1"/>
        </w:numPr>
        <w:tabs>
          <w:tab w:val="left" w:pos="1134"/>
        </w:tabs>
        <w:spacing w:before="0" w:beforeAutospacing="0" w:after="0" w:afterAutospacing="0"/>
        <w:ind w:left="0" w:firstLine="567"/>
        <w:jc w:val="both"/>
        <w:textAlignment w:val="baseline"/>
      </w:pPr>
      <w:r>
        <w:t>O preço registrado, com a indicação dos fornecedores, será divulgado no PNCP (</w:t>
      </w:r>
      <w:r>
        <w:fldChar w:fldCharType="begin"/>
      </w:r>
      <w:r>
        <w:instrText xml:space="preserve"> HYPERLINK "https://pncp.gov.br/" \h </w:instrText>
      </w:r>
      <w:r>
        <w:fldChar w:fldCharType="separate"/>
      </w:r>
      <w:r>
        <w:rPr>
          <w:rStyle w:val="54"/>
        </w:rPr>
        <w:t>https://pncp.gov.br/</w:t>
      </w:r>
      <w:r>
        <w:rPr>
          <w:rStyle w:val="54"/>
        </w:rPr>
        <w:fldChar w:fldCharType="end"/>
      </w:r>
      <w:r>
        <w:t>) e disponibilizado durante a vigência da ata de registro de preços.</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t>A existência de preços registrados implicará compromisso de fornecimento nas condições estabelecidas, mas não obrigará a Administração a contratar, facultada a realização de licitação específica para a aquisição pretendida, desde que devidamente justificada, sendo assegurada ao beneficiário do registro a preferência de fornecimento em igualdade de condições.</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t>A Ata de Registro de Preços - ARP terá validade de 1 (um) ano, podendo ser prorrogada por igual período, desde que comprovado o preço vantajoso, limitada a 2 (dois) anos.</w:t>
      </w:r>
    </w:p>
    <w:p>
      <w:pPr>
        <w:pStyle w:val="130"/>
        <w:numPr>
          <w:ilvl w:val="1"/>
          <w:numId w:val="1"/>
        </w:numPr>
        <w:tabs>
          <w:tab w:val="left" w:pos="1134"/>
        </w:tabs>
        <w:spacing w:before="0" w:beforeAutospacing="0" w:after="0" w:afterAutospacing="0"/>
        <w:ind w:left="0" w:firstLine="567"/>
        <w:jc w:val="both"/>
        <w:textAlignment w:val="baseline"/>
      </w:pPr>
      <w:r>
        <w:t xml:space="preserve">Em caso de prorrogação, será garantido o REAJUSTE previsto no item </w:t>
      </w:r>
      <w:r>
        <w:fldChar w:fldCharType="begin"/>
      </w:r>
      <w:r>
        <w:instrText xml:space="preserve"> HYPERLINK \l "_REAJUSTE_(art._92," \h </w:instrText>
      </w:r>
      <w:r>
        <w:fldChar w:fldCharType="separate"/>
      </w:r>
      <w:r>
        <w:rPr>
          <w:rStyle w:val="54"/>
        </w:rPr>
        <w:t>“37 - REAJUSTE”</w:t>
      </w:r>
      <w:r>
        <w:rPr>
          <w:rStyle w:val="54"/>
        </w:rPr>
        <w:fldChar w:fldCharType="end"/>
      </w:r>
      <w:r>
        <w:t>.</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t>Não serão aceitas propostas para registros de preços com indicação de quantidades inferiores àquelas previstas em cada item do objeto da presente licitação, como também não serão permitidos registros de mais de um preço por cada item do objeto.</w:t>
      </w:r>
    </w:p>
    <w:p>
      <w:pPr>
        <w:pStyle w:val="130"/>
        <w:numPr>
          <w:ilvl w:val="1"/>
          <w:numId w:val="1"/>
        </w:numPr>
        <w:tabs>
          <w:tab w:val="left" w:pos="1134"/>
        </w:tabs>
        <w:spacing w:before="0" w:beforeAutospacing="0" w:after="0" w:afterAutospacing="0"/>
        <w:ind w:left="0" w:firstLine="567"/>
        <w:jc w:val="both"/>
        <w:textAlignment w:val="baseline"/>
      </w:pPr>
      <w:r>
        <w:t>Poderá haver ADESÃO à ARP por qualquer órgão ou entidade pública não participante do presente certame licitatório, desde que observados os limites, por órgão ou entidade, a 50% (cinquenta por cento) dos quantitativos dos itens do instrumento convocatório registrados na ata de registro de preços para o órgão gerenciador e para os órgãos participantes (</w:t>
      </w:r>
      <w:r>
        <w:fldChar w:fldCharType="begin"/>
      </w:r>
      <w:r>
        <w:rPr>
          <w:rStyle w:val="54"/>
        </w:rPr>
        <w:instrText xml:space="preserve"> HYPERLINK "https://www.planalto.gov.br/ccivil_03/_ato2019-2022/2021/lei/l14133.htm" \l "art86"</w:instrText>
      </w:r>
      <w:r>
        <w:rPr>
          <w:rStyle w:val="54"/>
        </w:rPr>
        <w:fldChar w:fldCharType="separate"/>
      </w:r>
      <w:r>
        <w:rPr>
          <w:rStyle w:val="54"/>
        </w:rPr>
        <w:t>art. 86, § 4º, da Lei Federal nº 14.133, de 2021</w:t>
      </w:r>
      <w:r>
        <w:rPr>
          <w:rStyle w:val="54"/>
        </w:rPr>
        <w:fldChar w:fldCharType="end"/>
      </w:r>
      <w:r>
        <w:t>).</w:t>
      </w:r>
    </w:p>
    <w:p>
      <w:pPr>
        <w:pStyle w:val="130"/>
        <w:numPr>
          <w:ilvl w:val="1"/>
          <w:numId w:val="1"/>
        </w:numPr>
        <w:tabs>
          <w:tab w:val="left" w:pos="1134"/>
        </w:tabs>
        <w:spacing w:before="0" w:beforeAutospacing="0" w:after="0" w:afterAutospacing="0"/>
        <w:ind w:left="0" w:firstLine="567"/>
        <w:jc w:val="both"/>
        <w:textAlignment w:val="baseline"/>
      </w:pPr>
      <w:r>
        <w:t>O quantitativo decorrente das adesões à ARP não poderá exceder, na totalidade, ao dobro do quantitativo de cada item registrado na ata de registro de preços para o órgão gerenciador e órgãos participantes, independentemente do número de órgãos não participantes que aderirem (</w:t>
      </w:r>
      <w:r>
        <w:fldChar w:fldCharType="begin"/>
      </w:r>
      <w:r>
        <w:rPr>
          <w:rStyle w:val="54"/>
        </w:rPr>
        <w:instrText xml:space="preserve"> HYPERLINK "https://www.planalto.gov.br/ccivil_03/_ato2019-2022/2021/lei/l14133.htm" \l "art86"</w:instrText>
      </w:r>
      <w:r>
        <w:rPr>
          <w:rStyle w:val="54"/>
        </w:rPr>
        <w:fldChar w:fldCharType="separate"/>
      </w:r>
      <w:r>
        <w:rPr>
          <w:rStyle w:val="54"/>
        </w:rPr>
        <w:t>art. 86, § 5º, da Lei Federal nº 14.133, de 2021</w:t>
      </w:r>
      <w:r>
        <w:rPr>
          <w:rStyle w:val="54"/>
        </w:rPr>
        <w:fldChar w:fldCharType="end"/>
      </w:r>
      <w:r>
        <w:t>).</w:t>
      </w:r>
    </w:p>
    <w:p>
      <w:pPr>
        <w:pStyle w:val="130"/>
        <w:numPr>
          <w:ilvl w:val="1"/>
          <w:numId w:val="1"/>
        </w:numPr>
        <w:tabs>
          <w:tab w:val="left" w:pos="1134"/>
        </w:tabs>
        <w:spacing w:before="0" w:beforeAutospacing="0" w:after="0" w:afterAutospacing="0"/>
        <w:ind w:left="0" w:firstLine="567"/>
        <w:jc w:val="both"/>
        <w:textAlignment w:val="baseline"/>
      </w:pPr>
      <w:r>
        <w:t>É expressamente proibida a participação de órgão ou entidade pública que já participe de outro SRP em andamento, ou integre outra ARP, com objetos semelhantes ao do presente SRP (</w:t>
      </w:r>
      <w:r>
        <w:fldChar w:fldCharType="begin"/>
      </w:r>
      <w:r>
        <w:rPr>
          <w:rStyle w:val="54"/>
        </w:rPr>
        <w:instrText xml:space="preserve"> HYPERLINK "https://www.planalto.gov.br/ccivil_03/_ato2019-2022/2021/lei/l14133.htm" \l "art82"</w:instrText>
      </w:r>
      <w:r>
        <w:rPr>
          <w:rStyle w:val="54"/>
        </w:rPr>
        <w:fldChar w:fldCharType="separate"/>
      </w:r>
      <w:r>
        <w:rPr>
          <w:rStyle w:val="54"/>
        </w:rPr>
        <w:t>art. 82, VIII, da Lei Federal nº 14.133, de 2021</w:t>
      </w:r>
      <w:r>
        <w:rPr>
          <w:rStyle w:val="54"/>
        </w:rPr>
        <w:fldChar w:fldCharType="end"/>
      </w:r>
      <w:r>
        <w:t>).</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t>Não poderá haver acréscimo(s) no(s) quantitativo(s) registrado(s) na ARP.</w:t>
      </w:r>
    </w:p>
    <w:p>
      <w:pPr>
        <w:pStyle w:val="130"/>
        <w:numPr>
          <w:ilvl w:val="1"/>
          <w:numId w:val="1"/>
        </w:numPr>
        <w:tabs>
          <w:tab w:val="left" w:pos="1134"/>
        </w:tabs>
        <w:spacing w:before="0" w:beforeAutospacing="0" w:after="0" w:afterAutospacing="0"/>
        <w:ind w:left="0" w:firstLine="567"/>
        <w:jc w:val="both"/>
        <w:textAlignment w:val="baseline"/>
      </w:pPr>
      <w:r>
        <w:t xml:space="preserve">Caberá à </w:t>
      </w:r>
      <w:r>
        <w:rPr>
          <w:color w:val="000000"/>
        </w:rPr>
        <w:t>Câmara Municipal de Primavera do Leste - MT</w:t>
      </w:r>
      <w:r>
        <w:t xml:space="preserve"> o gerenciamento e controle da ARP no seu próprio interesse, como também a formalização, gestão e fiscalização de suas próprias contratações, observadas as atribuições e competências indicadas na Minuta da ARP (</w:t>
      </w:r>
      <w:r>
        <w:fldChar w:fldCharType="begin"/>
      </w:r>
      <w:r>
        <w:instrText xml:space="preserve"> HYPERLINK \l "_ANEXO_IV_-" \h </w:instrText>
      </w:r>
      <w:r>
        <w:fldChar w:fldCharType="separate"/>
      </w:r>
      <w:r>
        <w:rPr>
          <w:rStyle w:val="54"/>
        </w:rPr>
        <w:t>Anexo IV</w:t>
      </w:r>
      <w:r>
        <w:rPr>
          <w:rStyle w:val="54"/>
        </w:rPr>
        <w:fldChar w:fldCharType="end"/>
      </w:r>
      <w:r>
        <w:t>).</w:t>
      </w:r>
    </w:p>
    <w:p>
      <w:pPr>
        <w:pStyle w:val="130"/>
        <w:numPr>
          <w:ilvl w:val="1"/>
          <w:numId w:val="1"/>
        </w:numPr>
        <w:tabs>
          <w:tab w:val="left" w:pos="1134"/>
        </w:tabs>
        <w:spacing w:before="0" w:beforeAutospacing="0" w:after="0" w:afterAutospacing="0"/>
        <w:ind w:left="0" w:firstLine="567"/>
        <w:jc w:val="both"/>
        <w:textAlignment w:val="baseline"/>
      </w:pPr>
      <w:r>
        <w:t xml:space="preserve">O Particular, titular do Registro de Preços, obriga-se a cumprir integralmente as obrigações contidas na ARP, salvo quando houver cancelamento ou rescisão do registro, submetendo-se às sanções administrativas previstas no item </w:t>
      </w:r>
      <w:r>
        <w:fldChar w:fldCharType="begin"/>
      </w:r>
      <w:r>
        <w:instrText xml:space="preserve"> HYPERLINK \l "_SANÇÕES_ADMINISTRATIVAS" \h </w:instrText>
      </w:r>
      <w:r>
        <w:fldChar w:fldCharType="separate"/>
      </w:r>
      <w:r>
        <w:rPr>
          <w:rStyle w:val="54"/>
        </w:rPr>
        <w:t>“38 - SANÇÕES ADMINISTRATIVAS”</w:t>
      </w:r>
      <w:r>
        <w:rPr>
          <w:rStyle w:val="54"/>
        </w:rPr>
        <w:fldChar w:fldCharType="end"/>
      </w:r>
      <w:r>
        <w:t xml:space="preserve"> em caso de inadimplência, observado o devido processo legal.</w:t>
      </w:r>
    </w:p>
    <w:p>
      <w:pPr>
        <w:pStyle w:val="2"/>
        <w:spacing w:before="360" w:after="0"/>
      </w:pPr>
      <w:bookmarkStart w:id="42" w:name="_Toc149517459"/>
      <w:bookmarkStart w:id="43" w:name="_Toc144196065"/>
      <w:r>
        <w:rPr>
          <w:rStyle w:val="45"/>
        </w:rPr>
        <w:t>FORMAÇÃO DO CADASTRO DE RESERVA</w:t>
      </w:r>
      <w:bookmarkEnd w:id="42"/>
      <w:bookmarkEnd w:id="43"/>
    </w:p>
    <w:p>
      <w:pPr>
        <w:pStyle w:val="130"/>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t>Após a homologação da licitação, será incluído na ata, na forma de anexo, o registro:</w:t>
      </w:r>
    </w:p>
    <w:p>
      <w:pPr>
        <w:pStyle w:val="130"/>
        <w:numPr>
          <w:ilvl w:val="2"/>
          <w:numId w:val="1"/>
        </w:numPr>
        <w:tabs>
          <w:tab w:val="left" w:pos="1134"/>
        </w:tabs>
        <w:spacing w:before="0" w:beforeAutospacing="0" w:after="0" w:afterAutospacing="0"/>
        <w:jc w:val="both"/>
        <w:textAlignment w:val="baseline"/>
        <w:rPr>
          <w:rFonts w:ascii="Times New Roman" w:hAnsi="Times New Roman"/>
        </w:rPr>
      </w:pPr>
      <w:r>
        <w:t xml:space="preserve">dos licitantes </w:t>
      </w:r>
      <w:bookmarkStart w:id="44" w:name="_Hlk132991372"/>
      <w:r>
        <w:t xml:space="preserve">que </w:t>
      </w:r>
      <w:bookmarkStart w:id="45" w:name="_Hlk132989696"/>
      <w:r>
        <w:t>aceitarem cotar o objeto com preço igual ao do adjudicatári</w:t>
      </w:r>
      <w:bookmarkEnd w:id="44"/>
      <w:r>
        <w:t>o</w:t>
      </w:r>
      <w:bookmarkEnd w:id="45"/>
      <w:r>
        <w:t xml:space="preserve">, observada a classificação na licitação; e </w:t>
      </w:r>
    </w:p>
    <w:p>
      <w:pPr>
        <w:pStyle w:val="130"/>
        <w:numPr>
          <w:ilvl w:val="2"/>
          <w:numId w:val="1"/>
        </w:numPr>
        <w:tabs>
          <w:tab w:val="left" w:pos="1134"/>
        </w:tabs>
        <w:spacing w:before="0" w:beforeAutospacing="0" w:after="0" w:afterAutospacing="0"/>
        <w:jc w:val="both"/>
        <w:textAlignment w:val="baseline"/>
        <w:rPr>
          <w:rFonts w:ascii="Times New Roman" w:hAnsi="Times New Roman"/>
        </w:rPr>
      </w:pPr>
      <w:r>
        <w:t>dos licitantes que mantiverem sua proposta original</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t>Será respeitada, nas contratações, a ordem de classificação dos licitantes ou fornecedores registrados na ata.</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t>A apresentação de novas propostas na forma deste item não prejudicará o resultado do certame em relação ao licitante mais bem classificado.</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t>Para fins da ordem de classificação, os licitantes ou fornecedores que aceitarem cotar o objeto com preço igual ao do adjudicatário antecederão aqueles que mantiverem sua proposta original.</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t xml:space="preserve"> A habilitação dos licitantes que comporão o cadastro de reserva será efetuada quando houver necessidade de contratação dos licitantes remanescentes, nas seguintes hipóteses:</w:t>
      </w:r>
    </w:p>
    <w:p>
      <w:pPr>
        <w:pStyle w:val="130"/>
        <w:numPr>
          <w:ilvl w:val="2"/>
          <w:numId w:val="1"/>
        </w:numPr>
        <w:tabs>
          <w:tab w:val="left" w:pos="1134"/>
        </w:tabs>
        <w:spacing w:before="0" w:beforeAutospacing="0" w:after="0" w:afterAutospacing="0"/>
        <w:jc w:val="both"/>
        <w:textAlignment w:val="baseline"/>
        <w:rPr>
          <w:rFonts w:ascii="Times New Roman" w:hAnsi="Times New Roman"/>
        </w:rPr>
      </w:pPr>
      <w:r>
        <w:t>quando o licitante vencedor não assinar a ata de registro de preços no prazo e nas condições estabelecidos no edital; ou</w:t>
      </w:r>
    </w:p>
    <w:p>
      <w:pPr>
        <w:pStyle w:val="130"/>
        <w:numPr>
          <w:ilvl w:val="2"/>
          <w:numId w:val="1"/>
        </w:numPr>
        <w:tabs>
          <w:tab w:val="left" w:pos="1134"/>
        </w:tabs>
        <w:spacing w:before="0" w:beforeAutospacing="0" w:after="0" w:afterAutospacing="0"/>
        <w:jc w:val="both"/>
        <w:textAlignment w:val="baseline"/>
        <w:rPr>
          <w:rFonts w:ascii="Times New Roman" w:hAnsi="Times New Roman"/>
        </w:rPr>
      </w:pPr>
      <w:r>
        <w:t>quando houver o cancelamento do registro do fornecedor ou do registro de preços.</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pPr>
        <w:pStyle w:val="130"/>
        <w:numPr>
          <w:ilvl w:val="2"/>
          <w:numId w:val="1"/>
        </w:numPr>
        <w:tabs>
          <w:tab w:val="left" w:pos="1134"/>
        </w:tabs>
        <w:spacing w:before="0" w:beforeAutospacing="0" w:after="0" w:afterAutospacing="0"/>
        <w:jc w:val="both"/>
        <w:textAlignment w:val="baseline"/>
        <w:rPr>
          <w:rFonts w:ascii="Times New Roman" w:hAnsi="Times New Roman"/>
        </w:rPr>
      </w:pPr>
      <w:r>
        <w:t>convocar os licitantes que mantiveram sua proposta original para negociação, na ordem de classificação, com vistas à obtenção de preço melhor, mesmo que acima do preço do adjudicatário; ou</w:t>
      </w:r>
    </w:p>
    <w:p>
      <w:pPr>
        <w:pStyle w:val="130"/>
        <w:numPr>
          <w:ilvl w:val="2"/>
          <w:numId w:val="1"/>
        </w:numPr>
        <w:tabs>
          <w:tab w:val="left" w:pos="1134"/>
        </w:tabs>
        <w:spacing w:before="0" w:beforeAutospacing="0" w:after="0" w:afterAutospacing="0"/>
        <w:jc w:val="both"/>
        <w:textAlignment w:val="baseline"/>
        <w:rPr>
          <w:rFonts w:ascii="Times New Roman" w:hAnsi="Times New Roman"/>
        </w:rPr>
      </w:pPr>
      <w:r>
        <w:t>adjudicar e firmar o contrato nas condições ofertadas pelos licitantes remanescentes, observada a ordem de classificação, quando frustrada a negociação de melhor condição.</w:t>
      </w:r>
    </w:p>
    <w:p>
      <w:pPr>
        <w:pStyle w:val="2"/>
        <w:spacing w:before="360" w:after="0"/>
      </w:pPr>
      <w:bookmarkStart w:id="46" w:name="_Toc149517460"/>
      <w:r>
        <w:rPr>
          <w:rStyle w:val="45"/>
        </w:rPr>
        <w:t>CONTRATAÇÃO</w:t>
      </w:r>
      <w:bookmarkEnd w:id="46"/>
      <w:r>
        <w:rPr>
          <w:rStyle w:val="45"/>
        </w:rPr>
        <w:t> </w:t>
      </w:r>
    </w:p>
    <w:p>
      <w:pPr>
        <w:pStyle w:val="130"/>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rPr>
          <w:color w:val="000000"/>
        </w:rPr>
        <w:t>Previamente à contratação serão consultados os documentos de habilitação da empresa beneficiária da ARP, que deverão ser mantidas pelo licitante durante</w:t>
      </w:r>
      <w:r>
        <w:rPr>
          <w:color w:val="000000"/>
        </w:rPr>
        <w:br w:type="textWrapping"/>
      </w:r>
      <w:r>
        <w:rPr>
          <w:color w:val="000000"/>
        </w:rPr>
        <w:t>a vigência do contrato ou da ata de registro de preços, assim como serão verificadas as ocorrências impeditivas indiretas.</w:t>
      </w:r>
    </w:p>
    <w:p>
      <w:pPr>
        <w:pStyle w:val="130"/>
        <w:numPr>
          <w:ilvl w:val="1"/>
          <w:numId w:val="1"/>
        </w:numPr>
        <w:tabs>
          <w:tab w:val="left" w:pos="1134"/>
        </w:tabs>
        <w:spacing w:before="0" w:beforeAutospacing="0" w:after="0" w:afterAutospacing="0"/>
        <w:ind w:left="0" w:firstLine="567"/>
        <w:jc w:val="both"/>
        <w:textAlignment w:val="baseline"/>
      </w:pPr>
      <w:r>
        <w:rPr>
          <w:color w:val="000000"/>
        </w:rPr>
        <w:t>Na hipótese de irregularidades na habilitação, a empresa beneficiária da ARP deverá regularizar a sua situação no prazo de até 05 (cinco) dias úteis, sob</w:t>
      </w:r>
      <w:r>
        <w:rPr>
          <w:color w:val="000000"/>
        </w:rPr>
        <w:br w:type="textWrapping"/>
      </w:r>
      <w:r>
        <w:rPr>
          <w:color w:val="000000"/>
        </w:rPr>
        <w:t xml:space="preserve">pena de aplicação das penalidades previstas na cláusula </w:t>
      </w:r>
      <w:r>
        <w:fldChar w:fldCharType="begin"/>
      </w:r>
      <w:r>
        <w:instrText xml:space="preserve"> HYPERLINK \l "_SANÇÕES_ADMINISTRATIVAS" \h </w:instrText>
      </w:r>
      <w:r>
        <w:fldChar w:fldCharType="separate"/>
      </w:r>
      <w:r>
        <w:rPr>
          <w:rStyle w:val="54"/>
        </w:rPr>
        <w:t>“41 - SANÇÕES ADMINISTRATIVAS”</w:t>
      </w:r>
      <w:r>
        <w:rPr>
          <w:rStyle w:val="54"/>
        </w:rPr>
        <w:fldChar w:fldCharType="end"/>
      </w:r>
      <w:r>
        <w:rPr>
          <w:color w:val="000000"/>
        </w:rPr>
        <w:t>.</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hd w:val="clear" w:fill="auto"/>
        </w:rPr>
        <w:t xml:space="preserve">Como </w:t>
      </w:r>
      <w:r>
        <w:rPr>
          <w:shd w:val="clear" w:fill="auto"/>
        </w:rPr>
        <w:t>condição</w:t>
      </w:r>
      <w:r>
        <w:rPr>
          <w:color w:val="000000"/>
          <w:shd w:val="clear" w:fill="auto"/>
        </w:rPr>
        <w:t xml:space="preserve"> para a efetivação da contratação, a licitante adjudicatária deverá apresentar, no prazo de 2 (dois) dias úteis contados a partir da convocação, o seguinte documento, se for o caso, de declaração de que está regularmente inscrita no Regime Especial Unificado de Arrecadação de Tributos e Contribuições devidos pelas ME e EPP - Simples Nacional - para efeito do disposto no inciso XI, art. 4º da IN RFB nº 1234, de 2012, em 2 (duas) vias, assinada pelo seu representante legal, conforme modelo constante do Anexo VII da referida IN.</w:t>
      </w:r>
    </w:p>
    <w:p>
      <w:pPr>
        <w:pStyle w:val="130"/>
        <w:numPr>
          <w:ilvl w:val="1"/>
          <w:numId w:val="1"/>
        </w:numPr>
        <w:tabs>
          <w:tab w:val="left" w:pos="1134"/>
        </w:tabs>
        <w:spacing w:before="0" w:beforeAutospacing="0" w:after="0" w:afterAutospacing="0"/>
        <w:ind w:left="0" w:firstLine="567"/>
        <w:jc w:val="both"/>
        <w:textAlignment w:val="baseline"/>
      </w:pPr>
      <w:r>
        <w:t xml:space="preserve">Nos termos do </w:t>
      </w:r>
      <w:r>
        <w:fldChar w:fldCharType="begin"/>
      </w:r>
      <w:r>
        <w:rPr>
          <w:rStyle w:val="54"/>
        </w:rPr>
        <w:instrText xml:space="preserve"> HYPERLINK "https://www.planalto.gov.br/ccivil_03/_ato2019-2022/2021/lei/l14133.htm" \l "art95"</w:instrText>
      </w:r>
      <w:r>
        <w:rPr>
          <w:rStyle w:val="54"/>
        </w:rPr>
        <w:fldChar w:fldCharType="separate"/>
      </w:r>
      <w:r>
        <w:rPr>
          <w:rStyle w:val="54"/>
        </w:rPr>
        <w:t>art. 95, da Lei Federal nº 14.133, de 2021</w:t>
      </w:r>
      <w:r>
        <w:rPr>
          <w:rStyle w:val="54"/>
        </w:rPr>
        <w:fldChar w:fldCharType="end"/>
      </w:r>
      <w:r>
        <w:t xml:space="preserve">, o Instrumento de Contrato a ser assinado será conforme minuta constante no </w:t>
      </w:r>
      <w:r>
        <w:fldChar w:fldCharType="begin"/>
      </w:r>
      <w:r>
        <w:instrText xml:space="preserve"> HYPERLINK \l "_ANEXO_VII_-" \h </w:instrText>
      </w:r>
      <w:r>
        <w:fldChar w:fldCharType="separate"/>
      </w:r>
      <w:r>
        <w:rPr>
          <w:rStyle w:val="54"/>
        </w:rPr>
        <w:t>Anexo VII</w:t>
      </w:r>
      <w:r>
        <w:rPr>
          <w:rStyle w:val="54"/>
        </w:rPr>
        <w:fldChar w:fldCharType="end"/>
      </w:r>
      <w:r>
        <w:t>.</w:t>
      </w:r>
    </w:p>
    <w:p>
      <w:pPr>
        <w:pStyle w:val="130"/>
        <w:numPr>
          <w:ilvl w:val="1"/>
          <w:numId w:val="1"/>
        </w:numPr>
        <w:tabs>
          <w:tab w:val="left" w:pos="1134"/>
        </w:tabs>
        <w:spacing w:before="0" w:beforeAutospacing="0" w:after="0" w:afterAutospacing="0"/>
        <w:ind w:left="0" w:firstLine="567"/>
        <w:jc w:val="both"/>
        <w:textAlignment w:val="baseline"/>
      </w:pPr>
      <w:r>
        <w:rPr>
          <w:color w:val="000000"/>
        </w:rPr>
        <w:t xml:space="preserve">Em caso de utilização da Ata de Registro de Preços, a Câmara Municipal de Primavera do Leste - MT enviará, por meio do correio eletrônico indicado na proposta, cópia do Instrumento de Contrato à futura contratada, devendo esta ser devolvida assinada digitalmente, sem qualquer modificação, em até 5 (cinco) dias úteis, sob pena de caracterização da conduta tipificada no </w:t>
      </w:r>
      <w:r>
        <w:fldChar w:fldCharType="begin"/>
      </w:r>
      <w:r>
        <w:rPr>
          <w:rStyle w:val="54"/>
        </w:rPr>
        <w:instrText xml:space="preserve"> HYPERLINK "https://www.planalto.gov.br/ccivil_03/_ato2019-2022/2021/lei/l14133.htm" \l "art155"</w:instrText>
      </w:r>
      <w:r>
        <w:rPr>
          <w:rStyle w:val="54"/>
        </w:rPr>
        <w:fldChar w:fldCharType="separate"/>
      </w:r>
      <w:r>
        <w:rPr>
          <w:rStyle w:val="54"/>
        </w:rPr>
        <w:t>art. 155, VI e/ou IX, da Lei Federal nº 14.133, de 2021</w:t>
      </w:r>
      <w:r>
        <w:rPr>
          <w:rStyle w:val="54"/>
        </w:rPr>
        <w:fldChar w:fldCharType="end"/>
      </w:r>
      <w:r>
        <w:rPr>
          <w:color w:val="000000"/>
        </w:rPr>
        <w:t>.</w:t>
      </w:r>
    </w:p>
    <w:p>
      <w:pPr>
        <w:pStyle w:val="130"/>
        <w:numPr>
          <w:ilvl w:val="1"/>
          <w:numId w:val="1"/>
        </w:numPr>
        <w:tabs>
          <w:tab w:val="left" w:pos="1134"/>
        </w:tabs>
        <w:spacing w:before="0" w:beforeAutospacing="0" w:after="0" w:afterAutospacing="0"/>
        <w:ind w:left="0" w:firstLine="567"/>
        <w:jc w:val="both"/>
        <w:textAlignment w:val="baseline"/>
      </w:pPr>
      <w:r>
        <w:rPr>
          <w:color w:val="000000"/>
        </w:rPr>
        <w:t xml:space="preserve">A Câmara Municipal de Primavera do Leste - MT enviará, por meio do correio eletrônico indicado na proposta, cópia da Ata de Registro de Preços e, em caso de utilização da ARP, o Instrumento de Contrato, devendo o mesmo dar o aceite em até 5 (cinco) dias úteis, sob pena de caracterização da conduta tipificada no </w:t>
      </w:r>
      <w:r>
        <w:fldChar w:fldCharType="begin"/>
      </w:r>
      <w:r>
        <w:rPr>
          <w:rStyle w:val="54"/>
        </w:rPr>
        <w:instrText xml:space="preserve"> HYPERLINK "https://www.planalto.gov.br/ccivil_03/_ato2019-2022/2021/lei/l14133.htm" \l "art155"</w:instrText>
      </w:r>
      <w:r>
        <w:rPr>
          <w:rStyle w:val="54"/>
        </w:rPr>
        <w:fldChar w:fldCharType="separate"/>
      </w:r>
      <w:r>
        <w:rPr>
          <w:rStyle w:val="54"/>
        </w:rPr>
        <w:t>art. 155, VI, da Lei Federal nº 14.133, de 2021</w:t>
      </w:r>
      <w:r>
        <w:rPr>
          <w:rStyle w:val="54"/>
        </w:rPr>
        <w:fldChar w:fldCharType="end"/>
      </w:r>
      <w:r>
        <w:rPr>
          <w:color w:val="000000"/>
        </w:rPr>
        <w:t>.</w:t>
      </w:r>
    </w:p>
    <w:p>
      <w:pPr>
        <w:pStyle w:val="130"/>
        <w:numPr>
          <w:ilvl w:val="1"/>
          <w:numId w:val="1"/>
        </w:numPr>
        <w:tabs>
          <w:tab w:val="left" w:pos="1134"/>
        </w:tabs>
        <w:spacing w:before="0" w:beforeAutospacing="0" w:after="0" w:afterAutospacing="0"/>
        <w:ind w:left="0" w:firstLine="567"/>
        <w:jc w:val="both"/>
        <w:textAlignment w:val="baseline"/>
      </w:pPr>
      <w:r>
        <w:rPr>
          <w:color w:val="000000"/>
        </w:rPr>
        <w:t xml:space="preserve">Na hipótese de a licitante vencedora não assinar a Ata de Registro de Preços ou o o Instrumento de Contrato no prazo estabelecido, a Administração </w:t>
      </w:r>
      <w:r>
        <w:t>poderá</w:t>
      </w:r>
      <w:r>
        <w:rPr>
          <w:color w:val="000000"/>
        </w:rPr>
        <w:t xml:space="preserve"> convocar as licitantes remanescentes, na ordem de classificação para a celebração da contratação, nas mesmas condições propostas pela licitante vencedora, sem prejuízo da aplicação das sanções neste Edital, na </w:t>
      </w:r>
      <w:r>
        <w:fldChar w:fldCharType="begin"/>
      </w:r>
      <w:r>
        <w:instrText xml:space="preserve"> HYPERLINK "https://www.planalto.gov.br/ccivil_03/_ato2019-2022/2021/lei/l14133.htm" \h </w:instrText>
      </w:r>
      <w:r>
        <w:fldChar w:fldCharType="separate"/>
      </w:r>
      <w:r>
        <w:rPr>
          <w:rStyle w:val="54"/>
        </w:rPr>
        <w:t>Lei Federal nº 14.133, de 2021</w:t>
      </w:r>
      <w:r>
        <w:rPr>
          <w:rStyle w:val="54"/>
        </w:rPr>
        <w:fldChar w:fldCharType="end"/>
      </w:r>
      <w:r>
        <w:rPr>
          <w:color w:val="000000"/>
        </w:rPr>
        <w:t xml:space="preserve"> e em outras legislações aplicáveis (</w:t>
      </w:r>
      <w:r>
        <w:fldChar w:fldCharType="begin"/>
      </w:r>
      <w:r>
        <w:rPr>
          <w:rStyle w:val="54"/>
        </w:rPr>
        <w:instrText xml:space="preserve"> HYPERLINK "https://www.planalto.gov.br/ccivil_03/_ato2019-2022/2021/lei/l14133.htm" \l "art90"</w:instrText>
      </w:r>
      <w:r>
        <w:rPr>
          <w:rStyle w:val="54"/>
        </w:rPr>
        <w:fldChar w:fldCharType="separate"/>
      </w:r>
      <w:r>
        <w:rPr>
          <w:rStyle w:val="54"/>
        </w:rPr>
        <w:t>art. 90, § 2º, da Lei Federal nº 14.133, de 2021</w:t>
      </w:r>
      <w:r>
        <w:rPr>
          <w:rStyle w:val="54"/>
        </w:rPr>
        <w:fldChar w:fldCharType="end"/>
      </w:r>
      <w:r>
        <w:rPr>
          <w:color w:val="000000"/>
        </w:rPr>
        <w:t>).</w:t>
      </w:r>
    </w:p>
    <w:p>
      <w:pPr>
        <w:pStyle w:val="130"/>
        <w:numPr>
          <w:ilvl w:val="1"/>
          <w:numId w:val="1"/>
        </w:numPr>
        <w:tabs>
          <w:tab w:val="left" w:pos="1134"/>
        </w:tabs>
        <w:spacing w:before="0" w:beforeAutospacing="0" w:after="120" w:afterAutospacing="0"/>
        <w:ind w:left="0" w:firstLine="567"/>
        <w:jc w:val="both"/>
        <w:textAlignment w:val="baseline"/>
      </w:pPr>
      <w:r>
        <w:rPr>
          <w:color w:val="000000"/>
        </w:rPr>
        <w:t xml:space="preserve">Caso nenhuma licitante aceite a contratação nos termos do item anterior, a Administração, </w:t>
      </w:r>
      <w:r>
        <w:t>observados</w:t>
      </w:r>
      <w:r>
        <w:rPr>
          <w:color w:val="000000"/>
        </w:rPr>
        <w:t xml:space="preserve"> o valor estimado e sua eventual atualização, se for o caso, poderá (</w:t>
      </w:r>
      <w:r>
        <w:fldChar w:fldCharType="begin"/>
      </w:r>
      <w:r>
        <w:rPr>
          <w:rStyle w:val="54"/>
        </w:rPr>
        <w:instrText xml:space="preserve"> HYPERLINK "https://www.planalto.gov.br/ccivil_03/_ato2019-2022/2021/lei/l14133.htm" \l "art90"</w:instrText>
      </w:r>
      <w:r>
        <w:rPr>
          <w:rStyle w:val="54"/>
        </w:rPr>
        <w:fldChar w:fldCharType="separate"/>
      </w:r>
      <w:r>
        <w:rPr>
          <w:rStyle w:val="54"/>
        </w:rPr>
        <w:t>art. 90, § 4º, da Lei Federal nº 14.133, de 2021</w:t>
      </w:r>
      <w:r>
        <w:rPr>
          <w:rStyle w:val="54"/>
        </w:rPr>
        <w:fldChar w:fldCharType="end"/>
      </w:r>
      <w:r>
        <w:rPr>
          <w:color w:val="000000"/>
        </w:rPr>
        <w:t>):</w:t>
      </w:r>
    </w:p>
    <w:p>
      <w:pPr>
        <w:pStyle w:val="130"/>
        <w:numPr>
          <w:ilvl w:val="2"/>
          <w:numId w:val="10"/>
        </w:numPr>
        <w:tabs>
          <w:tab w:val="left" w:pos="1134"/>
        </w:tabs>
        <w:spacing w:before="120" w:beforeAutospacing="0" w:after="0" w:afterAutospacing="0"/>
        <w:jc w:val="both"/>
        <w:textAlignment w:val="baseline"/>
        <w:rPr>
          <w:rFonts w:ascii="Times New Roman" w:hAnsi="Times New Roman"/>
        </w:rPr>
      </w:pPr>
      <w:r>
        <w:rPr>
          <w:color w:val="000000"/>
        </w:rPr>
        <w:t>convocar as licitantes remanescentes, na ordem de classificação, para negociação, com vista à obtenção de melhor preço, mesmo que acima do ofertado pela adjudicatária;</w:t>
      </w:r>
    </w:p>
    <w:p>
      <w:pPr>
        <w:pStyle w:val="130"/>
        <w:numPr>
          <w:ilvl w:val="2"/>
          <w:numId w:val="10"/>
        </w:numPr>
        <w:tabs>
          <w:tab w:val="left" w:pos="1134"/>
        </w:tabs>
        <w:spacing w:before="0" w:beforeAutospacing="0" w:after="120" w:afterAutospacing="0"/>
        <w:jc w:val="both"/>
        <w:textAlignment w:val="baseline"/>
        <w:rPr>
          <w:rFonts w:ascii="Times New Roman" w:hAnsi="Times New Roman"/>
        </w:rPr>
      </w:pPr>
      <w:r>
        <w:rPr>
          <w:color w:val="000000"/>
        </w:rPr>
        <w:t>adjudicar e celebrar a contratação nas condições ofertadas pelas licitantes remanescentes, na ordem de classificação, quando frustrada a negociação de melhor condição.</w:t>
      </w:r>
    </w:p>
    <w:p>
      <w:pPr>
        <w:pStyle w:val="130"/>
        <w:numPr>
          <w:ilvl w:val="1"/>
          <w:numId w:val="1"/>
        </w:numPr>
        <w:tabs>
          <w:tab w:val="left" w:pos="1134"/>
        </w:tabs>
        <w:spacing w:before="120" w:beforeAutospacing="0" w:after="0" w:afterAutospacing="0"/>
        <w:ind w:left="0" w:firstLine="567"/>
        <w:jc w:val="both"/>
        <w:textAlignment w:val="baseline"/>
      </w:pPr>
      <w:r>
        <w:rPr>
          <w:color w:val="000000"/>
        </w:rPr>
        <w:t xml:space="preserve">A </w:t>
      </w:r>
      <w:r>
        <w:t>recusa</w:t>
      </w:r>
      <w:r>
        <w:rPr>
          <w:color w:val="000000"/>
        </w:rPr>
        <w:t xml:space="preserve"> injustificada da adjudicatária em assinar a Ata de Registro de Preços no prazo estabelecido caracterizará o descumprimento total da obrigação assumida, sujeitando-se às penalidades previstas neste Edital e em lei (</w:t>
      </w:r>
      <w:r>
        <w:fldChar w:fldCharType="begin"/>
      </w:r>
      <w:r>
        <w:rPr>
          <w:rStyle w:val="54"/>
        </w:rPr>
        <w:instrText xml:space="preserve"> HYPERLINK "https://www.planalto.gov.br/ccivil_03/_ato2019-2022/2021/lei/l14133.htm" \l "art90"</w:instrText>
      </w:r>
      <w:r>
        <w:rPr>
          <w:rStyle w:val="54"/>
        </w:rPr>
        <w:fldChar w:fldCharType="separate"/>
      </w:r>
      <w:r>
        <w:rPr>
          <w:rStyle w:val="54"/>
        </w:rPr>
        <w:t>art. 90, §5º e 6º, da Lei Federal nº 14.133, de 2021</w:t>
      </w:r>
      <w:r>
        <w:rPr>
          <w:rStyle w:val="54"/>
        </w:rPr>
        <w:fldChar w:fldCharType="end"/>
      </w:r>
      <w:r>
        <w:rPr>
          <w:color w:val="000000"/>
        </w:rPr>
        <w:t>).</w:t>
      </w:r>
    </w:p>
    <w:p>
      <w:pPr>
        <w:pStyle w:val="130"/>
        <w:numPr>
          <w:ilvl w:val="1"/>
          <w:numId w:val="1"/>
        </w:numPr>
        <w:tabs>
          <w:tab w:val="left" w:pos="1134"/>
        </w:tabs>
        <w:spacing w:before="0" w:beforeAutospacing="0" w:after="0" w:afterAutospacing="0"/>
        <w:ind w:left="0" w:firstLine="567"/>
        <w:jc w:val="both"/>
        <w:textAlignment w:val="baseline"/>
      </w:pPr>
      <w:r>
        <w:t>Decorrido</w:t>
      </w:r>
      <w:r>
        <w:rPr>
          <w:color w:val="000000"/>
        </w:rPr>
        <w:t xml:space="preserve"> o prazo de validade da proposta sem convocação para a assinatura da ARP, ficarão as licitantes liberadas do compromisso assumido (</w:t>
      </w:r>
      <w:r>
        <w:fldChar w:fldCharType="begin"/>
      </w:r>
      <w:r>
        <w:rPr>
          <w:rStyle w:val="54"/>
        </w:rPr>
        <w:instrText xml:space="preserve"> HYPERLINK "https://www.planalto.gov.br/ccivil_03/_ato2019-2022/2021/lei/l14133.htm" \l "art90"</w:instrText>
      </w:r>
      <w:r>
        <w:rPr>
          <w:rStyle w:val="54"/>
        </w:rPr>
        <w:fldChar w:fldCharType="separate"/>
      </w:r>
      <w:r>
        <w:rPr>
          <w:rStyle w:val="54"/>
        </w:rPr>
        <w:t>art. 90, §3º, da Lei Federal nº 14.133, de 2021</w:t>
      </w:r>
      <w:r>
        <w:rPr>
          <w:rStyle w:val="54"/>
        </w:rPr>
        <w:fldChar w:fldCharType="end"/>
      </w:r>
      <w:r>
        <w:rPr>
          <w:color w:val="000000"/>
        </w:rPr>
        <w:t>).</w:t>
      </w:r>
    </w:p>
    <w:p>
      <w:pPr>
        <w:pStyle w:val="130"/>
        <w:numPr>
          <w:ilvl w:val="1"/>
          <w:numId w:val="1"/>
        </w:numPr>
        <w:tabs>
          <w:tab w:val="left" w:pos="1134"/>
        </w:tabs>
        <w:spacing w:before="0" w:beforeAutospacing="0" w:after="0" w:afterAutospacing="0"/>
        <w:ind w:left="0" w:firstLine="567"/>
        <w:jc w:val="both"/>
        <w:textAlignment w:val="baseline"/>
      </w:pPr>
      <w:r>
        <w:t>Será</w:t>
      </w:r>
      <w:r>
        <w:rPr>
          <w:color w:val="000000"/>
        </w:rPr>
        <w:t xml:space="preserve"> facultada à Administração a convocação das demais licitantes classificadas para a contratação de remanescente de fornecimento em consequência de rescisão contratual, observados os mesmos critérios definidos neste Edital (</w:t>
      </w:r>
      <w:r>
        <w:fldChar w:fldCharType="begin"/>
      </w:r>
      <w:r>
        <w:rPr>
          <w:rStyle w:val="54"/>
        </w:rPr>
        <w:instrText xml:space="preserve"> HYPERLINK "https://www.planalto.gov.br/ccivil_03/_ato2019-2022/2021/lei/l14133.htm" \l "art90"</w:instrText>
      </w:r>
      <w:r>
        <w:rPr>
          <w:rStyle w:val="54"/>
        </w:rPr>
        <w:fldChar w:fldCharType="separate"/>
      </w:r>
      <w:r>
        <w:rPr>
          <w:rStyle w:val="54"/>
        </w:rPr>
        <w:t>art. 90, §7º, da Lei Federal nº 14.133, de 2021</w:t>
      </w:r>
      <w:r>
        <w:rPr>
          <w:rStyle w:val="54"/>
        </w:rPr>
        <w:fldChar w:fldCharType="end"/>
      </w:r>
      <w:r>
        <w:rPr>
          <w:color w:val="000000"/>
        </w:rPr>
        <w:t>).</w:t>
      </w:r>
    </w:p>
    <w:p>
      <w:pPr>
        <w:pStyle w:val="130"/>
        <w:numPr>
          <w:ilvl w:val="0"/>
          <w:numId w:val="0"/>
        </w:numPr>
        <w:tabs>
          <w:tab w:val="left" w:pos="1134"/>
        </w:tabs>
        <w:spacing w:before="0" w:beforeAutospacing="0" w:after="0" w:afterAutospacing="0"/>
        <w:ind w:left="567" w:leftChars="0"/>
        <w:jc w:val="both"/>
        <w:textAlignment w:val="baseline"/>
      </w:pPr>
    </w:p>
    <w:p>
      <w:pPr>
        <w:pStyle w:val="2"/>
        <w:spacing w:before="360" w:after="0"/>
      </w:pPr>
      <w:bookmarkStart w:id="47" w:name="_SANÇÕES_ADMINISTRATIVAS"/>
      <w:bookmarkEnd w:id="47"/>
      <w:bookmarkStart w:id="48" w:name="_Toc149517461"/>
      <w:r>
        <w:rPr>
          <w:rStyle w:val="45"/>
        </w:rPr>
        <w:t>SANÇÕES ADMINISTRATIVAS DE LICITAÇÃO</w:t>
      </w:r>
      <w:bookmarkEnd w:id="48"/>
    </w:p>
    <w:p>
      <w:pPr>
        <w:pStyle w:val="130"/>
        <w:numPr>
          <w:ilvl w:val="1"/>
          <w:numId w:val="1"/>
        </w:numPr>
        <w:tabs>
          <w:tab w:val="left" w:pos="1134"/>
        </w:tabs>
        <w:spacing w:before="120" w:beforeAutospacing="0" w:after="0" w:afterAutospacing="0"/>
        <w:ind w:left="0" w:firstLine="567"/>
        <w:jc w:val="both"/>
        <w:textAlignment w:val="baseline"/>
      </w:pPr>
      <w:r>
        <w:rPr>
          <w:color w:val="000000"/>
        </w:rPr>
        <w:t xml:space="preserve">No </w:t>
      </w:r>
      <w:r>
        <w:rPr>
          <w:color w:val="000000" w:themeColor="text1"/>
        </w:rPr>
        <w:t>caso</w:t>
      </w:r>
      <w:r>
        <w:rPr>
          <w:color w:val="000000"/>
        </w:rPr>
        <w:t xml:space="preserve"> de a licitante ou a contratada incorrer em uma ou mais condutas tipificadas no </w:t>
      </w:r>
      <w:r>
        <w:fldChar w:fldCharType="begin"/>
      </w:r>
      <w:r>
        <w:rPr>
          <w:rStyle w:val="54"/>
        </w:rPr>
        <w:instrText xml:space="preserve"> HYPERLINK "https://www.planalto.gov.br/ccivil_03/_ato2019-2022/2021/lei/l14133.htm" \l "art155"</w:instrText>
      </w:r>
      <w:r>
        <w:rPr>
          <w:rStyle w:val="54"/>
        </w:rPr>
        <w:fldChar w:fldCharType="separate"/>
      </w:r>
      <w:r>
        <w:rPr>
          <w:rStyle w:val="54"/>
        </w:rPr>
        <w:t>art. 155 da Lei Federal nº 14.133, de 2021</w:t>
      </w:r>
      <w:r>
        <w:rPr>
          <w:rStyle w:val="54"/>
        </w:rPr>
        <w:fldChar w:fldCharType="end"/>
      </w:r>
      <w:r>
        <w:rPr>
          <w:color w:val="000000"/>
        </w:rPr>
        <w:t xml:space="preserve">, será responsabilizada administrativamente em uma ou mais das sanções previstas no </w:t>
      </w:r>
      <w:r>
        <w:fldChar w:fldCharType="begin"/>
      </w:r>
      <w:r>
        <w:rPr>
          <w:rStyle w:val="54"/>
        </w:rPr>
        <w:instrText xml:space="preserve"> HYPERLINK "https://www.planalto.gov.br/ccivil_03/_ato2019-2022/2021/lei/l14133.htm" \l "art156"</w:instrText>
      </w:r>
      <w:r>
        <w:rPr>
          <w:rStyle w:val="54"/>
        </w:rPr>
        <w:fldChar w:fldCharType="separate"/>
      </w:r>
      <w:r>
        <w:rPr>
          <w:rStyle w:val="54"/>
        </w:rPr>
        <w:t>art. 156, da Lei Federal nº 14.133, de 2021</w:t>
      </w:r>
      <w:r>
        <w:rPr>
          <w:rStyle w:val="54"/>
        </w:rPr>
        <w:fldChar w:fldCharType="end"/>
      </w:r>
      <w:r>
        <w:rPr>
          <w:color w:val="000000"/>
        </w:rPr>
        <w:t>, garantido o direito à ampla defesa e contraditório.</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A </w:t>
      </w:r>
      <w:r>
        <w:rPr>
          <w:color w:val="000000" w:themeColor="text1"/>
        </w:rPr>
        <w:t>recusa</w:t>
      </w:r>
      <w:r>
        <w:rPr>
          <w:color w:val="000000"/>
        </w:rPr>
        <w:t xml:space="preserve"> da licitante vencedora em formalizar a Ata de Registro de Preços respectiva no prazo estabelecido pela Administração será considerada como inexecução total da obrigação assumida, ensejando a aplicação das sanções previstas em lei e neste Edital.</w:t>
      </w:r>
    </w:p>
    <w:p>
      <w:pPr>
        <w:pStyle w:val="130"/>
        <w:numPr>
          <w:ilvl w:val="1"/>
          <w:numId w:val="1"/>
        </w:numPr>
        <w:tabs>
          <w:tab w:val="left" w:pos="1134"/>
        </w:tabs>
        <w:spacing w:before="0" w:beforeAutospacing="0" w:after="0" w:afterAutospacing="0"/>
        <w:ind w:left="0" w:firstLine="567"/>
        <w:jc w:val="both"/>
        <w:textAlignment w:val="baseline"/>
      </w:pPr>
      <w:r>
        <w:rPr>
          <w:color w:val="000000"/>
        </w:rPr>
        <w:t>Na aplicação das sanções serão considerados (</w:t>
      </w:r>
      <w:r>
        <w:fldChar w:fldCharType="begin"/>
      </w:r>
      <w:r>
        <w:rPr>
          <w:rStyle w:val="54"/>
        </w:rPr>
        <w:instrText xml:space="preserve"> HYPERLINK "https://www.planalto.gov.br/ccivil_03/_ato2019-2022/2021/lei/l14133.htm" \l "art156"</w:instrText>
      </w:r>
      <w:r>
        <w:rPr>
          <w:rStyle w:val="54"/>
        </w:rPr>
        <w:fldChar w:fldCharType="separate"/>
      </w:r>
      <w:r>
        <w:rPr>
          <w:rStyle w:val="54"/>
        </w:rPr>
        <w:t>art. 156, § 1º, da Lei Federal nº 14.133, de 2021</w:t>
      </w:r>
      <w:r>
        <w:rPr>
          <w:rStyle w:val="54"/>
        </w:rPr>
        <w:fldChar w:fldCharType="end"/>
      </w:r>
      <w:r>
        <w:rPr>
          <w:color w:val="000000"/>
        </w:rPr>
        <w:t>):</w:t>
      </w:r>
    </w:p>
    <w:p>
      <w:pPr>
        <w:pStyle w:val="130"/>
        <w:numPr>
          <w:ilvl w:val="2"/>
          <w:numId w:val="1"/>
        </w:numPr>
        <w:tabs>
          <w:tab w:val="left" w:pos="1134"/>
        </w:tabs>
        <w:spacing w:before="0" w:beforeAutospacing="0" w:after="0" w:afterAutospacing="0"/>
        <w:jc w:val="both"/>
        <w:textAlignment w:val="baseline"/>
        <w:rPr>
          <w:rFonts w:ascii="Times New Roman" w:hAnsi="Times New Roman"/>
        </w:rPr>
      </w:pPr>
      <w:bookmarkStart w:id="49" w:name="art156§1i"/>
      <w:bookmarkEnd w:id="49"/>
      <w:r>
        <w:rPr>
          <w:color w:val="000000"/>
        </w:rPr>
        <w:t>a natureza e a gravidade da infração cometida;</w:t>
      </w:r>
    </w:p>
    <w:p>
      <w:pPr>
        <w:pStyle w:val="130"/>
        <w:numPr>
          <w:ilvl w:val="2"/>
          <w:numId w:val="1"/>
        </w:numPr>
        <w:tabs>
          <w:tab w:val="left" w:pos="1134"/>
        </w:tabs>
        <w:spacing w:before="0" w:beforeAutospacing="0" w:after="0" w:afterAutospacing="0"/>
        <w:jc w:val="both"/>
        <w:textAlignment w:val="baseline"/>
        <w:rPr>
          <w:rFonts w:ascii="Times New Roman" w:hAnsi="Times New Roman"/>
        </w:rPr>
      </w:pPr>
      <w:bookmarkStart w:id="50" w:name="art156§1ii"/>
      <w:bookmarkEnd w:id="50"/>
      <w:r>
        <w:rPr>
          <w:color w:val="000000"/>
        </w:rPr>
        <w:t>as peculiaridades do caso concreto;</w:t>
      </w:r>
    </w:p>
    <w:p>
      <w:pPr>
        <w:pStyle w:val="130"/>
        <w:numPr>
          <w:ilvl w:val="2"/>
          <w:numId w:val="1"/>
        </w:numPr>
        <w:tabs>
          <w:tab w:val="left" w:pos="1134"/>
        </w:tabs>
        <w:spacing w:before="0" w:beforeAutospacing="0" w:after="0" w:afterAutospacing="0"/>
        <w:jc w:val="both"/>
        <w:textAlignment w:val="baseline"/>
        <w:rPr>
          <w:rFonts w:ascii="Times New Roman" w:hAnsi="Times New Roman"/>
        </w:rPr>
      </w:pPr>
      <w:bookmarkStart w:id="51" w:name="art156§1iii"/>
      <w:bookmarkEnd w:id="51"/>
      <w:r>
        <w:rPr>
          <w:color w:val="000000"/>
        </w:rPr>
        <w:t>as circunstâncias agravantes ou atenuantes;</w:t>
      </w:r>
    </w:p>
    <w:p>
      <w:pPr>
        <w:pStyle w:val="130"/>
        <w:numPr>
          <w:ilvl w:val="2"/>
          <w:numId w:val="1"/>
        </w:numPr>
        <w:tabs>
          <w:tab w:val="left" w:pos="1134"/>
        </w:tabs>
        <w:spacing w:before="0" w:beforeAutospacing="0" w:after="0" w:afterAutospacing="0"/>
        <w:jc w:val="both"/>
        <w:textAlignment w:val="baseline"/>
        <w:rPr>
          <w:rFonts w:ascii="Times New Roman" w:hAnsi="Times New Roman"/>
        </w:rPr>
      </w:pPr>
      <w:bookmarkStart w:id="52" w:name="art156§1iv"/>
      <w:bookmarkEnd w:id="52"/>
      <w:r>
        <w:rPr>
          <w:color w:val="000000"/>
        </w:rPr>
        <w:t>os danos que dela provierem para a Administração Pública;</w:t>
      </w:r>
    </w:p>
    <w:p>
      <w:pPr>
        <w:pStyle w:val="130"/>
        <w:numPr>
          <w:ilvl w:val="2"/>
          <w:numId w:val="1"/>
        </w:numPr>
        <w:tabs>
          <w:tab w:val="left" w:pos="1134"/>
        </w:tabs>
        <w:spacing w:before="0" w:beforeAutospacing="0" w:after="0" w:afterAutospacing="0"/>
        <w:jc w:val="both"/>
        <w:textAlignment w:val="baseline"/>
        <w:rPr>
          <w:rFonts w:ascii="Times New Roman" w:hAnsi="Times New Roman"/>
        </w:rPr>
      </w:pPr>
      <w:bookmarkStart w:id="53" w:name="art156§1v"/>
      <w:bookmarkEnd w:id="53"/>
      <w:r>
        <w:rPr>
          <w:color w:val="000000"/>
        </w:rPr>
        <w:t>a implantação ou o aperfeiçoamento de programa de integridade, conforme normas e orientações dos órgãos de controle.</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t>No caso de sanções de licitação, não será aplicada a penalidade de advertência; as sanções de impedimento de licitar e contratar e declaração de inidoneidade para licitar ou contratar poderão ser aplicadas, cumulativamente ou não, à penalidade de multa.</w:t>
      </w:r>
    </w:p>
    <w:p>
      <w:pPr>
        <w:pStyle w:val="130"/>
        <w:numPr>
          <w:ilvl w:val="1"/>
          <w:numId w:val="1"/>
        </w:numPr>
        <w:tabs>
          <w:tab w:val="left" w:pos="1134"/>
        </w:tabs>
        <w:spacing w:before="0" w:beforeAutospacing="0" w:after="0" w:afterAutospacing="0"/>
        <w:ind w:left="0" w:firstLine="567"/>
        <w:jc w:val="both"/>
        <w:textAlignment w:val="baseline"/>
      </w:pPr>
      <w:r>
        <w:t xml:space="preserve">O processamento das penalidades seguirá os ditames da </w:t>
      </w:r>
      <w:r>
        <w:fldChar w:fldCharType="begin"/>
      </w:r>
      <w:r>
        <w:instrText xml:space="preserve"> HYPERLINK "https://www.planalto.gov.br/ccivil_03/_ato2019-2022/2021/lei/l14133.htm" \h </w:instrText>
      </w:r>
      <w:r>
        <w:fldChar w:fldCharType="separate"/>
      </w:r>
      <w:r>
        <w:rPr>
          <w:rStyle w:val="54"/>
        </w:rPr>
        <w:t>Lei Federal nº 14.133, de 2021</w:t>
      </w:r>
      <w:r>
        <w:rPr>
          <w:rStyle w:val="54"/>
        </w:rPr>
        <w:fldChar w:fldCharType="end"/>
      </w:r>
      <w:r>
        <w:t>.</w:t>
      </w:r>
    </w:p>
    <w:p>
      <w:pPr>
        <w:pStyle w:val="130"/>
        <w:numPr>
          <w:ilvl w:val="1"/>
          <w:numId w:val="1"/>
        </w:numPr>
        <w:tabs>
          <w:tab w:val="left" w:pos="1134"/>
        </w:tabs>
        <w:spacing w:before="0" w:beforeAutospacing="0" w:after="0" w:afterAutospacing="0"/>
        <w:ind w:left="0" w:firstLine="567"/>
        <w:jc w:val="both"/>
        <w:textAlignment w:val="baseline"/>
      </w:pPr>
      <w:r>
        <w:rPr>
          <w:color w:val="000000"/>
        </w:rPr>
        <w:t xml:space="preserve">As sanções serão registradas e publicadas no Cadastro Nacional de Empresas Inidôneas e </w:t>
      </w:r>
      <w:r>
        <w:rPr>
          <w:color w:val="000000" w:themeColor="text1"/>
        </w:rPr>
        <w:t>Suspensas</w:t>
      </w:r>
      <w:r>
        <w:rPr>
          <w:color w:val="000000"/>
        </w:rPr>
        <w:t xml:space="preserve"> (Ceis) e no Cadastro Nacional de Empresas Punidas (Cnep), no prazo máximo de 15 (quinze) dias úteis, contado do trânsito em julgado da aplicação da sanção, nos termos do </w:t>
      </w:r>
      <w:r>
        <w:fldChar w:fldCharType="begin"/>
      </w:r>
      <w:r>
        <w:rPr>
          <w:rStyle w:val="54"/>
        </w:rPr>
        <w:instrText xml:space="preserve"> HYPERLINK "https://www.planalto.gov.br/ccivil_03/_ato2019-2022/2021/lei/l14133.htm" \l "art161"</w:instrText>
      </w:r>
      <w:r>
        <w:rPr>
          <w:rStyle w:val="54"/>
        </w:rPr>
        <w:fldChar w:fldCharType="separate"/>
      </w:r>
      <w:r>
        <w:rPr>
          <w:rStyle w:val="54"/>
        </w:rPr>
        <w:t>art. 161 da Lei Federal nº 14.133, de 2021</w:t>
      </w:r>
      <w:r>
        <w:rPr>
          <w:rStyle w:val="54"/>
        </w:rPr>
        <w:fldChar w:fldCharType="end"/>
      </w:r>
      <w:r>
        <w:rPr>
          <w:color w:val="000000"/>
        </w:rPr>
        <w:t>.</w:t>
      </w:r>
    </w:p>
    <w:p>
      <w:pPr>
        <w:pStyle w:val="2"/>
        <w:spacing w:before="360" w:after="0"/>
      </w:pPr>
      <w:bookmarkStart w:id="54" w:name="_Toc149517462"/>
      <w:r>
        <w:rPr>
          <w:rStyle w:val="45"/>
        </w:rPr>
        <w:t>PROTEÇÃO DOS DADOS NA LICITAÇÃO</w:t>
      </w:r>
      <w:bookmarkEnd w:id="54"/>
    </w:p>
    <w:p>
      <w:pPr>
        <w:pStyle w:val="130"/>
        <w:numPr>
          <w:ilvl w:val="1"/>
          <w:numId w:val="1"/>
        </w:numPr>
        <w:tabs>
          <w:tab w:val="left" w:pos="1134"/>
        </w:tabs>
        <w:spacing w:before="120" w:beforeAutospacing="0" w:after="0" w:afterAutospacing="0"/>
        <w:ind w:left="0" w:firstLine="567"/>
        <w:jc w:val="both"/>
        <w:textAlignment w:val="baseline"/>
      </w:pPr>
      <w:r>
        <w:rPr>
          <w:rStyle w:val="45"/>
          <w:color w:val="000000" w:themeColor="text1"/>
        </w:rPr>
        <w:t xml:space="preserve">Ao participar da presente licitação, e em atenção ao que dispõe o </w:t>
      </w:r>
      <w:r>
        <w:fldChar w:fldCharType="begin"/>
      </w:r>
      <w:r>
        <w:rPr>
          <w:rStyle w:val="54"/>
        </w:rPr>
        <w:instrText xml:space="preserve"> HYPERLINK "https://www.planalto.gov.br/ccivil_03/_ato2015-2018/2018/lei/l13709.htm" \l "art7"</w:instrText>
      </w:r>
      <w:r>
        <w:rPr>
          <w:rStyle w:val="54"/>
        </w:rPr>
        <w:fldChar w:fldCharType="separate"/>
      </w:r>
      <w:r>
        <w:rPr>
          <w:rStyle w:val="54"/>
        </w:rPr>
        <w:t>art. 7º, I, da Lei Federal nº 13.709, de 2018</w:t>
      </w:r>
      <w:r>
        <w:rPr>
          <w:rStyle w:val="54"/>
        </w:rPr>
        <w:fldChar w:fldCharType="end"/>
      </w:r>
      <w:r>
        <w:rPr>
          <w:rStyle w:val="45"/>
          <w:color w:val="000000" w:themeColor="text1"/>
        </w:rPr>
        <w:t xml:space="preserve"> (Lei Geral de Proteção de Dados - LGPD), as licitantes ficam cientes e fornecem consentimento para que a </w:t>
      </w:r>
      <w:r>
        <w:rPr>
          <w:color w:val="000000"/>
        </w:rPr>
        <w:t>Câmara Municipal de Primavera do Leste - MT</w:t>
      </w:r>
      <w:r>
        <w:rPr>
          <w:rStyle w:val="45"/>
          <w:color w:val="000000" w:themeColor="text1"/>
        </w:rPr>
        <w:t xml:space="preserve">, com base no previsto no </w:t>
      </w:r>
      <w:r>
        <w:fldChar w:fldCharType="begin"/>
      </w:r>
      <w:r>
        <w:rPr>
          <w:rStyle w:val="54"/>
        </w:rPr>
        <w:instrText xml:space="preserve"> HYPERLINK "https://www.planalto.gov.br/ccivil_03/_ato2015-2018/2018/lei/l13709.htm" \l "art7"</w:instrText>
      </w:r>
      <w:r>
        <w:rPr>
          <w:rStyle w:val="54"/>
        </w:rPr>
        <w:fldChar w:fldCharType="separate"/>
      </w:r>
      <w:r>
        <w:rPr>
          <w:rStyle w:val="54"/>
        </w:rPr>
        <w:t>art. 7º, II e III</w:t>
      </w:r>
      <w:r>
        <w:rPr>
          <w:rStyle w:val="54"/>
        </w:rPr>
        <w:fldChar w:fldCharType="end"/>
      </w:r>
      <w:r>
        <w:rPr>
          <w:rStyle w:val="45"/>
          <w:color w:val="000000" w:themeColor="text1"/>
        </w:rPr>
        <w:t xml:space="preserve">, c/c o </w:t>
      </w:r>
      <w:r>
        <w:fldChar w:fldCharType="begin"/>
      </w:r>
      <w:r>
        <w:rPr>
          <w:rStyle w:val="54"/>
        </w:rPr>
        <w:instrText xml:space="preserve"> HYPERLINK "https://www.planalto.gov.br/ccivil_03/_ato2015-2018/2018/lei/l13709.htm" \l "art23"</w:instrText>
      </w:r>
      <w:r>
        <w:rPr>
          <w:rStyle w:val="54"/>
        </w:rPr>
        <w:fldChar w:fldCharType="separate"/>
      </w:r>
      <w:r>
        <w:rPr>
          <w:rStyle w:val="54"/>
        </w:rPr>
        <w:t>art. 23 Lei Federal nº 13.709, de 2018</w:t>
      </w:r>
      <w:r>
        <w:rPr>
          <w:rStyle w:val="54"/>
        </w:rPr>
        <w:fldChar w:fldCharType="end"/>
      </w:r>
      <w:r>
        <w:rPr>
          <w:rStyle w:val="45"/>
          <w:color w:val="000000" w:themeColor="text1"/>
        </w:rPr>
        <w:t xml:space="preserve">, irá realizar o </w:t>
      </w:r>
      <w:r>
        <w:t>tratamento</w:t>
      </w:r>
      <w:r>
        <w:rPr>
          <w:rStyle w:val="45"/>
          <w:color w:val="000000" w:themeColor="text1"/>
        </w:rPr>
        <w:t xml:space="preserve"> de dados pessoais necessários aos procedimentos preliminares e às contratações públicas, inclusive de alguns de seus sócios, bem como compartilhá-los com órgãos de controle, observados os princípios previstos no </w:t>
      </w:r>
      <w:r>
        <w:fldChar w:fldCharType="begin"/>
      </w:r>
      <w:r>
        <w:rPr>
          <w:rStyle w:val="54"/>
        </w:rPr>
        <w:instrText xml:space="preserve"> HYPERLINK "https://www.planalto.gov.br/ccivil_03/_ato2015-2018/2018/lei/l13709.htm" \l "art6"</w:instrText>
      </w:r>
      <w:r>
        <w:rPr>
          <w:rStyle w:val="54"/>
        </w:rPr>
        <w:fldChar w:fldCharType="separate"/>
      </w:r>
      <w:r>
        <w:rPr>
          <w:rStyle w:val="54"/>
        </w:rPr>
        <w:t>art. 6º da Lei Federal nº 13.709, de 2018</w:t>
      </w:r>
      <w:r>
        <w:rPr>
          <w:rStyle w:val="54"/>
        </w:rPr>
        <w:fldChar w:fldCharType="end"/>
      </w:r>
      <w:r>
        <w:rPr>
          <w:rStyle w:val="45"/>
          <w:color w:val="000000" w:themeColor="text1"/>
        </w:rPr>
        <w:t xml:space="preserve">, em especial os princípios da finalidade, da adequação, da necessidade, da segurança e da prevenção. Estão cientes ainda de que é permitido manter e utilizar tais dados pessoais mesmo após a extinção do contrato, para fins de fiscalização e controle dos contratos administrativos, nos termos do </w:t>
      </w:r>
      <w:r>
        <w:fldChar w:fldCharType="begin"/>
      </w:r>
      <w:r>
        <w:rPr>
          <w:rStyle w:val="54"/>
        </w:rPr>
        <w:instrText xml:space="preserve"> HYPERLINK "https://www.planalto.gov.br/ccivil_03/_ato2015-2018/2018/lei/l13709.htm" \l "art16"</w:instrText>
      </w:r>
      <w:r>
        <w:rPr>
          <w:rStyle w:val="54"/>
        </w:rPr>
        <w:fldChar w:fldCharType="separate"/>
      </w:r>
      <w:r>
        <w:rPr>
          <w:rStyle w:val="54"/>
        </w:rPr>
        <w:t>art. 16, inciso I da Lei Federal nº 13.709, de 2018</w:t>
      </w:r>
      <w:r>
        <w:rPr>
          <w:rStyle w:val="54"/>
        </w:rPr>
        <w:fldChar w:fldCharType="end"/>
      </w:r>
      <w:r>
        <w:rPr>
          <w:rStyle w:val="45"/>
          <w:color w:val="000000" w:themeColor="text1"/>
        </w:rPr>
        <w:t xml:space="preserve">. </w:t>
      </w:r>
    </w:p>
    <w:p>
      <w:pPr>
        <w:pStyle w:val="130"/>
        <w:numPr>
          <w:ilvl w:val="1"/>
          <w:numId w:val="1"/>
        </w:numPr>
        <w:tabs>
          <w:tab w:val="left" w:pos="1134"/>
        </w:tabs>
        <w:spacing w:before="0" w:beforeAutospacing="0" w:after="0" w:afterAutospacing="0"/>
        <w:ind w:left="0" w:firstLine="567"/>
        <w:jc w:val="both"/>
        <w:textAlignment w:val="baseline"/>
      </w:pPr>
      <w:r>
        <w:rPr>
          <w:rStyle w:val="45"/>
          <w:color w:val="000000" w:themeColor="text1"/>
        </w:rPr>
        <w:t xml:space="preserve">A(s) licitante(s) </w:t>
      </w:r>
      <w:r>
        <w:t xml:space="preserve">e a </w:t>
      </w:r>
      <w:r>
        <w:rPr>
          <w:color w:val="000000"/>
        </w:rPr>
        <w:t>Câmara Municipal de Primavera do Leste - MT</w:t>
      </w:r>
      <w:r>
        <w:t xml:space="preserve"> </w:t>
      </w:r>
      <w:r>
        <w:rPr>
          <w:rStyle w:val="45"/>
          <w:color w:val="000000" w:themeColor="text1"/>
        </w:rPr>
        <w:t xml:space="preserve">obrigam-se a cumprir o disposto na </w:t>
      </w:r>
      <w:r>
        <w:fldChar w:fldCharType="begin"/>
      </w:r>
      <w:r>
        <w:instrText xml:space="preserve"> HYPERLINK "https://www.planalto.gov.br/ccivil_03/_ato2015-2018/2018/lei/l13709.htm" \h </w:instrText>
      </w:r>
      <w:r>
        <w:fldChar w:fldCharType="separate"/>
      </w:r>
      <w:r>
        <w:rPr>
          <w:rStyle w:val="54"/>
        </w:rPr>
        <w:t>Lei Federal nº 13.709, de 2018</w:t>
      </w:r>
      <w:r>
        <w:rPr>
          <w:rStyle w:val="54"/>
        </w:rPr>
        <w:fldChar w:fldCharType="end"/>
      </w:r>
      <w:r>
        <w:rPr>
          <w:rStyle w:val="45"/>
          <w:color w:val="000000" w:themeColor="text1"/>
        </w:rPr>
        <w:t xml:space="preserve"> em relação aos dados pessoais a que vierem ter acesso em decorrência da execução contratual, comprometendo-se a manter sigilo e confidencialidade de todas as informações, em especial os dados pessoais e os dados pessoais sensíveis, repassadas em decorrência da execução contratual, sendo vedada a transferência, a transmissão, a comunicação ou qualquer outra forma de repasse das informações a terceiros, salvo as decorrentes de obrigações legais ou para viabilizar o cumprimento do contrato.</w:t>
      </w:r>
    </w:p>
    <w:p>
      <w:pPr>
        <w:pStyle w:val="130"/>
        <w:numPr>
          <w:ilvl w:val="1"/>
          <w:numId w:val="1"/>
        </w:numPr>
        <w:tabs>
          <w:tab w:val="left" w:pos="1134"/>
        </w:tabs>
        <w:spacing w:before="0" w:beforeAutospacing="0" w:after="0" w:afterAutospacing="0"/>
        <w:ind w:left="0" w:firstLine="567"/>
        <w:jc w:val="both"/>
        <w:textAlignment w:val="baseline"/>
      </w:pPr>
      <w:r>
        <w:rPr>
          <w:rStyle w:val="45"/>
          <w:color w:val="000000" w:themeColor="text1"/>
        </w:rPr>
        <w:t xml:space="preserve">As partes ficam obrigadas a comunicar UMA A OUTRA, em até 24 (vinte e quatro) horas, a contar da ciência do ocorrido, qualquer incidente de segurança aos dados pessoais repassados em decorrência desta licitação e a adotar as providências dispostas no </w:t>
      </w:r>
      <w:r>
        <w:fldChar w:fldCharType="begin"/>
      </w:r>
      <w:r>
        <w:rPr>
          <w:rStyle w:val="54"/>
        </w:rPr>
        <w:instrText xml:space="preserve"> HYPERLINK "https://www.planalto.gov.br/ccivil_03/_ato2015-2018/2018/lei/l13709.htm" \l "art48"</w:instrText>
      </w:r>
      <w:r>
        <w:rPr>
          <w:rStyle w:val="54"/>
        </w:rPr>
        <w:fldChar w:fldCharType="separate"/>
      </w:r>
      <w:r>
        <w:rPr>
          <w:rStyle w:val="54"/>
        </w:rPr>
        <w:t>art. 48 da Lei Federal nº 13.709, de 2018</w:t>
      </w:r>
      <w:r>
        <w:rPr>
          <w:rStyle w:val="54"/>
        </w:rPr>
        <w:fldChar w:fldCharType="end"/>
      </w:r>
      <w:r>
        <w:rPr>
          <w:rStyle w:val="45"/>
          <w:color w:val="000000" w:themeColor="text1"/>
        </w:rPr>
        <w:t>.</w:t>
      </w:r>
    </w:p>
    <w:p>
      <w:pPr>
        <w:pStyle w:val="130"/>
        <w:numPr>
          <w:ilvl w:val="1"/>
          <w:numId w:val="1"/>
        </w:numPr>
        <w:tabs>
          <w:tab w:val="left" w:pos="1134"/>
        </w:tabs>
        <w:spacing w:before="0" w:beforeAutospacing="0" w:after="0" w:afterAutospacing="0"/>
        <w:ind w:left="0" w:firstLine="567"/>
        <w:jc w:val="both"/>
        <w:textAlignment w:val="baseline"/>
      </w:pPr>
      <w:r>
        <w:rPr>
          <w:rStyle w:val="45"/>
          <w:color w:val="000000" w:themeColor="text1"/>
        </w:rPr>
        <w:t xml:space="preserve">Para a execução do objeto, em observância ao disposto na </w:t>
      </w:r>
      <w:r>
        <w:fldChar w:fldCharType="begin"/>
      </w:r>
      <w:r>
        <w:instrText xml:space="preserve"> HYPERLINK "https://www.planalto.gov.br/ccivil_03/_ato2015-2018/2018/lei/l13709.htm" \h </w:instrText>
      </w:r>
      <w:r>
        <w:fldChar w:fldCharType="separate"/>
      </w:r>
      <w:r>
        <w:rPr>
          <w:rStyle w:val="54"/>
        </w:rPr>
        <w:t>Lei Federal nº 13.709, de 2018</w:t>
      </w:r>
      <w:r>
        <w:rPr>
          <w:rStyle w:val="54"/>
        </w:rPr>
        <w:fldChar w:fldCharType="end"/>
      </w:r>
      <w:r>
        <w:rPr>
          <w:rStyle w:val="45"/>
          <w:color w:val="000000" w:themeColor="text1"/>
        </w:rPr>
        <w:t xml:space="preserve"> (LGPD), na </w:t>
      </w:r>
      <w:r>
        <w:fldChar w:fldCharType="begin"/>
      </w:r>
      <w:r>
        <w:instrText xml:space="preserve"> HYPERLINK "https://www.planalto.gov.br/ccivil_03/leis/lcp/lcp101.htm" \h </w:instrText>
      </w:r>
      <w:r>
        <w:fldChar w:fldCharType="separate"/>
      </w:r>
      <w:r>
        <w:rPr>
          <w:rStyle w:val="54"/>
        </w:rPr>
        <w:t>Lei Complementar Federal nº 101, de 2000</w:t>
      </w:r>
      <w:r>
        <w:rPr>
          <w:rStyle w:val="54"/>
        </w:rPr>
        <w:fldChar w:fldCharType="end"/>
      </w:r>
      <w:r>
        <w:rPr>
          <w:rStyle w:val="45"/>
          <w:color w:val="000000" w:themeColor="text1"/>
        </w:rPr>
        <w:t xml:space="preserve"> (Lei de Responsabilidade Fiscal) e na </w:t>
      </w:r>
      <w:r>
        <w:fldChar w:fldCharType="begin"/>
      </w:r>
      <w:r>
        <w:instrText xml:space="preserve"> HYPERLINK "https://www.planalto.gov.br/ccivil_03/_ato2011-2014/2011/lei/l12527.htm" \h </w:instrText>
      </w:r>
      <w:r>
        <w:fldChar w:fldCharType="separate"/>
      </w:r>
      <w:r>
        <w:rPr>
          <w:rStyle w:val="54"/>
        </w:rPr>
        <w:t>Lei Federal nº 12.527, de 2011</w:t>
      </w:r>
      <w:r>
        <w:rPr>
          <w:rStyle w:val="54"/>
        </w:rPr>
        <w:fldChar w:fldCharType="end"/>
      </w:r>
      <w:r>
        <w:rPr>
          <w:rStyle w:val="45"/>
          <w:color w:val="000000" w:themeColor="text1"/>
        </w:rPr>
        <w:t xml:space="preserve"> (Lei de Acesso à Informação) e ao princípio da transparência, a(s) Licitante(s) e seus representantes ficam cientes do acesso pela </w:t>
      </w:r>
      <w:r>
        <w:rPr>
          <w:color w:val="000000"/>
        </w:rPr>
        <w:t>Câmara Municipal de Primavera do Leste - MT</w:t>
      </w:r>
      <w:r>
        <w:rPr>
          <w:rStyle w:val="45"/>
          <w:color w:val="000000" w:themeColor="text1"/>
        </w:rPr>
        <w:t xml:space="preserve"> de seus dados pessoais, tais como número do CPF, RG, estado civil, endereço comercial, endereço residencial e endereço eletrônico, cuja divulgação ficará adstrita, em respeito ao princípio da necessidade, ao endereço comercial informado, ressalvadas as hipóteses de divulgação em cumprimento a exigência legal. </w:t>
      </w:r>
    </w:p>
    <w:p>
      <w:pPr>
        <w:pStyle w:val="2"/>
        <w:spacing w:before="360" w:after="0"/>
      </w:pPr>
      <w:bookmarkStart w:id="55" w:name="_Toc149517463"/>
      <w:bookmarkStart w:id="56" w:name="_Toc144196074"/>
      <w:r>
        <w:rPr>
          <w:rStyle w:val="45"/>
        </w:rPr>
        <w:t>CRÉDITOS ORÇAMENTÁRIOS </w:t>
      </w:r>
      <w:bookmarkEnd w:id="55"/>
      <w:bookmarkEnd w:id="56"/>
      <w:r>
        <w:rPr>
          <w:rStyle w:val="45"/>
        </w:rPr>
        <w:t> </w:t>
      </w:r>
    </w:p>
    <w:p>
      <w:pPr>
        <w:widowControl/>
        <w:suppressAutoHyphens/>
        <w:bidi w:val="0"/>
        <w:spacing w:before="0" w:after="120" w:line="276" w:lineRule="auto"/>
        <w:ind w:left="0" w:right="0" w:firstLine="567"/>
        <w:jc w:val="both"/>
        <w:rPr>
          <w:rFonts w:ascii="Times New Roman" w:hAnsi="Times New Roman"/>
        </w:rPr>
      </w:pPr>
      <w:r>
        <w:rPr>
          <w:rFonts w:ascii="Times New Roman" w:hAnsi="Times New Roman" w:cs="Arial"/>
          <w:sz w:val="24"/>
          <w:szCs w:val="24"/>
        </w:rPr>
        <w:t>As despesas oriundas da presente aquisição correrão por conta de recursos próprios específicos consignados no orçamento da Câmara Municipal de Primavera do Leste nas dotações orçamentárias relacionadas abaixo:</w:t>
      </w:r>
    </w:p>
    <w:tbl>
      <w:tblPr>
        <w:tblStyle w:val="10"/>
        <w:tblW w:w="0" w:type="auto"/>
        <w:tblInd w:w="55" w:type="dxa"/>
        <w:tblLayout w:type="fixed"/>
        <w:tblCellMar>
          <w:top w:w="55" w:type="dxa"/>
          <w:left w:w="55" w:type="dxa"/>
          <w:bottom w:w="55" w:type="dxa"/>
          <w:right w:w="55" w:type="dxa"/>
        </w:tblCellMar>
      </w:tblPr>
      <w:tblGrid>
        <w:gridCol w:w="2160"/>
        <w:gridCol w:w="2657"/>
        <w:gridCol w:w="4256"/>
      </w:tblGrid>
      <w:tr>
        <w:tblPrEx>
          <w:tblCellMar>
            <w:top w:w="55" w:type="dxa"/>
            <w:left w:w="55" w:type="dxa"/>
            <w:bottom w:w="55" w:type="dxa"/>
            <w:right w:w="55" w:type="dxa"/>
          </w:tblCellMar>
        </w:tblPrEx>
        <w:tc>
          <w:tcPr>
            <w:tcW w:w="2160" w:type="dxa"/>
            <w:tcBorders>
              <w:top w:val="single" w:color="000000" w:sz="0" w:space="0"/>
              <w:left w:val="single" w:color="000000" w:sz="0" w:space="0"/>
              <w:bottom w:val="single" w:color="000000" w:sz="0" w:space="0"/>
            </w:tcBorders>
            <w:shd w:val="clear" w:color="auto" w:fill="auto"/>
            <w:noWrap w:val="0"/>
            <w:vAlign w:val="top"/>
          </w:tcPr>
          <w:p>
            <w:pPr>
              <w:pStyle w:val="179"/>
              <w:spacing w:line="240" w:lineRule="auto"/>
              <w:rPr>
                <w:rFonts w:hint="default" w:ascii="Times New Roman" w:hAnsi="Times New Roman" w:cs="Times New Roman"/>
                <w:sz w:val="18"/>
                <w:szCs w:val="18"/>
              </w:rPr>
            </w:pPr>
            <w:r>
              <w:rPr>
                <w:rFonts w:hint="default" w:ascii="Times New Roman" w:hAnsi="Times New Roman" w:cs="Times New Roman"/>
                <w:sz w:val="18"/>
                <w:szCs w:val="18"/>
              </w:rPr>
              <w:t>Órgão</w:t>
            </w:r>
          </w:p>
        </w:tc>
        <w:tc>
          <w:tcPr>
            <w:tcW w:w="2657" w:type="dxa"/>
            <w:tcBorders>
              <w:top w:val="single" w:color="000000" w:sz="0" w:space="0"/>
              <w:left w:val="single" w:color="000000" w:sz="0" w:space="0"/>
              <w:bottom w:val="single" w:color="000000" w:sz="0" w:space="0"/>
            </w:tcBorders>
            <w:shd w:val="clear" w:color="auto" w:fill="auto"/>
            <w:noWrap w:val="0"/>
            <w:vAlign w:val="top"/>
          </w:tcPr>
          <w:p>
            <w:pPr>
              <w:pStyle w:val="179"/>
              <w:spacing w:line="240" w:lineRule="auto"/>
              <w:rPr>
                <w:rFonts w:hint="default" w:ascii="Times New Roman" w:hAnsi="Times New Roman" w:cs="Times New Roman"/>
                <w:sz w:val="18"/>
                <w:szCs w:val="18"/>
              </w:rPr>
            </w:pPr>
            <w:r>
              <w:rPr>
                <w:rFonts w:hint="default" w:ascii="Times New Roman" w:hAnsi="Times New Roman" w:cs="Times New Roman"/>
                <w:sz w:val="18"/>
                <w:szCs w:val="18"/>
              </w:rPr>
              <w:t>01</w:t>
            </w:r>
          </w:p>
        </w:tc>
        <w:tc>
          <w:tcPr>
            <w:tcW w:w="4256" w:type="dxa"/>
            <w:tcBorders>
              <w:top w:val="single" w:color="000000" w:sz="0" w:space="0"/>
              <w:left w:val="single" w:color="000000" w:sz="0" w:space="0"/>
              <w:bottom w:val="single" w:color="000000" w:sz="0" w:space="0"/>
              <w:right w:val="single" w:color="000000" w:sz="0" w:space="0"/>
            </w:tcBorders>
            <w:shd w:val="clear" w:color="auto" w:fill="auto"/>
            <w:noWrap w:val="0"/>
            <w:vAlign w:val="top"/>
          </w:tcPr>
          <w:p>
            <w:pPr>
              <w:pStyle w:val="179"/>
              <w:spacing w:line="240" w:lineRule="auto"/>
              <w:rPr>
                <w:rFonts w:hint="default" w:ascii="Times New Roman" w:hAnsi="Times New Roman" w:cs="Times New Roman"/>
                <w:sz w:val="18"/>
                <w:szCs w:val="18"/>
              </w:rPr>
            </w:pPr>
            <w:r>
              <w:rPr>
                <w:rFonts w:hint="default" w:ascii="Times New Roman" w:hAnsi="Times New Roman" w:cs="Times New Roman"/>
                <w:sz w:val="18"/>
                <w:szCs w:val="18"/>
              </w:rPr>
              <w:t>CÂMARA MUNICIPAL</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179"/>
              <w:spacing w:line="240" w:lineRule="auto"/>
              <w:rPr>
                <w:rFonts w:hint="default" w:ascii="Times New Roman" w:hAnsi="Times New Roman" w:cs="Times New Roman"/>
                <w:sz w:val="18"/>
                <w:szCs w:val="18"/>
              </w:rPr>
            </w:pPr>
            <w:r>
              <w:rPr>
                <w:rFonts w:hint="default" w:ascii="Times New Roman" w:hAnsi="Times New Roman" w:cs="Times New Roman"/>
                <w:sz w:val="18"/>
                <w:szCs w:val="18"/>
              </w:rPr>
              <w:t>Unid Orçamentária</w:t>
            </w:r>
          </w:p>
        </w:tc>
        <w:tc>
          <w:tcPr>
            <w:tcW w:w="2657" w:type="dxa"/>
            <w:tcBorders>
              <w:left w:val="single" w:color="000000" w:sz="0" w:space="0"/>
              <w:bottom w:val="single" w:color="000000" w:sz="0" w:space="0"/>
            </w:tcBorders>
            <w:shd w:val="clear" w:color="auto" w:fill="auto"/>
            <w:noWrap w:val="0"/>
            <w:vAlign w:val="top"/>
          </w:tcPr>
          <w:p>
            <w:pPr>
              <w:pStyle w:val="179"/>
              <w:spacing w:line="240" w:lineRule="auto"/>
              <w:rPr>
                <w:rFonts w:hint="default" w:ascii="Times New Roman" w:hAnsi="Times New Roman" w:cs="Times New Roman"/>
                <w:sz w:val="18"/>
                <w:szCs w:val="18"/>
              </w:rPr>
            </w:pPr>
            <w:r>
              <w:rPr>
                <w:rFonts w:hint="default" w:ascii="Times New Roman" w:hAnsi="Times New Roman" w:cs="Times New Roman"/>
                <w:sz w:val="18"/>
                <w:szCs w:val="18"/>
              </w:rPr>
              <w:t>01.00.01</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179"/>
              <w:spacing w:line="240" w:lineRule="auto"/>
              <w:rPr>
                <w:rFonts w:hint="default" w:ascii="Times New Roman" w:hAnsi="Times New Roman" w:cs="Times New Roman"/>
                <w:sz w:val="18"/>
                <w:szCs w:val="18"/>
              </w:rPr>
            </w:pPr>
            <w:r>
              <w:rPr>
                <w:rFonts w:hint="default" w:ascii="Times New Roman" w:hAnsi="Times New Roman" w:cs="Times New Roman"/>
                <w:sz w:val="18"/>
                <w:szCs w:val="18"/>
              </w:rPr>
              <w:t>DEPARTAMENTO ADMINISTRATIVO</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179"/>
              <w:spacing w:line="240" w:lineRule="auto"/>
              <w:rPr>
                <w:rFonts w:hint="default" w:ascii="Times New Roman" w:hAnsi="Times New Roman" w:cs="Times New Roman"/>
                <w:sz w:val="18"/>
                <w:szCs w:val="18"/>
              </w:rPr>
            </w:pPr>
            <w:r>
              <w:rPr>
                <w:rFonts w:hint="default" w:ascii="Times New Roman" w:hAnsi="Times New Roman" w:cs="Times New Roman"/>
                <w:sz w:val="18"/>
                <w:szCs w:val="18"/>
              </w:rPr>
              <w:t>Unidade Executora</w:t>
            </w:r>
          </w:p>
        </w:tc>
        <w:tc>
          <w:tcPr>
            <w:tcW w:w="2657" w:type="dxa"/>
            <w:tcBorders>
              <w:left w:val="single" w:color="000000" w:sz="0" w:space="0"/>
              <w:bottom w:val="single" w:color="000000" w:sz="0" w:space="0"/>
            </w:tcBorders>
            <w:shd w:val="clear" w:color="auto" w:fill="auto"/>
            <w:noWrap w:val="0"/>
            <w:vAlign w:val="top"/>
          </w:tcPr>
          <w:p>
            <w:pPr>
              <w:pStyle w:val="179"/>
              <w:spacing w:line="240" w:lineRule="auto"/>
              <w:rPr>
                <w:rFonts w:hint="default" w:ascii="Times New Roman" w:hAnsi="Times New Roman" w:cs="Times New Roman"/>
                <w:sz w:val="18"/>
                <w:szCs w:val="18"/>
              </w:rPr>
            </w:pPr>
            <w:r>
              <w:rPr>
                <w:rFonts w:hint="default" w:ascii="Times New Roman" w:hAnsi="Times New Roman" w:cs="Times New Roman"/>
                <w:sz w:val="18"/>
                <w:szCs w:val="18"/>
              </w:rPr>
              <w:t>01.001</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179"/>
              <w:spacing w:line="240" w:lineRule="auto"/>
              <w:rPr>
                <w:rFonts w:hint="default" w:ascii="Times New Roman" w:hAnsi="Times New Roman" w:cs="Times New Roman"/>
                <w:sz w:val="18"/>
                <w:szCs w:val="18"/>
              </w:rPr>
            </w:pPr>
            <w:r>
              <w:rPr>
                <w:rFonts w:hint="default" w:ascii="Times New Roman" w:hAnsi="Times New Roman" w:cs="Times New Roman"/>
                <w:sz w:val="18"/>
                <w:szCs w:val="18"/>
              </w:rPr>
              <w:t>DEPARTAMENTO ADMINISTRATIVO</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179"/>
              <w:spacing w:line="240" w:lineRule="auto"/>
              <w:rPr>
                <w:rFonts w:hint="default" w:ascii="Times New Roman" w:hAnsi="Times New Roman" w:cs="Times New Roman"/>
                <w:sz w:val="18"/>
                <w:szCs w:val="18"/>
              </w:rPr>
            </w:pPr>
            <w:r>
              <w:rPr>
                <w:rFonts w:hint="default" w:ascii="Times New Roman" w:hAnsi="Times New Roman" w:cs="Times New Roman"/>
                <w:sz w:val="18"/>
                <w:szCs w:val="18"/>
              </w:rPr>
              <w:t>Função programática</w:t>
            </w:r>
          </w:p>
        </w:tc>
        <w:tc>
          <w:tcPr>
            <w:tcW w:w="2657" w:type="dxa"/>
            <w:tcBorders>
              <w:left w:val="single" w:color="000000" w:sz="0" w:space="0"/>
              <w:bottom w:val="single" w:color="000000" w:sz="0" w:space="0"/>
            </w:tcBorders>
            <w:shd w:val="clear" w:color="auto" w:fill="auto"/>
            <w:noWrap w:val="0"/>
            <w:vAlign w:val="top"/>
          </w:tcPr>
          <w:p>
            <w:pPr>
              <w:pStyle w:val="179"/>
              <w:spacing w:line="240" w:lineRule="auto"/>
              <w:rPr>
                <w:rFonts w:hint="default" w:ascii="Times New Roman" w:hAnsi="Times New Roman" w:cs="Times New Roman"/>
                <w:sz w:val="18"/>
                <w:szCs w:val="18"/>
              </w:rPr>
            </w:pPr>
            <w:r>
              <w:rPr>
                <w:rFonts w:hint="default" w:ascii="Times New Roman" w:hAnsi="Times New Roman" w:cs="Times New Roman"/>
                <w:sz w:val="18"/>
                <w:szCs w:val="18"/>
              </w:rPr>
              <w:t>01.031.0001-2.003</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179"/>
              <w:spacing w:line="240" w:lineRule="auto"/>
              <w:rPr>
                <w:rFonts w:hint="default" w:ascii="Times New Roman" w:hAnsi="Times New Roman" w:cs="Times New Roman"/>
                <w:sz w:val="18"/>
                <w:szCs w:val="18"/>
              </w:rPr>
            </w:pPr>
            <w:r>
              <w:rPr>
                <w:rFonts w:hint="default" w:ascii="Times New Roman" w:hAnsi="Times New Roman" w:cs="Times New Roman"/>
                <w:sz w:val="18"/>
                <w:szCs w:val="18"/>
              </w:rPr>
              <w:t>MANUTENÇÃO DA AÇÃO LEGISLATIVA</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179"/>
              <w:spacing w:line="240" w:lineRule="auto"/>
              <w:rPr>
                <w:rFonts w:hint="default" w:ascii="Times New Roman" w:hAnsi="Times New Roman" w:cs="Times New Roman"/>
                <w:sz w:val="18"/>
                <w:szCs w:val="18"/>
              </w:rPr>
            </w:pPr>
            <w:r>
              <w:rPr>
                <w:rFonts w:hint="default" w:ascii="Times New Roman" w:hAnsi="Times New Roman" w:cs="Times New Roman"/>
                <w:sz w:val="18"/>
                <w:szCs w:val="18"/>
              </w:rPr>
              <w:t>Elemento</w:t>
            </w:r>
          </w:p>
        </w:tc>
        <w:tc>
          <w:tcPr>
            <w:tcW w:w="2657" w:type="dxa"/>
            <w:tcBorders>
              <w:left w:val="single" w:color="000000" w:sz="0" w:space="0"/>
              <w:bottom w:val="single" w:color="000000" w:sz="0" w:space="0"/>
            </w:tcBorders>
            <w:shd w:val="clear" w:color="auto" w:fill="auto"/>
            <w:noWrap w:val="0"/>
            <w:vAlign w:val="top"/>
          </w:tcPr>
          <w:p>
            <w:pPr>
              <w:pStyle w:val="179"/>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3.3.90.30.00</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179"/>
              <w:spacing w:line="240" w:lineRule="auto"/>
              <w:rPr>
                <w:rFonts w:hint="default" w:ascii="Times New Roman" w:hAnsi="Times New Roman" w:cs="Times New Roman"/>
                <w:sz w:val="18"/>
                <w:szCs w:val="18"/>
              </w:rPr>
            </w:pPr>
            <w:r>
              <w:rPr>
                <w:rFonts w:hint="default" w:ascii="Times New Roman" w:hAnsi="Times New Roman" w:cs="Times New Roman"/>
                <w:sz w:val="18"/>
                <w:szCs w:val="18"/>
              </w:rPr>
              <w:t>MATERIAL DE CONSUMO</w:t>
            </w:r>
          </w:p>
        </w:tc>
      </w:tr>
    </w:tbl>
    <w:p>
      <w:pPr>
        <w:pStyle w:val="130"/>
        <w:numPr>
          <w:ilvl w:val="1"/>
          <w:numId w:val="1"/>
        </w:numPr>
        <w:tabs>
          <w:tab w:val="left" w:pos="1134"/>
        </w:tabs>
        <w:spacing w:before="120" w:beforeAutospacing="0" w:after="0" w:afterAutospacing="0"/>
        <w:ind w:left="0" w:firstLine="567"/>
        <w:jc w:val="both"/>
        <w:textAlignment w:val="baseline"/>
      </w:pPr>
      <w:r>
        <w:rPr>
          <w:color w:val="000000"/>
        </w:rPr>
        <w:t xml:space="preserve">Em </w:t>
      </w:r>
      <w:r>
        <w:rPr>
          <w:rStyle w:val="45"/>
          <w:color w:val="000000" w:themeColor="text1"/>
        </w:rPr>
        <w:t>caso</w:t>
      </w:r>
      <w:r>
        <w:rPr>
          <w:color w:val="000000"/>
        </w:rPr>
        <w:t xml:space="preserve"> de </w:t>
      </w:r>
      <w:r>
        <w:rPr>
          <w:rStyle w:val="45"/>
          <w:color w:val="000000" w:themeColor="text1"/>
        </w:rPr>
        <w:t>divergência</w:t>
      </w:r>
      <w:r>
        <w:rPr>
          <w:color w:val="000000"/>
        </w:rPr>
        <w:t xml:space="preserve"> existente entre as especificações descritas no </w:t>
      </w:r>
      <w:r>
        <w:t>Portal Licitanet (</w:t>
      </w:r>
      <w:r>
        <w:fldChar w:fldCharType="begin"/>
      </w:r>
      <w:r>
        <w:instrText xml:space="preserve"> HYPERLINK "https://www.licitanet.com.br/" \h </w:instrText>
      </w:r>
      <w:r>
        <w:fldChar w:fldCharType="separate"/>
      </w:r>
      <w:r>
        <w:rPr>
          <w:rStyle w:val="54"/>
        </w:rPr>
        <w:t>https://www.licitanet.com.br/</w:t>
      </w:r>
      <w:r>
        <w:rPr>
          <w:rStyle w:val="54"/>
        </w:rPr>
        <w:fldChar w:fldCharType="end"/>
      </w:r>
      <w:r>
        <w:rPr>
          <w:color w:val="000000"/>
        </w:rPr>
        <w:t>) e as especificações constantes deste Edital, prevalecerão as últimas.</w:t>
      </w:r>
    </w:p>
    <w:p>
      <w:pPr>
        <w:pStyle w:val="130"/>
        <w:numPr>
          <w:ilvl w:val="1"/>
          <w:numId w:val="1"/>
        </w:numPr>
        <w:tabs>
          <w:tab w:val="left" w:pos="1134"/>
        </w:tabs>
        <w:spacing w:before="0" w:beforeAutospacing="0" w:after="0" w:afterAutospacing="0"/>
        <w:ind w:left="0" w:firstLine="567"/>
        <w:jc w:val="both"/>
        <w:textAlignment w:val="baseline"/>
      </w:pPr>
      <w:r>
        <w:rPr>
          <w:color w:val="000000"/>
        </w:rPr>
        <w:t xml:space="preserve">Todas </w:t>
      </w:r>
      <w:r>
        <w:rPr>
          <w:rStyle w:val="45"/>
          <w:color w:val="000000" w:themeColor="text1"/>
        </w:rPr>
        <w:t>as</w:t>
      </w:r>
      <w:r>
        <w:rPr>
          <w:color w:val="000000"/>
        </w:rPr>
        <w:t xml:space="preserve"> referências de tempo no Edital, no aviso e durante a sessão pública observarão o horário de </w:t>
      </w:r>
      <w:r>
        <w:rPr>
          <w:rStyle w:val="45"/>
          <w:color w:val="000000" w:themeColor="text1"/>
        </w:rPr>
        <w:t>Brasília</w:t>
      </w:r>
      <w:r>
        <w:rPr>
          <w:color w:val="000000"/>
        </w:rPr>
        <w:t xml:space="preserve"> / DF.</w:t>
      </w:r>
    </w:p>
    <w:p>
      <w:pPr>
        <w:pStyle w:val="130"/>
        <w:numPr>
          <w:ilvl w:val="1"/>
          <w:numId w:val="1"/>
        </w:numPr>
        <w:tabs>
          <w:tab w:val="left" w:pos="1134"/>
        </w:tabs>
        <w:spacing w:before="0" w:beforeAutospacing="0" w:after="0" w:afterAutospacing="0"/>
        <w:ind w:left="0" w:firstLine="567"/>
        <w:jc w:val="both"/>
        <w:textAlignment w:val="baseline"/>
      </w:pPr>
      <w:r>
        <w:rPr>
          <w:color w:val="000000"/>
        </w:rPr>
        <w:t xml:space="preserve">O </w:t>
      </w:r>
      <w:r>
        <w:rPr>
          <w:rStyle w:val="45"/>
          <w:color w:val="000000" w:themeColor="text1"/>
        </w:rPr>
        <w:t>licitante</w:t>
      </w:r>
      <w:r>
        <w:rPr>
          <w:color w:val="000000"/>
        </w:rPr>
        <w:t xml:space="preserve"> será responsável por todas as transações que forem efetuadas em seu nome no sistema eletrônico, assumindo como firmes e verdadeiras suas propostas e lances.</w:t>
      </w:r>
    </w:p>
    <w:p>
      <w:pPr>
        <w:pStyle w:val="130"/>
        <w:numPr>
          <w:ilvl w:val="1"/>
          <w:numId w:val="1"/>
        </w:numPr>
        <w:tabs>
          <w:tab w:val="left" w:pos="1134"/>
        </w:tabs>
        <w:spacing w:before="0" w:beforeAutospacing="0" w:after="0" w:afterAutospacing="0"/>
        <w:ind w:left="0" w:firstLine="567"/>
        <w:jc w:val="both"/>
        <w:textAlignment w:val="baseline"/>
      </w:pPr>
      <w:r>
        <w:rPr>
          <w:color w:val="000000"/>
        </w:rPr>
        <w:t xml:space="preserve">Incumbirá ao licitante acompanhar as operações no sistema eletrônico durante a sessão pública deste </w:t>
      </w:r>
      <w:r>
        <w:rPr>
          <w:rStyle w:val="45"/>
          <w:color w:val="000000" w:themeColor="text1"/>
        </w:rPr>
        <w:t>Pregão</w:t>
      </w:r>
      <w:r>
        <w:rPr>
          <w:color w:val="000000"/>
        </w:rPr>
        <w:t>, ficando responsável pelo ônus decorrente da perda de negócios, diante da inobservância de quaisquer mensagens emitidas pelo sistema ou de sua desconexão.</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No julgamento das propostas e da habilitação, o(a) </w:t>
      </w:r>
      <w:r>
        <w:t>Pregoeiro</w:t>
      </w:r>
      <w:r>
        <w:rPr>
          <w:color w:val="000000"/>
        </w:rPr>
        <w:t xml:space="preserve"> poderá sanar erros ou falhas que não alterem a substância das propostas, dos documentos e sua validade jurídica, mediante decisão fundamentado, registrado em ata e acessível a todos, atribuindo-lhes validade e eficácia para fins de habilitação e classificação.</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É facultado ao(à) </w:t>
      </w:r>
      <w:r>
        <w:t>Pregoeiro</w:t>
      </w:r>
      <w:r>
        <w:rPr>
          <w:color w:val="000000"/>
        </w:rPr>
        <w:t xml:space="preserve"> e seus auxiliares proceder, em qualquer fase da licitação, diligências destinadas a esclarecer ou a complementar a instrução do processo, vedada a inclusão posterior de documento ou informação que deveria constar originalmente da proposta.</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A homologação do resultado desta licitação não implicará direito à contratação.</w:t>
      </w:r>
    </w:p>
    <w:p>
      <w:pPr>
        <w:pStyle w:val="130"/>
        <w:numPr>
          <w:ilvl w:val="1"/>
          <w:numId w:val="1"/>
        </w:numPr>
        <w:tabs>
          <w:tab w:val="left" w:pos="1134"/>
        </w:tabs>
        <w:spacing w:before="0" w:beforeAutospacing="0" w:after="0" w:afterAutospacing="0"/>
        <w:ind w:left="0" w:firstLine="567"/>
        <w:jc w:val="both"/>
        <w:textAlignment w:val="baseline"/>
      </w:pPr>
      <w:r>
        <w:rPr>
          <w:color w:val="000000"/>
        </w:rPr>
        <w:t xml:space="preserve">Será divulgada ata da sessão pública no </w:t>
      </w:r>
      <w:r>
        <w:t>Portal Licitanet (</w:t>
      </w:r>
      <w:r>
        <w:fldChar w:fldCharType="begin"/>
      </w:r>
      <w:r>
        <w:instrText xml:space="preserve"> HYPERLINK "https://www.licitanet.com.br/" \h </w:instrText>
      </w:r>
      <w:r>
        <w:fldChar w:fldCharType="separate"/>
      </w:r>
      <w:r>
        <w:rPr>
          <w:rStyle w:val="54"/>
        </w:rPr>
        <w:t>https://www.licitanet.com.br/</w:t>
      </w:r>
      <w:r>
        <w:rPr>
          <w:rStyle w:val="54"/>
        </w:rPr>
        <w:fldChar w:fldCharType="end"/>
      </w:r>
      <w:r>
        <w:rPr>
          <w:color w:val="000000"/>
        </w:rPr>
        <w:t>).</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Os interessados/licitantes obrigam-se ao acompanhamento das informações disponibilizadas, não podendo alegar seu desconhecimento.</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Os licitantes assumem todos os custos de preparação e apresentação de suas propostas e a Administração não será, em nenhum caso, responsável por esses custos, independentemente da condução ou do resultado do processo licitatório.</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Na contagem dos prazos estabelecidos neste Edital e seus Anexos, excluir-se-á o dia do início e incluir-se-á o do vencimento. Só se iniciam e vencem os prazos em dias de expediente na Administração.</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O desatendimento de exigências formais não essenciais não importará o afastamento do licitante, desde que seja possível o aproveitamento do ato, observados os princípios da isonomia e do interesse público.</w:t>
      </w:r>
    </w:p>
    <w:p>
      <w:pPr>
        <w:pStyle w:val="130"/>
        <w:numPr>
          <w:ilvl w:val="1"/>
          <w:numId w:val="1"/>
        </w:numPr>
        <w:tabs>
          <w:tab w:val="left" w:pos="1134"/>
        </w:tabs>
        <w:spacing w:before="0" w:beforeAutospacing="0" w:after="0" w:afterAutospacing="0"/>
        <w:ind w:left="0" w:firstLine="567"/>
        <w:jc w:val="both"/>
        <w:textAlignment w:val="baseline"/>
      </w:pPr>
      <w:r>
        <w:rPr>
          <w:color w:val="000000"/>
        </w:rPr>
        <w:t xml:space="preserve">Nenhuma </w:t>
      </w:r>
      <w:r>
        <w:rPr>
          <w:rStyle w:val="45"/>
          <w:color w:val="000000" w:themeColor="text1"/>
        </w:rPr>
        <w:t>indenização</w:t>
      </w:r>
      <w:r>
        <w:rPr>
          <w:color w:val="000000"/>
        </w:rPr>
        <w:t xml:space="preserve"> será devida às licitantes por apresentarem documentação e/ou elaborarem proposta relativa ao presente </w:t>
      </w:r>
      <w:r>
        <w:rPr>
          <w:rStyle w:val="45"/>
          <w:color w:val="000000" w:themeColor="text1"/>
        </w:rPr>
        <w:t>Pregão</w:t>
      </w:r>
      <w:r>
        <w:rPr>
          <w:color w:val="000000"/>
        </w:rPr>
        <w:t>.</w:t>
      </w:r>
    </w:p>
    <w:p>
      <w:pPr>
        <w:pStyle w:val="130"/>
        <w:numPr>
          <w:ilvl w:val="1"/>
          <w:numId w:val="1"/>
        </w:numPr>
        <w:tabs>
          <w:tab w:val="left" w:pos="1134"/>
        </w:tabs>
        <w:spacing w:before="0" w:beforeAutospacing="0" w:after="0" w:afterAutospacing="0"/>
        <w:ind w:left="0" w:firstLine="567"/>
        <w:jc w:val="both"/>
        <w:textAlignment w:val="baseline"/>
      </w:pPr>
      <w:r>
        <w:rPr>
          <w:color w:val="000000"/>
        </w:rPr>
        <w:t xml:space="preserve">A Câmara Municipal de Primavera do Leste - MT não se responsabilizará por eventuais danos </w:t>
      </w:r>
      <w:r>
        <w:rPr>
          <w:rStyle w:val="45"/>
          <w:color w:val="000000" w:themeColor="text1"/>
        </w:rPr>
        <w:t>causados</w:t>
      </w:r>
      <w:r>
        <w:rPr>
          <w:color w:val="000000"/>
        </w:rPr>
        <w:t xml:space="preserve"> à licitante, decorrentes do uso indevido da senha durante as transações efetuadas, ainda que por terceiros.</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Caso qualquer documento apresentado pela licitante tenha sido emitido em língua estrangeira, este deverá estar acompanhado da respectiva tradução para a língua portuguesa, efetuada por tradutor juramentado, e devidamente autenticado pela via consular ou registrado em cartório de títulos e documentos.</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Se traduzido para a língua portuguesa no exterior, a tradução deverá ter sido efetuada por profissional qualificado, segundo as leis do país de origem e os documentos autenticados pela via consular.</w:t>
      </w:r>
    </w:p>
    <w:p>
      <w:pPr>
        <w:pStyle w:val="130"/>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O horário de atendimento presencial do protocolo administrativo da Câmara Municipal de Primavera do Leste - MT é das </w:t>
      </w:r>
      <w:r>
        <w:rPr>
          <w:color w:val="000000"/>
          <w:shd w:val="clear" w:fill="auto"/>
        </w:rPr>
        <w:t xml:space="preserve">07h00 </w:t>
      </w:r>
      <w:r>
        <w:rPr>
          <w:color w:val="000000"/>
        </w:rPr>
        <w:t>às 13h00 , de segunda a sexta-feira, no horário oficial de Mato Grosso (GMT -04:00).</w:t>
      </w:r>
    </w:p>
    <w:p>
      <w:pPr>
        <w:pStyle w:val="2"/>
        <w:spacing w:before="360" w:after="0"/>
      </w:pPr>
      <w:bookmarkStart w:id="57" w:name="_Toc149517465"/>
      <w:r>
        <w:rPr>
          <w:rStyle w:val="45"/>
        </w:rPr>
        <w:t>FORO</w:t>
      </w:r>
      <w:bookmarkEnd w:id="57"/>
    </w:p>
    <w:p>
      <w:pPr>
        <w:pStyle w:val="130"/>
        <w:numPr>
          <w:ilvl w:val="1"/>
          <w:numId w:val="1"/>
        </w:numPr>
        <w:tabs>
          <w:tab w:val="left" w:pos="1134"/>
        </w:tabs>
        <w:spacing w:before="120" w:beforeAutospacing="0" w:after="120" w:afterAutospacing="0"/>
        <w:ind w:left="0" w:firstLine="567"/>
        <w:jc w:val="both"/>
        <w:textAlignment w:val="baseline"/>
        <w:rPr>
          <w:rFonts w:ascii="Times New Roman" w:hAnsi="Times New Roman"/>
        </w:rPr>
      </w:pPr>
      <w:r>
        <w:t xml:space="preserve">As </w:t>
      </w:r>
      <w:r>
        <w:rPr>
          <w:rFonts w:cs="Times New Roman"/>
          <w:sz w:val="24"/>
          <w:szCs w:val="24"/>
        </w:rPr>
        <w:t xml:space="preserve"> questões decorrentes da execução deste Instrumento, que não possam ser dirimidas administrativamente, serão processadas e julgadas no Foro da cidade de Primavera do Leste/MT, com exclusão de qualquer outro, por mais privilegiado que seja, salvo nos casos previstos no Art. 102, inciso I, alínea “d” da Constituição Federal.</w:t>
      </w:r>
    </w:p>
    <w:p>
      <w:pPr>
        <w:pStyle w:val="173"/>
        <w:keepNext w:val="0"/>
        <w:keepLines w:val="0"/>
        <w:pageBreakBefore w:val="0"/>
        <w:widowControl/>
        <w:overflowPunct/>
        <w:bidi w:val="0"/>
        <w:snapToGrid/>
        <w:spacing w:line="216" w:lineRule="auto"/>
        <w:jc w:val="both"/>
        <w:textAlignment w:val="auto"/>
        <w:rPr>
          <w:rFonts w:ascii="Times New Roman" w:hAnsi="Times New Roman" w:cs="Times New Roman"/>
          <w:sz w:val="24"/>
          <w:szCs w:val="24"/>
        </w:rPr>
      </w:pPr>
    </w:p>
    <w:p>
      <w:pPr>
        <w:pStyle w:val="173"/>
        <w:keepNext w:val="0"/>
        <w:keepLines w:val="0"/>
        <w:pageBreakBefore w:val="0"/>
        <w:widowControl/>
        <w:overflowPunct/>
        <w:bidi w:val="0"/>
        <w:snapToGrid/>
        <w:spacing w:line="216" w:lineRule="auto"/>
        <w:jc w:val="right"/>
        <w:textAlignment w:val="auto"/>
        <w:rPr>
          <w:rFonts w:ascii="Times New Roman" w:hAnsi="Times New Roman"/>
        </w:rPr>
      </w:pPr>
      <w:r>
        <w:rPr>
          <w:rFonts w:ascii="Times New Roman" w:hAnsi="Times New Roman" w:cs="Times New Roman"/>
          <w:sz w:val="24"/>
          <w:szCs w:val="24"/>
        </w:rPr>
        <w:t>Primavera do Leste - MT,</w:t>
      </w:r>
      <w:r>
        <w:rPr>
          <w:rFonts w:hint="default" w:ascii="Times New Roman" w:hAnsi="Times New Roman" w:cs="Times New Roman"/>
          <w:sz w:val="24"/>
          <w:szCs w:val="24"/>
          <w:lang w:val="pt-BR"/>
        </w:rPr>
        <w:t xml:space="preserve"> 27</w:t>
      </w:r>
      <w:r>
        <w:rPr>
          <w:rFonts w:ascii="Times New Roman" w:hAnsi="Times New Roman" w:cs="Times New Roman"/>
          <w:sz w:val="24"/>
          <w:szCs w:val="24"/>
        </w:rPr>
        <w:t xml:space="preserve"> de </w:t>
      </w:r>
      <w:r>
        <w:rPr>
          <w:rFonts w:hint="default" w:ascii="Times New Roman" w:hAnsi="Times New Roman" w:cs="Times New Roman"/>
          <w:sz w:val="24"/>
          <w:szCs w:val="24"/>
          <w:lang w:val="pt-BR"/>
        </w:rPr>
        <w:t xml:space="preserve">abril </w:t>
      </w:r>
      <w:r>
        <w:rPr>
          <w:rFonts w:ascii="Times New Roman" w:hAnsi="Times New Roman" w:cs="Times New Roman"/>
          <w:sz w:val="24"/>
          <w:szCs w:val="24"/>
        </w:rPr>
        <w:t>de 2024.</w:t>
      </w:r>
    </w:p>
    <w:p>
      <w:pPr>
        <w:pStyle w:val="173"/>
        <w:keepNext w:val="0"/>
        <w:keepLines w:val="0"/>
        <w:pageBreakBefore w:val="0"/>
        <w:widowControl/>
        <w:overflowPunct/>
        <w:bidi w:val="0"/>
        <w:snapToGrid/>
        <w:spacing w:line="216" w:lineRule="auto"/>
        <w:jc w:val="center"/>
        <w:textAlignment w:val="auto"/>
        <w:rPr>
          <w:rFonts w:ascii="Times New Roman" w:hAnsi="Times New Roman" w:cs="Times New Roman"/>
          <w:b/>
          <w:sz w:val="24"/>
          <w:szCs w:val="24"/>
        </w:rPr>
      </w:pPr>
    </w:p>
    <w:p>
      <w:pPr>
        <w:pStyle w:val="173"/>
        <w:keepNext w:val="0"/>
        <w:keepLines w:val="0"/>
        <w:pageBreakBefore w:val="0"/>
        <w:widowControl/>
        <w:overflowPunct/>
        <w:bidi w:val="0"/>
        <w:snapToGrid/>
        <w:spacing w:line="216" w:lineRule="auto"/>
        <w:jc w:val="center"/>
        <w:textAlignment w:val="auto"/>
        <w:rPr>
          <w:rFonts w:ascii="Times New Roman" w:hAnsi="Times New Roman" w:cs="Times New Roman"/>
          <w:b/>
          <w:sz w:val="24"/>
          <w:szCs w:val="24"/>
        </w:rPr>
      </w:pPr>
    </w:p>
    <w:p>
      <w:pPr>
        <w:pStyle w:val="173"/>
        <w:keepNext w:val="0"/>
        <w:keepLines w:val="0"/>
        <w:pageBreakBefore w:val="0"/>
        <w:widowControl/>
        <w:overflowPunct/>
        <w:bidi w:val="0"/>
        <w:snapToGrid/>
        <w:spacing w:line="216" w:lineRule="auto"/>
        <w:jc w:val="center"/>
        <w:textAlignment w:val="auto"/>
        <w:rPr>
          <w:rFonts w:ascii="Times New Roman" w:hAnsi="Times New Roman" w:cs="Times New Roman"/>
          <w:b/>
          <w:sz w:val="24"/>
          <w:szCs w:val="24"/>
        </w:rPr>
      </w:pPr>
    </w:p>
    <w:p>
      <w:pPr>
        <w:pStyle w:val="173"/>
        <w:keepNext w:val="0"/>
        <w:keepLines w:val="0"/>
        <w:pageBreakBefore w:val="0"/>
        <w:widowControl/>
        <w:overflowPunct/>
        <w:bidi w:val="0"/>
        <w:snapToGrid/>
        <w:spacing w:line="216" w:lineRule="auto"/>
        <w:jc w:val="center"/>
        <w:textAlignment w:val="auto"/>
        <w:rPr>
          <w:rFonts w:ascii="Times New Roman" w:hAnsi="Times New Roman" w:cs="Times New Roman"/>
          <w:b/>
          <w:sz w:val="24"/>
          <w:szCs w:val="24"/>
        </w:rPr>
      </w:pPr>
    </w:p>
    <w:p>
      <w:pPr>
        <w:pStyle w:val="173"/>
        <w:keepNext w:val="0"/>
        <w:keepLines w:val="0"/>
        <w:pageBreakBefore w:val="0"/>
        <w:widowControl/>
        <w:overflowPunct/>
        <w:bidi w:val="0"/>
        <w:snapToGrid/>
        <w:spacing w:line="216" w:lineRule="auto"/>
        <w:jc w:val="center"/>
        <w:textAlignment w:val="auto"/>
        <w:rPr>
          <w:rFonts w:ascii="Times New Roman" w:hAnsi="Times New Roman" w:cs="Times New Roman"/>
          <w:b/>
          <w:sz w:val="24"/>
          <w:szCs w:val="24"/>
        </w:rPr>
      </w:pPr>
    </w:p>
    <w:p>
      <w:pPr>
        <w:pStyle w:val="173"/>
        <w:keepNext w:val="0"/>
        <w:keepLines w:val="0"/>
        <w:pageBreakBefore w:val="0"/>
        <w:widowControl/>
        <w:overflowPunct/>
        <w:bidi w:val="0"/>
        <w:snapToGrid/>
        <w:spacing w:line="216" w:lineRule="auto"/>
        <w:jc w:val="center"/>
        <w:textAlignment w:val="auto"/>
        <w:rPr>
          <w:rFonts w:ascii="Times New Roman" w:hAnsi="Times New Roman" w:cs="Times New Roman"/>
          <w:b/>
          <w:sz w:val="24"/>
          <w:szCs w:val="24"/>
        </w:rPr>
      </w:pPr>
    </w:p>
    <w:p>
      <w:pPr>
        <w:pStyle w:val="173"/>
        <w:keepNext w:val="0"/>
        <w:keepLines w:val="0"/>
        <w:pageBreakBefore w:val="0"/>
        <w:widowControl/>
        <w:overflowPunct/>
        <w:bidi w:val="0"/>
        <w:snapToGrid/>
        <w:spacing w:line="216" w:lineRule="auto"/>
        <w:jc w:val="center"/>
        <w:textAlignment w:val="auto"/>
        <w:rPr>
          <w:rFonts w:ascii="Times New Roman" w:hAnsi="Times New Roman" w:cs="Times New Roman"/>
          <w:b/>
          <w:sz w:val="24"/>
          <w:szCs w:val="24"/>
        </w:rPr>
      </w:pPr>
    </w:p>
    <w:p>
      <w:pPr>
        <w:pStyle w:val="173"/>
        <w:keepNext w:val="0"/>
        <w:keepLines w:val="0"/>
        <w:pageBreakBefore w:val="0"/>
        <w:widowControl/>
        <w:overflowPunct/>
        <w:bidi w:val="0"/>
        <w:snapToGrid/>
        <w:spacing w:line="216" w:lineRule="auto"/>
        <w:jc w:val="center"/>
        <w:textAlignment w:val="auto"/>
        <w:rPr>
          <w:rFonts w:ascii="Times New Roman" w:hAnsi="Times New Roman" w:eastAsia="Times New Roman" w:cs="Times New Roman"/>
          <w:b/>
          <w:bCs/>
          <w:color w:val="212529"/>
          <w:sz w:val="24"/>
          <w:szCs w:val="24"/>
          <w:lang w:eastAsia="pt-BR"/>
        </w:rPr>
      </w:pPr>
    </w:p>
    <w:p>
      <w:pPr>
        <w:pStyle w:val="173"/>
        <w:keepNext w:val="0"/>
        <w:keepLines w:val="0"/>
        <w:pageBreakBefore w:val="0"/>
        <w:widowControl/>
        <w:overflowPunct/>
        <w:bidi w:val="0"/>
        <w:snapToGrid/>
        <w:spacing w:line="216" w:lineRule="auto"/>
        <w:jc w:val="center"/>
        <w:textAlignment w:val="auto"/>
        <w:rPr>
          <w:rFonts w:ascii="Times New Roman" w:hAnsi="Times New Roman"/>
        </w:rPr>
      </w:pPr>
      <w:r>
        <w:rPr>
          <w:rFonts w:ascii="Times New Roman" w:hAnsi="Times New Roman" w:eastAsia="Times New Roman" w:cs="Times New Roman"/>
          <w:b/>
          <w:bCs/>
          <w:color w:val="000000"/>
          <w:sz w:val="24"/>
          <w:szCs w:val="24"/>
          <w:lang w:eastAsia="pt-BR"/>
        </w:rPr>
        <w:t>Wender de Souza Barros</w:t>
      </w:r>
    </w:p>
    <w:p>
      <w:pPr>
        <w:pStyle w:val="173"/>
        <w:keepNext w:val="0"/>
        <w:keepLines w:val="0"/>
        <w:pageBreakBefore w:val="0"/>
        <w:widowControl/>
        <w:overflowPunct/>
        <w:bidi w:val="0"/>
        <w:snapToGrid/>
        <w:spacing w:line="216" w:lineRule="auto"/>
        <w:jc w:val="center"/>
        <w:textAlignment w:val="auto"/>
        <w:rPr>
          <w:rFonts w:ascii="Times New Roman" w:hAnsi="Times New Roman"/>
        </w:rPr>
      </w:pPr>
      <w:r>
        <w:rPr>
          <w:rFonts w:ascii="Times New Roman" w:hAnsi="Times New Roman" w:eastAsia="Times New Roman" w:cs="Times New Roman"/>
          <w:color w:val="000000"/>
          <w:sz w:val="24"/>
          <w:szCs w:val="24"/>
          <w:lang w:val="en-US" w:eastAsia="pt-BR"/>
        </w:rPr>
        <w:t>Agente de Contratação</w:t>
      </w:r>
    </w:p>
    <w:p>
      <w:pPr>
        <w:pStyle w:val="173"/>
        <w:keepNext w:val="0"/>
        <w:keepLines w:val="0"/>
        <w:pageBreakBefore w:val="0"/>
        <w:widowControl/>
        <w:overflowPunct/>
        <w:bidi w:val="0"/>
        <w:snapToGrid/>
        <w:spacing w:line="216" w:lineRule="auto"/>
        <w:jc w:val="center"/>
        <w:textAlignment w:val="auto"/>
        <w:rPr>
          <w:rFonts w:ascii="Times New Roman" w:hAnsi="Times New Roman"/>
        </w:rPr>
      </w:pPr>
      <w:r>
        <w:rPr>
          <w:rFonts w:ascii="Times New Roman" w:hAnsi="Times New Roman" w:eastAsia="Times New Roman" w:cs="Times New Roman"/>
          <w:color w:val="000000"/>
          <w:sz w:val="24"/>
          <w:szCs w:val="24"/>
          <w:lang w:eastAsia="pt-BR"/>
        </w:rPr>
        <w:t>Portaria nº 0</w:t>
      </w:r>
      <w:r>
        <w:rPr>
          <w:rFonts w:ascii="Times New Roman" w:hAnsi="Times New Roman" w:eastAsia="Times New Roman" w:cs="Times New Roman"/>
          <w:color w:val="000000"/>
          <w:sz w:val="24"/>
          <w:szCs w:val="24"/>
          <w:lang w:val="en-US" w:eastAsia="pt-BR"/>
        </w:rPr>
        <w:t>77/2024</w:t>
      </w:r>
    </w:p>
    <w:p>
      <w:pPr>
        <w:pStyle w:val="173"/>
        <w:widowControl/>
        <w:overflowPunct/>
        <w:bidi w:val="0"/>
        <w:snapToGrid/>
        <w:spacing w:line="216" w:lineRule="auto"/>
        <w:jc w:val="center"/>
        <w:textAlignment w:val="auto"/>
        <w:rPr>
          <w:rFonts w:ascii="Times New Roman" w:hAnsi="Times New Roman" w:eastAsia="Times New Roman" w:cs="Times New Roman"/>
          <w:color w:val="000000"/>
          <w:sz w:val="24"/>
          <w:szCs w:val="24"/>
          <w:lang w:val="en-US" w:eastAsia="pt-BR"/>
        </w:rPr>
      </w:pPr>
    </w:p>
    <w:p>
      <w:pPr>
        <w:pStyle w:val="173"/>
        <w:keepNext w:val="0"/>
        <w:keepLines w:val="0"/>
        <w:pageBreakBefore w:val="0"/>
        <w:widowControl/>
        <w:overflowPunct/>
        <w:bidi w:val="0"/>
        <w:snapToGrid/>
        <w:spacing w:line="216" w:lineRule="auto"/>
        <w:jc w:val="both"/>
        <w:textAlignment w:val="auto"/>
        <w:rPr>
          <w:rFonts w:ascii="Times New Roman" w:hAnsi="Times New Roman" w:cs="Times New Roman"/>
          <w:color w:val="000000"/>
          <w:sz w:val="24"/>
          <w:szCs w:val="24"/>
        </w:rPr>
      </w:pPr>
    </w:p>
    <w:p>
      <w:pPr>
        <w:pStyle w:val="173"/>
        <w:keepNext w:val="0"/>
        <w:keepLines w:val="0"/>
        <w:pageBreakBefore w:val="0"/>
        <w:widowControl/>
        <w:overflowPunct/>
        <w:bidi w:val="0"/>
        <w:snapToGrid/>
        <w:spacing w:line="216" w:lineRule="auto"/>
        <w:jc w:val="both"/>
        <w:textAlignment w:val="auto"/>
        <w:rPr>
          <w:rFonts w:ascii="Times New Roman" w:hAnsi="Times New Roman" w:cs="Times New Roman"/>
          <w:color w:val="000000"/>
          <w:sz w:val="24"/>
          <w:szCs w:val="24"/>
        </w:rPr>
      </w:pPr>
    </w:p>
    <w:p>
      <w:pPr>
        <w:pStyle w:val="173"/>
        <w:keepNext w:val="0"/>
        <w:keepLines w:val="0"/>
        <w:pageBreakBefore w:val="0"/>
        <w:widowControl/>
        <w:overflowPunct/>
        <w:bidi w:val="0"/>
        <w:snapToGrid/>
        <w:spacing w:line="216" w:lineRule="auto"/>
        <w:jc w:val="both"/>
        <w:textAlignment w:val="auto"/>
        <w:rPr>
          <w:rFonts w:ascii="Times New Roman" w:hAnsi="Times New Roman" w:cs="Times New Roman"/>
          <w:color w:val="000000"/>
          <w:sz w:val="24"/>
          <w:szCs w:val="24"/>
        </w:rPr>
      </w:pPr>
    </w:p>
    <w:p>
      <w:pPr>
        <w:pStyle w:val="173"/>
        <w:widowControl/>
        <w:overflowPunct/>
        <w:bidi w:val="0"/>
        <w:snapToGrid/>
        <w:spacing w:line="216" w:lineRule="auto"/>
        <w:jc w:val="both"/>
        <w:textAlignment w:val="auto"/>
        <w:rPr>
          <w:rFonts w:ascii="Times New Roman" w:hAnsi="Times New Roman" w:cs="Times New Roman"/>
          <w:color w:val="000000"/>
          <w:sz w:val="24"/>
          <w:szCs w:val="24"/>
        </w:rPr>
      </w:pPr>
    </w:p>
    <w:p>
      <w:pPr>
        <w:pStyle w:val="173"/>
        <w:widowControl/>
        <w:overflowPunct/>
        <w:bidi w:val="0"/>
        <w:snapToGrid/>
        <w:spacing w:line="216" w:lineRule="auto"/>
        <w:jc w:val="both"/>
        <w:textAlignment w:val="auto"/>
        <w:rPr>
          <w:rFonts w:ascii="Times New Roman" w:hAnsi="Times New Roman" w:cs="Times New Roman"/>
          <w:color w:val="000000"/>
          <w:sz w:val="24"/>
          <w:szCs w:val="24"/>
        </w:rPr>
      </w:pPr>
    </w:p>
    <w:p>
      <w:pPr>
        <w:pStyle w:val="173"/>
        <w:keepNext w:val="0"/>
        <w:keepLines w:val="0"/>
        <w:pageBreakBefore w:val="0"/>
        <w:widowControl/>
        <w:overflowPunct/>
        <w:bidi w:val="0"/>
        <w:snapToGrid/>
        <w:spacing w:line="216" w:lineRule="auto"/>
        <w:jc w:val="center"/>
        <w:textAlignment w:val="auto"/>
        <w:rPr>
          <w:rFonts w:ascii="Times New Roman" w:hAnsi="Times New Roman"/>
        </w:rPr>
      </w:pPr>
      <w:r>
        <w:rPr>
          <w:rFonts w:ascii="Times New Roman" w:hAnsi="Times New Roman" w:cs="Times New Roman"/>
          <w:b/>
          <w:sz w:val="24"/>
          <w:szCs w:val="24"/>
        </w:rPr>
        <w:t>Valdecir Alventino da Silva</w:t>
      </w:r>
    </w:p>
    <w:p>
      <w:pPr>
        <w:pStyle w:val="173"/>
        <w:keepNext w:val="0"/>
        <w:keepLines w:val="0"/>
        <w:pageBreakBefore w:val="0"/>
        <w:widowControl/>
        <w:overflowPunct/>
        <w:bidi w:val="0"/>
        <w:snapToGrid/>
        <w:spacing w:line="216" w:lineRule="auto"/>
        <w:jc w:val="center"/>
        <w:textAlignment w:val="auto"/>
        <w:rPr>
          <w:rFonts w:ascii="Times New Roman" w:hAnsi="Times New Roman"/>
        </w:rPr>
      </w:pPr>
      <w:r>
        <w:rPr>
          <w:rFonts w:ascii="Times New Roman" w:hAnsi="Times New Roman" w:cs="Times New Roman"/>
          <w:sz w:val="24"/>
          <w:szCs w:val="24"/>
        </w:rPr>
        <w:t>Vereador Presidente</w:t>
      </w:r>
    </w:p>
    <w:p>
      <w:pPr>
        <w:pStyle w:val="173"/>
        <w:widowControl/>
        <w:overflowPunct/>
        <w:bidi w:val="0"/>
        <w:snapToGrid/>
        <w:spacing w:line="216" w:lineRule="auto"/>
        <w:jc w:val="center"/>
        <w:textAlignment w:val="auto"/>
        <w:rPr>
          <w:rFonts w:ascii="Times New Roman" w:hAnsi="Times New Roman" w:eastAsia="Times New Roman" w:cs="Times New Roman"/>
          <w:b/>
          <w:bCs/>
          <w:sz w:val="24"/>
          <w:szCs w:val="24"/>
          <w:highlight w:val="none"/>
          <w:shd w:val="clear" w:fill="auto"/>
          <w:lang w:eastAsia="pt-BR"/>
        </w:rPr>
      </w:pPr>
      <w:bookmarkStart w:id="58" w:name="_ANEXO_I_-"/>
      <w:bookmarkEnd w:id="58"/>
      <w:r>
        <w:br w:type="page"/>
      </w:r>
    </w:p>
    <w:p>
      <w:pPr>
        <w:pStyle w:val="2"/>
        <w:keepNext/>
        <w:numPr>
          <w:ilvl w:val="0"/>
          <w:numId w:val="0"/>
        </w:numPr>
        <w:spacing w:before="0" w:after="120"/>
        <w:ind w:left="0" w:firstLine="0"/>
        <w:jc w:val="center"/>
        <w:rPr>
          <w:rFonts w:hint="default" w:ascii="Times New Roman" w:hAnsi="Times New Roman" w:cs="Times New Roman"/>
          <w:sz w:val="24"/>
          <w:szCs w:val="24"/>
        </w:rPr>
      </w:pPr>
      <w:bookmarkStart w:id="59" w:name="_ANEXO_I_-_1"/>
      <w:bookmarkEnd w:id="59"/>
      <w:bookmarkStart w:id="60" w:name="_Toc149517466"/>
      <w:r>
        <w:rPr>
          <w:rFonts w:hint="default" w:ascii="Times New Roman" w:hAnsi="Times New Roman" w:cs="Times New Roman"/>
          <w:sz w:val="24"/>
          <w:szCs w:val="24"/>
        </w:rPr>
        <w:t xml:space="preserve">ANEXO I - </w:t>
      </w:r>
      <w:bookmarkEnd w:id="60"/>
      <w:r>
        <w:rPr>
          <w:rStyle w:val="128"/>
          <w:rFonts w:hint="default" w:ascii="Times New Roman" w:hAnsi="Times New Roman" w:eastAsia="Times New Roman" w:cs="Times New Roman"/>
          <w:b/>
          <w:sz w:val="24"/>
          <w:szCs w:val="24"/>
          <w:u w:val="single"/>
          <w:lang w:eastAsia="en-US"/>
        </w:rPr>
        <w:t>TERMO DE REFERÊNCIA Nº 20/2024</w:t>
      </w:r>
    </w:p>
    <w:tbl>
      <w:tblPr>
        <w:tblStyle w:val="10"/>
        <w:tblW w:w="9200" w:type="dxa"/>
        <w:tblInd w:w="108" w:type="dxa"/>
        <w:tblLayout w:type="fixed"/>
        <w:tblCellMar>
          <w:top w:w="0" w:type="dxa"/>
          <w:left w:w="108" w:type="dxa"/>
          <w:bottom w:w="0" w:type="dxa"/>
          <w:right w:w="108" w:type="dxa"/>
        </w:tblCellMar>
      </w:tblPr>
      <w:tblGrid>
        <w:gridCol w:w="9200"/>
      </w:tblGrid>
      <w:tr>
        <w:tblPrEx>
          <w:tblCellMar>
            <w:top w:w="0" w:type="dxa"/>
            <w:left w:w="108" w:type="dxa"/>
            <w:bottom w:w="0" w:type="dxa"/>
            <w:right w:w="108" w:type="dxa"/>
          </w:tblCellMar>
        </w:tblPrEx>
        <w:trPr>
          <w:trHeight w:val="518" w:hRule="atLeast"/>
        </w:trPr>
        <w:tc>
          <w:tcPr>
            <w:tcW w:w="9200" w:type="dxa"/>
            <w:tcBorders>
              <w:top w:val="single" w:color="000000" w:sz="4" w:space="0"/>
              <w:left w:val="single" w:color="000000" w:sz="4" w:space="0"/>
              <w:bottom w:val="single" w:color="000000" w:sz="4" w:space="0"/>
              <w:right w:val="single" w:color="000000" w:sz="4" w:space="0"/>
            </w:tcBorders>
            <w:shd w:val="clear" w:color="auto" w:fill="D9D9D9"/>
            <w:noWrap w:val="0"/>
            <w:vAlign w:val="top"/>
          </w:tcPr>
          <w:p>
            <w:pPr>
              <w:jc w:val="center"/>
              <w:rPr>
                <w:rFonts w:hint="default" w:ascii="Times New Roman" w:hAnsi="Times New Roman" w:eastAsia="Times New Roman" w:cs="Times New Roman"/>
                <w:b/>
                <w:sz w:val="24"/>
                <w:szCs w:val="24"/>
                <w:lang w:eastAsia="en-US"/>
              </w:rPr>
            </w:pPr>
            <w:r>
              <w:rPr>
                <w:rStyle w:val="128"/>
                <w:rFonts w:hint="default" w:ascii="Times New Roman" w:hAnsi="Times New Roman" w:eastAsia="Times New Roman" w:cs="Times New Roman"/>
                <w:b/>
                <w:sz w:val="24"/>
                <w:szCs w:val="24"/>
                <w:lang w:eastAsia="en-US"/>
              </w:rPr>
              <w:t>INFORMAÇÕES GERAIS</w:t>
            </w:r>
          </w:p>
          <w:p>
            <w:pPr>
              <w:jc w:val="both"/>
              <w:rPr>
                <w:rFonts w:hint="default" w:ascii="Times New Roman" w:hAnsi="Times New Roman" w:eastAsia="Times New Roman" w:cs="Times New Roman"/>
                <w:b/>
                <w:sz w:val="24"/>
                <w:szCs w:val="24"/>
                <w:lang w:eastAsia="en-US"/>
              </w:rPr>
            </w:pPr>
          </w:p>
        </w:tc>
      </w:tr>
    </w:tbl>
    <w:p>
      <w:pPr>
        <w:spacing w:before="57" w:after="57" w:line="100" w:lineRule="atLeast"/>
        <w:jc w:val="both"/>
        <w:rPr>
          <w:rStyle w:val="128"/>
          <w:rFonts w:hint="default" w:ascii="Times New Roman" w:hAnsi="Times New Roman" w:eastAsia="Times New Roman" w:cs="Times New Roman"/>
          <w:b/>
          <w:sz w:val="24"/>
          <w:szCs w:val="24"/>
          <w:lang w:eastAsia="en-US"/>
        </w:rPr>
      </w:pPr>
      <w:r>
        <w:rPr>
          <w:rStyle w:val="128"/>
          <w:rFonts w:hint="default" w:ascii="Times New Roman" w:hAnsi="Times New Roman" w:eastAsia="Times New Roman" w:cs="Times New Roman"/>
          <w:b/>
          <w:sz w:val="24"/>
          <w:szCs w:val="24"/>
          <w:lang w:eastAsia="en-US"/>
        </w:rPr>
        <w:t xml:space="preserve">Órgão: </w:t>
      </w:r>
      <w:r>
        <w:rPr>
          <w:rStyle w:val="128"/>
          <w:rFonts w:hint="default" w:ascii="Times New Roman" w:hAnsi="Times New Roman" w:eastAsia="Times New Roman" w:cs="Times New Roman"/>
          <w:sz w:val="24"/>
          <w:szCs w:val="24"/>
          <w:lang w:eastAsia="en-US"/>
        </w:rPr>
        <w:t>Câmara Municipal de Primavera do Leste - MT.</w:t>
      </w:r>
    </w:p>
    <w:p>
      <w:pPr>
        <w:spacing w:before="57" w:after="57" w:line="100" w:lineRule="atLeast"/>
        <w:jc w:val="both"/>
        <w:rPr>
          <w:rStyle w:val="128"/>
          <w:rFonts w:hint="default" w:ascii="Times New Roman" w:hAnsi="Times New Roman" w:eastAsia="Times New Roman" w:cs="Times New Roman"/>
          <w:b/>
          <w:sz w:val="24"/>
          <w:szCs w:val="24"/>
          <w:lang w:eastAsia="en-US"/>
        </w:rPr>
      </w:pPr>
      <w:r>
        <w:rPr>
          <w:rStyle w:val="128"/>
          <w:rFonts w:hint="default" w:ascii="Times New Roman" w:hAnsi="Times New Roman" w:eastAsia="Times New Roman" w:cs="Times New Roman"/>
          <w:b/>
          <w:sz w:val="24"/>
          <w:szCs w:val="24"/>
          <w:lang w:eastAsia="en-US"/>
        </w:rPr>
        <w:t>Termo de Referência nº: 020/2024</w:t>
      </w:r>
    </w:p>
    <w:p>
      <w:pPr>
        <w:spacing w:before="57" w:after="57" w:line="100" w:lineRule="atLeast"/>
        <w:jc w:val="both"/>
        <w:rPr>
          <w:rStyle w:val="128"/>
          <w:rFonts w:hint="default" w:ascii="Times New Roman" w:hAnsi="Times New Roman" w:eastAsia="Times New Roman" w:cs="Times New Roman"/>
          <w:b/>
          <w:sz w:val="24"/>
          <w:szCs w:val="24"/>
          <w:lang w:eastAsia="en-US"/>
        </w:rPr>
      </w:pPr>
      <w:r>
        <w:rPr>
          <w:rStyle w:val="128"/>
          <w:rFonts w:hint="default" w:ascii="Times New Roman" w:hAnsi="Times New Roman" w:eastAsia="Times New Roman" w:cs="Times New Roman"/>
          <w:b/>
          <w:sz w:val="24"/>
          <w:szCs w:val="24"/>
          <w:lang w:eastAsia="en-US"/>
        </w:rPr>
        <w:t>Descrição da categoria:</w:t>
      </w:r>
      <w:r>
        <w:rPr>
          <w:rStyle w:val="128"/>
          <w:rFonts w:hint="default" w:ascii="Times New Roman" w:hAnsi="Times New Roman" w:eastAsia="Times New Roman" w:cs="Times New Roman"/>
          <w:sz w:val="24"/>
          <w:szCs w:val="24"/>
          <w:lang w:eastAsia="en-US"/>
        </w:rPr>
        <w:t xml:space="preserve"> Aquisição de Gêneros Alimentícios para atender as Sessões e Eventos da Câmara Municipal de Primavera do Leste-MT.</w:t>
      </w:r>
    </w:p>
    <w:p>
      <w:pPr>
        <w:spacing w:before="57" w:after="57" w:line="100" w:lineRule="atLeast"/>
        <w:jc w:val="both"/>
        <w:rPr>
          <w:rFonts w:hint="default" w:ascii="Times New Roman" w:hAnsi="Times New Roman" w:eastAsia="Times New Roman" w:cs="Times New Roman"/>
          <w:sz w:val="24"/>
          <w:szCs w:val="24"/>
          <w:lang w:eastAsia="en-US"/>
        </w:rPr>
      </w:pPr>
      <w:r>
        <w:rPr>
          <w:rStyle w:val="128"/>
          <w:rFonts w:hint="default" w:ascii="Times New Roman" w:hAnsi="Times New Roman" w:eastAsia="Times New Roman" w:cs="Times New Roman"/>
          <w:b/>
          <w:sz w:val="24"/>
          <w:szCs w:val="24"/>
          <w:lang w:eastAsia="en-US"/>
        </w:rPr>
        <w:t xml:space="preserve">Setor Solicitante: </w:t>
      </w:r>
      <w:r>
        <w:rPr>
          <w:rStyle w:val="128"/>
          <w:rFonts w:hint="default" w:ascii="Times New Roman" w:hAnsi="Times New Roman" w:eastAsia="Times New Roman" w:cs="Times New Roman"/>
          <w:b w:val="0"/>
          <w:bCs w:val="0"/>
          <w:sz w:val="24"/>
          <w:szCs w:val="24"/>
          <w:lang w:eastAsia="en-US"/>
        </w:rPr>
        <w:t>Gabinete da Presidência</w:t>
      </w:r>
      <w:r>
        <w:rPr>
          <w:rStyle w:val="128"/>
          <w:rFonts w:hint="default" w:ascii="Times New Roman" w:hAnsi="Times New Roman" w:eastAsia="Times New Roman" w:cs="Times New Roman"/>
          <w:sz w:val="24"/>
          <w:szCs w:val="24"/>
          <w:lang w:eastAsia="en-US"/>
        </w:rPr>
        <w:t xml:space="preserve"> </w:t>
      </w:r>
    </w:p>
    <w:tbl>
      <w:tblPr>
        <w:tblStyle w:val="10"/>
        <w:tblW w:w="0" w:type="auto"/>
        <w:tblInd w:w="88" w:type="dxa"/>
        <w:tblLayout w:type="fixed"/>
        <w:tblCellMar>
          <w:top w:w="0" w:type="dxa"/>
          <w:left w:w="108" w:type="dxa"/>
          <w:bottom w:w="0" w:type="dxa"/>
          <w:right w:w="108" w:type="dxa"/>
        </w:tblCellMar>
      </w:tblPr>
      <w:tblGrid>
        <w:gridCol w:w="9120"/>
      </w:tblGrid>
      <w:tr>
        <w:tblPrEx>
          <w:tblCellMar>
            <w:top w:w="0" w:type="dxa"/>
            <w:left w:w="108" w:type="dxa"/>
            <w:bottom w:w="0" w:type="dxa"/>
            <w:right w:w="108" w:type="dxa"/>
          </w:tblCellMar>
        </w:tblPrEx>
        <w:trPr>
          <w:trHeight w:val="915" w:hRule="atLeast"/>
        </w:trPr>
        <w:tc>
          <w:tcPr>
            <w:tcW w:w="9120"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jc w:val="center"/>
              <w:rPr>
                <w:rFonts w:hint="default" w:ascii="Times New Roman" w:hAnsi="Times New Roman" w:cs="Times New Roman"/>
                <w:sz w:val="24"/>
                <w:szCs w:val="24"/>
              </w:rPr>
            </w:pPr>
            <w:r>
              <w:rPr>
                <w:rStyle w:val="128"/>
                <w:rFonts w:hint="default" w:ascii="Times New Roman" w:hAnsi="Times New Roman" w:eastAsia="Times New Roman" w:cs="Times New Roman"/>
                <w:b/>
                <w:sz w:val="24"/>
                <w:szCs w:val="24"/>
                <w:lang w:eastAsia="en-US"/>
              </w:rPr>
              <w:t>I – FUNDAMENTAÇÃO MÍNIMA PARA REGISTRO DE PREÇOS PARA FUTURA E EVENTUAL CONTRATAÇÃO</w:t>
            </w:r>
          </w:p>
        </w:tc>
      </w:tr>
    </w:tbl>
    <w:p>
      <w:pPr>
        <w:spacing w:line="276" w:lineRule="auto"/>
        <w:jc w:val="both"/>
        <w:rPr>
          <w:rFonts w:hint="default" w:ascii="Times New Roman" w:hAnsi="Times New Roman" w:eastAsia="Times New Roman" w:cs="Times New Roman"/>
          <w:b/>
          <w:sz w:val="24"/>
          <w:szCs w:val="24"/>
          <w:lang w:eastAsia="en-US"/>
        </w:rPr>
      </w:pPr>
    </w:p>
    <w:p>
      <w:pPr>
        <w:pStyle w:val="178"/>
        <w:numPr>
          <w:ilvl w:val="0"/>
          <w:numId w:val="11"/>
        </w:numPr>
        <w:tabs>
          <w:tab w:val="left" w:pos="284"/>
        </w:tabs>
        <w:spacing w:line="100" w:lineRule="atLeast"/>
        <w:ind w:left="0" w:right="0" w:firstLine="0"/>
        <w:jc w:val="both"/>
        <w:rPr>
          <w:rFonts w:hint="default" w:ascii="Times New Roman" w:hAnsi="Times New Roman" w:cs="Times New Roman"/>
          <w:sz w:val="24"/>
          <w:szCs w:val="24"/>
        </w:rPr>
      </w:pPr>
      <w:r>
        <w:rPr>
          <w:rStyle w:val="128"/>
          <w:rFonts w:hint="default" w:ascii="Times New Roman" w:hAnsi="Times New Roman" w:eastAsia="Times New Roman" w:cs="Times New Roman"/>
          <w:b/>
          <w:sz w:val="24"/>
          <w:szCs w:val="24"/>
          <w:lang w:eastAsia="en-US"/>
        </w:rPr>
        <w:t>OBJETO</w:t>
      </w:r>
      <w:r>
        <w:rPr>
          <w:rStyle w:val="128"/>
          <w:rFonts w:hint="default" w:ascii="Times New Roman" w:hAnsi="Times New Roman" w:eastAsia="Times New Roman" w:cs="Times New Roman"/>
          <w:sz w:val="24"/>
          <w:szCs w:val="24"/>
          <w:lang w:eastAsia="en-US"/>
        </w:rPr>
        <w:t xml:space="preserve">: REGISTRO DE PREÇOS, embasado na lei 14.133/2021, a ser realizado pelo critério de julgamento </w:t>
      </w:r>
      <w:r>
        <w:rPr>
          <w:rStyle w:val="128"/>
          <w:rFonts w:hint="default" w:ascii="Times New Roman" w:hAnsi="Times New Roman" w:eastAsia="Times New Roman" w:cs="Times New Roman"/>
          <w:b/>
          <w:bCs/>
          <w:sz w:val="24"/>
          <w:szCs w:val="24"/>
          <w:lang w:eastAsia="en-US"/>
        </w:rPr>
        <w:t>MENOR PREÇO POR LOTE</w:t>
      </w:r>
      <w:r>
        <w:rPr>
          <w:rStyle w:val="128"/>
          <w:rFonts w:hint="default" w:ascii="Times New Roman" w:hAnsi="Times New Roman" w:eastAsia="Times New Roman" w:cs="Times New Roman"/>
          <w:sz w:val="24"/>
          <w:szCs w:val="24"/>
          <w:lang w:eastAsia="en-US"/>
        </w:rPr>
        <w:t>, para futura e eventual Aquisição de Gêneros Alimentícios, para atender as Sessões Ordinárias, Extraordinárias e Eventos da Câmara Municipal de Primavera do Leste-MT, de acordo com as quantidades, exigências e especificações constantes neste Termo de Referência.</w:t>
      </w:r>
    </w:p>
    <w:p>
      <w:pPr>
        <w:numPr>
          <w:ilvl w:val="1"/>
          <w:numId w:val="11"/>
        </w:numPr>
        <w:tabs>
          <w:tab w:val="left" w:pos="426"/>
        </w:tabs>
        <w:spacing w:line="276" w:lineRule="auto"/>
        <w:ind w:left="0" w:right="0" w:firstLine="0"/>
        <w:rPr>
          <w:rFonts w:hint="default" w:ascii="Times New Roman" w:hAnsi="Times New Roman" w:eastAsia="Times New Roman" w:cs="Times New Roman"/>
          <w:sz w:val="18"/>
          <w:szCs w:val="18"/>
          <w:lang w:eastAsia="en-US"/>
        </w:rPr>
      </w:pPr>
      <w:r>
        <w:rPr>
          <w:rFonts w:hint="default" w:ascii="Times New Roman" w:hAnsi="Times New Roman" w:eastAsia="Times New Roman" w:cs="Times New Roman"/>
          <w:sz w:val="24"/>
          <w:szCs w:val="24"/>
          <w:lang w:eastAsia="en-US"/>
        </w:rPr>
        <w:t>Do item da Categoria:</w:t>
      </w:r>
    </w:p>
    <w:tbl>
      <w:tblPr>
        <w:tblStyle w:val="10"/>
        <w:tblW w:w="9320" w:type="dxa"/>
        <w:tblInd w:w="-323" w:type="dxa"/>
        <w:tblLayout w:type="fixed"/>
        <w:tblCellMar>
          <w:top w:w="0" w:type="dxa"/>
          <w:left w:w="108" w:type="dxa"/>
          <w:bottom w:w="0" w:type="dxa"/>
          <w:right w:w="108" w:type="dxa"/>
        </w:tblCellMar>
      </w:tblPr>
      <w:tblGrid>
        <w:gridCol w:w="633"/>
        <w:gridCol w:w="937"/>
        <w:gridCol w:w="951"/>
        <w:gridCol w:w="798"/>
        <w:gridCol w:w="1052"/>
        <w:gridCol w:w="2155"/>
        <w:gridCol w:w="633"/>
        <w:gridCol w:w="1000"/>
        <w:gridCol w:w="1161"/>
      </w:tblGrid>
      <w:tr>
        <w:tblPrEx>
          <w:tblCellMar>
            <w:top w:w="0" w:type="dxa"/>
            <w:left w:w="108" w:type="dxa"/>
            <w:bottom w:w="0" w:type="dxa"/>
            <w:right w:w="108" w:type="dxa"/>
          </w:tblCellMar>
        </w:tblPrEx>
        <w:trPr>
          <w:trHeight w:val="756" w:hRule="atLeast"/>
        </w:trPr>
        <w:tc>
          <w:tcPr>
            <w:tcW w:w="9320" w:type="dxa"/>
            <w:gridSpan w:val="9"/>
            <w:tcBorders>
              <w:top w:val="single" w:color="000000" w:sz="4" w:space="0"/>
              <w:left w:val="single" w:color="000000" w:sz="4" w:space="0"/>
              <w:bottom w:val="single" w:color="000000" w:sz="4" w:space="0"/>
              <w:right w:val="single" w:color="000000" w:sz="4" w:space="0"/>
            </w:tcBorders>
            <w:shd w:val="clear" w:color="auto" w:fill="BFBFBF"/>
            <w:noWrap w:val="0"/>
            <w:vAlign w:val="top"/>
          </w:tcPr>
          <w:p>
            <w:pPr>
              <w:pStyle w:val="174"/>
              <w:snapToGrid w:val="0"/>
              <w:jc w:val="center"/>
              <w:rPr>
                <w:rFonts w:hint="default" w:ascii="Times New Roman" w:hAnsi="Times New Roman" w:eastAsia="Arial" w:cs="Times New Roman"/>
                <w:b/>
                <w:sz w:val="18"/>
                <w:szCs w:val="18"/>
              </w:rPr>
            </w:pPr>
          </w:p>
          <w:p>
            <w:pPr>
              <w:pStyle w:val="174"/>
              <w:snapToGrid w:val="0"/>
              <w:jc w:val="center"/>
              <w:rPr>
                <w:rFonts w:hint="default" w:ascii="Times New Roman" w:hAnsi="Times New Roman" w:eastAsia="Arial" w:cs="Times New Roman"/>
                <w:b/>
                <w:sz w:val="18"/>
                <w:szCs w:val="18"/>
              </w:rPr>
            </w:pPr>
            <w:r>
              <w:rPr>
                <w:rStyle w:val="128"/>
                <w:rFonts w:hint="default" w:ascii="Times New Roman" w:hAnsi="Times New Roman" w:eastAsia="Arial" w:cs="Times New Roman"/>
                <w:b/>
                <w:sz w:val="18"/>
                <w:szCs w:val="18"/>
              </w:rPr>
              <w:t>03 – DERIVADOS ALIMENTÍCIOS PARA SESSÃO PARLAMENTAR/EVENTOS</w:t>
            </w:r>
          </w:p>
        </w:tc>
      </w:tr>
      <w:tr>
        <w:tblPrEx>
          <w:tblCellMar>
            <w:top w:w="0" w:type="dxa"/>
            <w:left w:w="108" w:type="dxa"/>
            <w:bottom w:w="0" w:type="dxa"/>
            <w:right w:w="108" w:type="dxa"/>
          </w:tblCellMar>
        </w:tblPrEx>
        <w:trPr>
          <w:trHeight w:val="653" w:hRule="atLeast"/>
        </w:trPr>
        <w:tc>
          <w:tcPr>
            <w:tcW w:w="9320" w:type="dxa"/>
            <w:gridSpan w:val="9"/>
            <w:tcBorders>
              <w:left w:val="single" w:color="000000" w:sz="4" w:space="0"/>
              <w:bottom w:val="single" w:color="000000" w:sz="4" w:space="0"/>
              <w:right w:val="single" w:color="000000" w:sz="4" w:space="0"/>
            </w:tcBorders>
            <w:shd w:val="clear" w:color="auto" w:fill="BFBFBF"/>
            <w:noWrap w:val="0"/>
            <w:vAlign w:val="top"/>
          </w:tcPr>
          <w:p>
            <w:pPr>
              <w:pStyle w:val="174"/>
              <w:snapToGrid w:val="0"/>
              <w:jc w:val="center"/>
              <w:rPr>
                <w:rFonts w:hint="default" w:ascii="Times New Roman" w:hAnsi="Times New Roman" w:eastAsia="Arial" w:cs="Times New Roman"/>
                <w:b/>
                <w:sz w:val="18"/>
                <w:szCs w:val="18"/>
              </w:rPr>
            </w:pPr>
          </w:p>
          <w:p>
            <w:pPr>
              <w:pStyle w:val="174"/>
              <w:snapToGrid w:val="0"/>
              <w:jc w:val="center"/>
              <w:rPr>
                <w:rFonts w:hint="default" w:ascii="Times New Roman" w:hAnsi="Times New Roman" w:eastAsia="Arial" w:cs="Times New Roman"/>
                <w:b/>
                <w:sz w:val="18"/>
                <w:szCs w:val="18"/>
              </w:rPr>
            </w:pPr>
            <w:r>
              <w:rPr>
                <w:rFonts w:hint="default" w:ascii="Times New Roman" w:hAnsi="Times New Roman" w:eastAsia="Arial" w:cs="Times New Roman"/>
                <w:b/>
                <w:sz w:val="18"/>
                <w:szCs w:val="18"/>
              </w:rPr>
              <w:t>LOTE 1 - BOLOS</w:t>
            </w:r>
          </w:p>
        </w:tc>
      </w:tr>
      <w:tr>
        <w:tblPrEx>
          <w:tblCellMar>
            <w:top w:w="0" w:type="dxa"/>
            <w:left w:w="108" w:type="dxa"/>
            <w:bottom w:w="0" w:type="dxa"/>
            <w:right w:w="108" w:type="dxa"/>
          </w:tblCellMar>
        </w:tblPrEx>
        <w:trPr>
          <w:trHeight w:val="756" w:hRule="atLeast"/>
        </w:trPr>
        <w:tc>
          <w:tcPr>
            <w:tcW w:w="633" w:type="dxa"/>
            <w:tcBorders>
              <w:top w:val="single" w:color="000000" w:sz="4" w:space="0"/>
              <w:left w:val="single" w:color="000000" w:sz="4" w:space="0"/>
              <w:bottom w:val="single" w:color="000000" w:sz="4" w:space="0"/>
            </w:tcBorders>
            <w:shd w:val="clear" w:color="auto" w:fill="BFBFBF"/>
            <w:noWrap w:val="0"/>
            <w:vAlign w:val="top"/>
          </w:tcPr>
          <w:p>
            <w:pPr>
              <w:pStyle w:val="174"/>
              <w:snapToGrid w:val="0"/>
              <w:jc w:val="center"/>
              <w:rPr>
                <w:rFonts w:hint="default" w:ascii="Times New Roman" w:hAnsi="Times New Roman" w:eastAsia="Arial" w:cs="Times New Roman"/>
                <w:b/>
                <w:bCs/>
                <w:sz w:val="18"/>
                <w:szCs w:val="18"/>
              </w:rPr>
            </w:pPr>
          </w:p>
          <w:p>
            <w:pPr>
              <w:pStyle w:val="174"/>
              <w:jc w:val="center"/>
              <w:rPr>
                <w:rFonts w:hint="default" w:ascii="Times New Roman" w:hAnsi="Times New Roman" w:eastAsia="Arial" w:cs="Times New Roman"/>
                <w:b/>
                <w:sz w:val="18"/>
                <w:szCs w:val="18"/>
              </w:rPr>
            </w:pPr>
            <w:r>
              <w:rPr>
                <w:rFonts w:hint="default" w:ascii="Times New Roman" w:hAnsi="Times New Roman" w:cs="Times New Roman"/>
                <w:b/>
                <w:bCs/>
                <w:sz w:val="18"/>
                <w:szCs w:val="18"/>
              </w:rPr>
              <w:t>ITEM</w:t>
            </w:r>
          </w:p>
        </w:tc>
        <w:tc>
          <w:tcPr>
            <w:tcW w:w="937" w:type="dxa"/>
            <w:tcBorders>
              <w:top w:val="single" w:color="000000" w:sz="4" w:space="0"/>
              <w:left w:val="single" w:color="000000" w:sz="4" w:space="0"/>
              <w:bottom w:val="single" w:color="000000" w:sz="4" w:space="0"/>
              <w:right w:val="single" w:color="000000" w:sz="4" w:space="0"/>
            </w:tcBorders>
            <w:shd w:val="clear" w:color="auto" w:fill="BFBFBF"/>
            <w:noWrap w:val="0"/>
            <w:vAlign w:val="top"/>
          </w:tcPr>
          <w:p>
            <w:pPr>
              <w:pStyle w:val="174"/>
              <w:snapToGrid w:val="0"/>
              <w:jc w:val="center"/>
              <w:rPr>
                <w:rFonts w:hint="default" w:ascii="Times New Roman" w:hAnsi="Times New Roman" w:eastAsia="Arial" w:cs="Times New Roman"/>
                <w:b/>
                <w:sz w:val="18"/>
                <w:szCs w:val="18"/>
              </w:rPr>
            </w:pPr>
          </w:p>
          <w:p>
            <w:pPr>
              <w:pStyle w:val="174"/>
              <w:jc w:val="center"/>
              <w:rPr>
                <w:rStyle w:val="128"/>
                <w:rFonts w:hint="default" w:ascii="Times New Roman" w:hAnsi="Times New Roman" w:eastAsia="Arial" w:cs="Times New Roman"/>
                <w:b/>
                <w:sz w:val="18"/>
                <w:szCs w:val="18"/>
              </w:rPr>
            </w:pPr>
            <w:r>
              <w:rPr>
                <w:rStyle w:val="128"/>
                <w:rFonts w:hint="default" w:ascii="Times New Roman" w:hAnsi="Times New Roman" w:eastAsia="Arial" w:cs="Times New Roman"/>
                <w:b/>
                <w:sz w:val="18"/>
                <w:szCs w:val="18"/>
              </w:rPr>
              <w:t>CÓDIGO TCE-MT</w:t>
            </w:r>
          </w:p>
        </w:tc>
        <w:tc>
          <w:tcPr>
            <w:tcW w:w="951"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pStyle w:val="174"/>
              <w:jc w:val="center"/>
              <w:rPr>
                <w:rStyle w:val="128"/>
                <w:rFonts w:hint="default" w:ascii="Times New Roman" w:hAnsi="Times New Roman" w:eastAsia="Arial" w:cs="Times New Roman"/>
                <w:b/>
                <w:sz w:val="18"/>
                <w:szCs w:val="18"/>
              </w:rPr>
            </w:pPr>
            <w:r>
              <w:rPr>
                <w:rStyle w:val="128"/>
                <w:rFonts w:hint="default" w:ascii="Times New Roman" w:hAnsi="Times New Roman" w:eastAsia="Arial" w:cs="Times New Roman"/>
                <w:b/>
                <w:sz w:val="18"/>
                <w:szCs w:val="18"/>
              </w:rPr>
              <w:t>COD SISTEMA</w:t>
            </w:r>
          </w:p>
        </w:tc>
        <w:tc>
          <w:tcPr>
            <w:tcW w:w="798"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pStyle w:val="174"/>
              <w:jc w:val="center"/>
              <w:rPr>
                <w:rStyle w:val="128"/>
                <w:rFonts w:hint="default" w:ascii="Times New Roman" w:hAnsi="Times New Roman" w:eastAsia="Arial" w:cs="Times New Roman"/>
                <w:b/>
                <w:sz w:val="18"/>
                <w:szCs w:val="18"/>
              </w:rPr>
            </w:pPr>
            <w:r>
              <w:rPr>
                <w:rStyle w:val="128"/>
                <w:rFonts w:hint="default" w:ascii="Times New Roman" w:hAnsi="Times New Roman" w:eastAsia="Arial" w:cs="Times New Roman"/>
                <w:b/>
                <w:sz w:val="18"/>
                <w:szCs w:val="18"/>
              </w:rPr>
              <w:t>UNID.</w:t>
            </w:r>
          </w:p>
        </w:tc>
        <w:tc>
          <w:tcPr>
            <w:tcW w:w="1052"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pStyle w:val="174"/>
              <w:jc w:val="center"/>
              <w:rPr>
                <w:rStyle w:val="128"/>
                <w:rFonts w:hint="default" w:ascii="Times New Roman" w:hAnsi="Times New Roman" w:cs="Times New Roman"/>
                <w:b/>
                <w:sz w:val="18"/>
                <w:szCs w:val="18"/>
              </w:rPr>
            </w:pPr>
            <w:r>
              <w:rPr>
                <w:rStyle w:val="128"/>
                <w:rFonts w:hint="default" w:ascii="Times New Roman" w:hAnsi="Times New Roman" w:eastAsia="Arial" w:cs="Times New Roman"/>
                <w:b/>
                <w:sz w:val="18"/>
                <w:szCs w:val="18"/>
              </w:rPr>
              <w:t>PRODUTO</w:t>
            </w:r>
          </w:p>
        </w:tc>
        <w:tc>
          <w:tcPr>
            <w:tcW w:w="2155"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spacing w:line="100" w:lineRule="atLeast"/>
              <w:jc w:val="center"/>
              <w:rPr>
                <w:rStyle w:val="128"/>
                <w:rFonts w:hint="default" w:ascii="Times New Roman" w:hAnsi="Times New Roman" w:cs="Times New Roman"/>
                <w:b/>
                <w:sz w:val="18"/>
                <w:szCs w:val="18"/>
              </w:rPr>
            </w:pPr>
            <w:r>
              <w:rPr>
                <w:rStyle w:val="128"/>
                <w:rFonts w:hint="default" w:ascii="Times New Roman" w:hAnsi="Times New Roman" w:cs="Times New Roman"/>
                <w:b/>
                <w:sz w:val="18"/>
                <w:szCs w:val="18"/>
              </w:rPr>
              <w:t>DESCRIÇÃO</w:t>
            </w:r>
          </w:p>
        </w:tc>
        <w:tc>
          <w:tcPr>
            <w:tcW w:w="633"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spacing w:line="100" w:lineRule="atLeast"/>
              <w:jc w:val="center"/>
              <w:rPr>
                <w:rStyle w:val="128"/>
                <w:rFonts w:hint="default" w:ascii="Times New Roman" w:hAnsi="Times New Roman" w:eastAsia="Arial" w:cs="Times New Roman"/>
                <w:b/>
                <w:sz w:val="18"/>
                <w:szCs w:val="18"/>
              </w:rPr>
            </w:pPr>
            <w:r>
              <w:rPr>
                <w:rStyle w:val="128"/>
                <w:rFonts w:hint="default" w:ascii="Times New Roman" w:hAnsi="Times New Roman" w:cs="Times New Roman"/>
                <w:b/>
                <w:sz w:val="18"/>
                <w:szCs w:val="18"/>
              </w:rPr>
              <w:t>QTD</w:t>
            </w:r>
          </w:p>
        </w:tc>
        <w:tc>
          <w:tcPr>
            <w:tcW w:w="1000"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pStyle w:val="174"/>
              <w:jc w:val="center"/>
              <w:rPr>
                <w:rStyle w:val="128"/>
                <w:rFonts w:hint="default" w:ascii="Times New Roman" w:hAnsi="Times New Roman" w:eastAsia="Arial" w:cs="Times New Roman"/>
                <w:b/>
                <w:sz w:val="18"/>
                <w:szCs w:val="18"/>
              </w:rPr>
            </w:pPr>
            <w:r>
              <w:rPr>
                <w:rStyle w:val="128"/>
                <w:rFonts w:hint="default" w:ascii="Times New Roman" w:hAnsi="Times New Roman" w:eastAsia="Arial" w:cs="Times New Roman"/>
                <w:b/>
                <w:sz w:val="18"/>
                <w:szCs w:val="18"/>
              </w:rPr>
              <w:t>PREÇO UNIT</w:t>
            </w:r>
          </w:p>
        </w:tc>
        <w:tc>
          <w:tcPr>
            <w:tcW w:w="1161"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pStyle w:val="174"/>
              <w:jc w:val="center"/>
              <w:rPr>
                <w:rFonts w:hint="default" w:ascii="Times New Roman" w:hAnsi="Times New Roman" w:cs="Times New Roman"/>
              </w:rPr>
            </w:pPr>
            <w:r>
              <w:rPr>
                <w:rStyle w:val="128"/>
                <w:rFonts w:hint="default" w:ascii="Times New Roman" w:hAnsi="Times New Roman" w:eastAsia="Arial" w:cs="Times New Roman"/>
                <w:b/>
                <w:sz w:val="18"/>
                <w:szCs w:val="18"/>
              </w:rPr>
              <w:t>PREÇO TOTAL</w:t>
            </w:r>
          </w:p>
        </w:tc>
      </w:tr>
      <w:tr>
        <w:tblPrEx>
          <w:tblCellMar>
            <w:top w:w="0" w:type="dxa"/>
            <w:left w:w="108" w:type="dxa"/>
            <w:bottom w:w="0" w:type="dxa"/>
            <w:right w:w="108" w:type="dxa"/>
          </w:tblCellMar>
        </w:tblPrEx>
        <w:trPr>
          <w:trHeight w:val="607" w:hRule="atLeast"/>
        </w:trPr>
        <w:tc>
          <w:tcPr>
            <w:tcW w:w="633" w:type="dxa"/>
            <w:tcBorders>
              <w:top w:val="single" w:color="000000" w:sz="4" w:space="0"/>
              <w:left w:val="single" w:color="000000" w:sz="4" w:space="0"/>
              <w:bottom w:val="single" w:color="000000" w:sz="4" w:space="0"/>
            </w:tcBorders>
            <w:shd w:val="clear" w:color="auto" w:fill="auto"/>
            <w:noWrap w:val="0"/>
            <w:vAlign w:val="center"/>
          </w:tcPr>
          <w:p>
            <w:pPr>
              <w:pStyle w:val="174"/>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74"/>
              <w:jc w:val="center"/>
              <w:rPr>
                <w:rFonts w:hint="default" w:ascii="Times New Roman" w:hAnsi="Times New Roman" w:cs="Times New Roman"/>
                <w:sz w:val="18"/>
                <w:szCs w:val="18"/>
              </w:rPr>
            </w:pPr>
            <w:r>
              <w:rPr>
                <w:rFonts w:hint="default" w:ascii="Times New Roman" w:hAnsi="Times New Roman" w:cs="Times New Roman"/>
                <w:sz w:val="18"/>
                <w:szCs w:val="18"/>
              </w:rPr>
              <w:t>00060757</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74"/>
              <w:jc w:val="center"/>
              <w:rPr>
                <w:rFonts w:hint="default" w:ascii="Times New Roman" w:hAnsi="Times New Roman" w:cs="Times New Roman"/>
                <w:color w:val="000000"/>
                <w:sz w:val="18"/>
                <w:szCs w:val="18"/>
                <w:lang w:eastAsia="hi-IN"/>
              </w:rPr>
            </w:pPr>
            <w:r>
              <w:rPr>
                <w:rFonts w:hint="default" w:ascii="Times New Roman" w:hAnsi="Times New Roman" w:cs="Times New Roman"/>
                <w:sz w:val="18"/>
                <w:szCs w:val="18"/>
              </w:rPr>
              <w:t>1479</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100" w:lineRule="atLeast"/>
              <w:jc w:val="center"/>
              <w:rPr>
                <w:rFonts w:hint="default" w:ascii="Times New Roman" w:hAnsi="Times New Roman" w:cs="Times New Roman"/>
                <w:sz w:val="18"/>
                <w:szCs w:val="18"/>
              </w:rPr>
            </w:pPr>
            <w:r>
              <w:rPr>
                <w:rFonts w:hint="default" w:ascii="Times New Roman" w:hAnsi="Times New Roman" w:cs="Times New Roman"/>
                <w:color w:val="000000"/>
                <w:sz w:val="18"/>
                <w:szCs w:val="18"/>
                <w:lang w:eastAsia="hi-IN"/>
              </w:rPr>
              <w:t>UN</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100" w:lineRule="atLeast"/>
              <w:jc w:val="center"/>
              <w:rPr>
                <w:rFonts w:hint="default" w:ascii="Times New Roman" w:hAnsi="Times New Roman" w:cs="Times New Roman"/>
                <w:b w:val="0"/>
                <w:i w:val="0"/>
                <w:color w:val="000000"/>
                <w:kern w:val="1"/>
                <w:sz w:val="18"/>
                <w:szCs w:val="18"/>
                <w:lang w:eastAsia="zh-CN"/>
              </w:rPr>
            </w:pPr>
            <w:r>
              <w:rPr>
                <w:rFonts w:hint="default" w:ascii="Times New Roman" w:hAnsi="Times New Roman" w:cs="Times New Roman"/>
                <w:sz w:val="18"/>
                <w:szCs w:val="18"/>
              </w:rPr>
              <w:t>BOLO DE BANANA</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pacing w:line="100" w:lineRule="atLeast"/>
              <w:jc w:val="both"/>
              <w:rPr>
                <w:rFonts w:hint="default" w:ascii="Times New Roman" w:hAnsi="Times New Roman" w:cs="Times New Roman"/>
                <w:color w:val="000000"/>
                <w:sz w:val="18"/>
                <w:szCs w:val="18"/>
                <w:lang w:eastAsia="hi-IN"/>
              </w:rPr>
            </w:pPr>
            <w:r>
              <w:rPr>
                <w:rFonts w:hint="default" w:ascii="Times New Roman" w:hAnsi="Times New Roman" w:cs="Times New Roman"/>
                <w:b w:val="0"/>
                <w:i w:val="0"/>
                <w:color w:val="000000"/>
                <w:kern w:val="1"/>
                <w:sz w:val="18"/>
                <w:szCs w:val="18"/>
                <w:lang w:eastAsia="zh-CN"/>
              </w:rPr>
              <w:t>Bolo de banana com nozes, peso unitário 1,5 Kg</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100" w:lineRule="atLeast"/>
              <w:jc w:val="center"/>
              <w:rPr>
                <w:rFonts w:hint="default" w:ascii="Times New Roman" w:hAnsi="Times New Roman" w:cs="Times New Roman"/>
                <w:color w:val="000000"/>
                <w:sz w:val="18"/>
                <w:szCs w:val="18"/>
                <w:lang w:eastAsia="hi-IN"/>
              </w:rPr>
            </w:pPr>
            <w:r>
              <w:rPr>
                <w:rFonts w:hint="default" w:ascii="Times New Roman" w:hAnsi="Times New Roman" w:cs="Times New Roman"/>
                <w:color w:val="000000"/>
                <w:sz w:val="18"/>
                <w:szCs w:val="18"/>
                <w:lang w:eastAsia="hi-IN"/>
              </w:rPr>
              <w:t>30</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100" w:lineRule="atLeast"/>
              <w:jc w:val="center"/>
              <w:rPr>
                <w:rFonts w:hint="default" w:ascii="Times New Roman" w:hAnsi="Times New Roman" w:cs="Times New Roman"/>
                <w:color w:val="000000"/>
                <w:sz w:val="18"/>
                <w:szCs w:val="18"/>
                <w:lang w:eastAsia="hi-IN"/>
              </w:rPr>
            </w:pPr>
            <w:r>
              <w:rPr>
                <w:rFonts w:hint="default" w:ascii="Times New Roman" w:hAnsi="Times New Roman" w:cs="Times New Roman"/>
                <w:color w:val="000000"/>
                <w:sz w:val="18"/>
                <w:szCs w:val="18"/>
                <w:lang w:eastAsia="hi-IN"/>
              </w:rPr>
              <w:t>R$ 53,97</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100" w:lineRule="atLeast"/>
              <w:jc w:val="center"/>
              <w:rPr>
                <w:rFonts w:hint="default" w:ascii="Times New Roman" w:hAnsi="Times New Roman" w:cs="Times New Roman"/>
              </w:rPr>
            </w:pPr>
            <w:r>
              <w:rPr>
                <w:rFonts w:hint="default" w:ascii="Times New Roman" w:hAnsi="Times New Roman" w:cs="Times New Roman"/>
                <w:color w:val="000000"/>
                <w:sz w:val="18"/>
                <w:szCs w:val="18"/>
                <w:lang w:eastAsia="hi-IN"/>
              </w:rPr>
              <w:t>R$1.619,10</w:t>
            </w:r>
          </w:p>
        </w:tc>
      </w:tr>
      <w:tr>
        <w:tblPrEx>
          <w:tblCellMar>
            <w:top w:w="0" w:type="dxa"/>
            <w:left w:w="108" w:type="dxa"/>
            <w:bottom w:w="0" w:type="dxa"/>
            <w:right w:w="108" w:type="dxa"/>
          </w:tblCellMar>
        </w:tblPrEx>
        <w:trPr>
          <w:trHeight w:val="809" w:hRule="atLeast"/>
        </w:trPr>
        <w:tc>
          <w:tcPr>
            <w:tcW w:w="633" w:type="dxa"/>
            <w:tcBorders>
              <w:left w:val="single" w:color="000000" w:sz="4" w:space="0"/>
              <w:bottom w:val="single" w:color="000000" w:sz="4" w:space="0"/>
            </w:tcBorders>
            <w:shd w:val="clear" w:color="auto" w:fill="auto"/>
            <w:noWrap w:val="0"/>
            <w:vAlign w:val="center"/>
          </w:tcPr>
          <w:p>
            <w:pPr>
              <w:pStyle w:val="174"/>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937" w:type="dxa"/>
            <w:tcBorders>
              <w:left w:val="single" w:color="000000" w:sz="4" w:space="0"/>
              <w:bottom w:val="single" w:color="000000" w:sz="4" w:space="0"/>
              <w:right w:val="single" w:color="000000" w:sz="4" w:space="0"/>
            </w:tcBorders>
            <w:shd w:val="clear" w:color="auto" w:fill="auto"/>
            <w:noWrap w:val="0"/>
            <w:vAlign w:val="center"/>
          </w:tcPr>
          <w:p>
            <w:pPr>
              <w:pStyle w:val="174"/>
              <w:jc w:val="center"/>
              <w:rPr>
                <w:rFonts w:hint="default" w:ascii="Times New Roman" w:hAnsi="Times New Roman" w:cs="Times New Roman"/>
                <w:sz w:val="18"/>
                <w:szCs w:val="18"/>
              </w:rPr>
            </w:pPr>
            <w:r>
              <w:rPr>
                <w:rFonts w:hint="default" w:ascii="Times New Roman" w:hAnsi="Times New Roman" w:cs="Times New Roman"/>
                <w:sz w:val="18"/>
                <w:szCs w:val="18"/>
              </w:rPr>
              <w:t>260908-8</w:t>
            </w:r>
          </w:p>
        </w:tc>
        <w:tc>
          <w:tcPr>
            <w:tcW w:w="951" w:type="dxa"/>
            <w:tcBorders>
              <w:left w:val="single" w:color="000000" w:sz="4" w:space="0"/>
              <w:bottom w:val="single" w:color="000000" w:sz="4" w:space="0"/>
              <w:right w:val="single" w:color="000000" w:sz="4" w:space="0"/>
            </w:tcBorders>
            <w:shd w:val="clear" w:color="auto" w:fill="auto"/>
            <w:noWrap w:val="0"/>
            <w:vAlign w:val="center"/>
          </w:tcPr>
          <w:p>
            <w:pPr>
              <w:pStyle w:val="174"/>
              <w:jc w:val="center"/>
              <w:rPr>
                <w:rFonts w:hint="default" w:ascii="Times New Roman" w:hAnsi="Times New Roman" w:cs="Times New Roman"/>
                <w:color w:val="000000"/>
                <w:sz w:val="18"/>
                <w:szCs w:val="18"/>
                <w:lang w:eastAsia="hi-IN"/>
              </w:rPr>
            </w:pPr>
            <w:r>
              <w:rPr>
                <w:rFonts w:hint="default" w:ascii="Times New Roman" w:hAnsi="Times New Roman" w:cs="Times New Roman"/>
                <w:sz w:val="18"/>
                <w:szCs w:val="18"/>
              </w:rPr>
              <w:t>1480</w:t>
            </w:r>
          </w:p>
        </w:tc>
        <w:tc>
          <w:tcPr>
            <w:tcW w:w="798" w:type="dxa"/>
            <w:tcBorders>
              <w:left w:val="single" w:color="000000" w:sz="4" w:space="0"/>
              <w:bottom w:val="single" w:color="000000" w:sz="4" w:space="0"/>
              <w:right w:val="single" w:color="000000" w:sz="4" w:space="0"/>
            </w:tcBorders>
            <w:shd w:val="clear" w:color="auto" w:fill="auto"/>
            <w:noWrap w:val="0"/>
            <w:vAlign w:val="center"/>
          </w:tcPr>
          <w:p>
            <w:pPr>
              <w:spacing w:line="100" w:lineRule="atLeast"/>
              <w:jc w:val="center"/>
              <w:rPr>
                <w:rFonts w:hint="default" w:ascii="Times New Roman" w:hAnsi="Times New Roman" w:cs="Times New Roman"/>
                <w:sz w:val="18"/>
                <w:szCs w:val="18"/>
              </w:rPr>
            </w:pPr>
            <w:r>
              <w:rPr>
                <w:rFonts w:hint="default" w:ascii="Times New Roman" w:hAnsi="Times New Roman" w:cs="Times New Roman"/>
                <w:color w:val="000000"/>
                <w:sz w:val="18"/>
                <w:szCs w:val="18"/>
                <w:lang w:eastAsia="hi-IN"/>
              </w:rPr>
              <w:t>UN</w:t>
            </w:r>
          </w:p>
        </w:tc>
        <w:tc>
          <w:tcPr>
            <w:tcW w:w="1052" w:type="dxa"/>
            <w:tcBorders>
              <w:left w:val="single" w:color="000000" w:sz="4" w:space="0"/>
              <w:bottom w:val="single" w:color="000000" w:sz="4" w:space="0"/>
              <w:right w:val="single" w:color="000000" w:sz="4" w:space="0"/>
            </w:tcBorders>
            <w:shd w:val="clear" w:color="auto" w:fill="auto"/>
            <w:noWrap w:val="0"/>
            <w:vAlign w:val="center"/>
          </w:tcPr>
          <w:p>
            <w:pPr>
              <w:spacing w:line="100" w:lineRule="atLeast"/>
              <w:jc w:val="center"/>
              <w:rPr>
                <w:rFonts w:hint="default" w:ascii="Times New Roman" w:hAnsi="Times New Roman" w:cs="Times New Roman"/>
                <w:b w:val="0"/>
                <w:i w:val="0"/>
                <w:color w:val="000000"/>
                <w:kern w:val="1"/>
                <w:sz w:val="18"/>
                <w:szCs w:val="18"/>
                <w:lang w:eastAsia="zh-CN"/>
              </w:rPr>
            </w:pPr>
            <w:r>
              <w:rPr>
                <w:rFonts w:hint="default" w:ascii="Times New Roman" w:hAnsi="Times New Roman" w:cs="Times New Roman"/>
                <w:sz w:val="18"/>
                <w:szCs w:val="18"/>
              </w:rPr>
              <w:t>BOLO DE CENOURA</w:t>
            </w:r>
          </w:p>
        </w:tc>
        <w:tc>
          <w:tcPr>
            <w:tcW w:w="2155" w:type="dxa"/>
            <w:tcBorders>
              <w:left w:val="single" w:color="000000" w:sz="4" w:space="0"/>
              <w:bottom w:val="single" w:color="000000" w:sz="4" w:space="0"/>
              <w:right w:val="single" w:color="000000" w:sz="4" w:space="0"/>
            </w:tcBorders>
            <w:shd w:val="clear" w:color="auto" w:fill="auto"/>
            <w:noWrap w:val="0"/>
            <w:vAlign w:val="center"/>
          </w:tcPr>
          <w:p>
            <w:pPr>
              <w:widowControl w:val="0"/>
              <w:spacing w:line="100" w:lineRule="atLeast"/>
              <w:jc w:val="both"/>
              <w:rPr>
                <w:rFonts w:hint="default" w:ascii="Times New Roman" w:hAnsi="Times New Roman" w:cs="Times New Roman"/>
                <w:color w:val="000000"/>
                <w:sz w:val="18"/>
                <w:szCs w:val="18"/>
                <w:lang w:eastAsia="hi-IN"/>
              </w:rPr>
            </w:pPr>
            <w:r>
              <w:rPr>
                <w:rFonts w:hint="default" w:ascii="Times New Roman" w:hAnsi="Times New Roman" w:cs="Times New Roman"/>
                <w:b w:val="0"/>
                <w:i w:val="0"/>
                <w:color w:val="000000"/>
                <w:kern w:val="1"/>
                <w:sz w:val="18"/>
                <w:szCs w:val="18"/>
                <w:lang w:eastAsia="zh-CN"/>
              </w:rPr>
              <w:t>Bolo de cenoura com cobertura de chocolate  peso unitário 1,5kg</w:t>
            </w:r>
          </w:p>
        </w:tc>
        <w:tc>
          <w:tcPr>
            <w:tcW w:w="633" w:type="dxa"/>
            <w:tcBorders>
              <w:left w:val="single" w:color="000000" w:sz="4" w:space="0"/>
              <w:bottom w:val="single" w:color="000000" w:sz="4" w:space="0"/>
              <w:right w:val="single" w:color="000000" w:sz="4" w:space="0"/>
            </w:tcBorders>
            <w:shd w:val="clear" w:color="auto" w:fill="auto"/>
            <w:noWrap w:val="0"/>
            <w:vAlign w:val="center"/>
          </w:tcPr>
          <w:p>
            <w:pPr>
              <w:spacing w:line="100" w:lineRule="atLeast"/>
              <w:jc w:val="center"/>
              <w:rPr>
                <w:rFonts w:hint="default" w:ascii="Times New Roman" w:hAnsi="Times New Roman" w:cs="Times New Roman"/>
                <w:color w:val="000000"/>
                <w:sz w:val="18"/>
                <w:szCs w:val="18"/>
                <w:lang w:eastAsia="hi-IN"/>
              </w:rPr>
            </w:pPr>
            <w:r>
              <w:rPr>
                <w:rFonts w:hint="default" w:ascii="Times New Roman" w:hAnsi="Times New Roman" w:cs="Times New Roman"/>
                <w:color w:val="000000"/>
                <w:sz w:val="18"/>
                <w:szCs w:val="18"/>
                <w:lang w:eastAsia="hi-IN"/>
              </w:rPr>
              <w:t>30</w:t>
            </w:r>
          </w:p>
        </w:tc>
        <w:tc>
          <w:tcPr>
            <w:tcW w:w="1000" w:type="dxa"/>
            <w:tcBorders>
              <w:left w:val="single" w:color="000000" w:sz="4" w:space="0"/>
              <w:bottom w:val="single" w:color="000000" w:sz="4" w:space="0"/>
              <w:right w:val="single" w:color="000000" w:sz="4" w:space="0"/>
            </w:tcBorders>
            <w:shd w:val="clear" w:color="auto" w:fill="auto"/>
            <w:noWrap w:val="0"/>
            <w:vAlign w:val="center"/>
          </w:tcPr>
          <w:p>
            <w:pPr>
              <w:spacing w:line="100" w:lineRule="atLeast"/>
              <w:jc w:val="center"/>
              <w:rPr>
                <w:rFonts w:hint="default" w:ascii="Times New Roman" w:hAnsi="Times New Roman" w:cs="Times New Roman"/>
                <w:color w:val="000000"/>
                <w:sz w:val="18"/>
                <w:szCs w:val="18"/>
                <w:lang w:eastAsia="hi-IN"/>
              </w:rPr>
            </w:pPr>
            <w:r>
              <w:rPr>
                <w:rFonts w:hint="default" w:ascii="Times New Roman" w:hAnsi="Times New Roman" w:cs="Times New Roman"/>
                <w:color w:val="000000"/>
                <w:sz w:val="18"/>
                <w:szCs w:val="18"/>
                <w:lang w:eastAsia="hi-IN"/>
              </w:rPr>
              <w:t>R$54,95</w:t>
            </w:r>
          </w:p>
        </w:tc>
        <w:tc>
          <w:tcPr>
            <w:tcW w:w="1161" w:type="dxa"/>
            <w:tcBorders>
              <w:left w:val="single" w:color="000000" w:sz="4" w:space="0"/>
              <w:bottom w:val="single" w:color="000000" w:sz="4" w:space="0"/>
              <w:right w:val="single" w:color="000000" w:sz="4" w:space="0"/>
            </w:tcBorders>
            <w:shd w:val="clear" w:color="auto" w:fill="auto"/>
            <w:noWrap w:val="0"/>
            <w:vAlign w:val="center"/>
          </w:tcPr>
          <w:p>
            <w:pPr>
              <w:spacing w:line="100" w:lineRule="atLeast"/>
              <w:jc w:val="center"/>
              <w:rPr>
                <w:rFonts w:hint="default" w:ascii="Times New Roman" w:hAnsi="Times New Roman" w:cs="Times New Roman"/>
              </w:rPr>
            </w:pPr>
            <w:r>
              <w:rPr>
                <w:rFonts w:hint="default" w:ascii="Times New Roman" w:hAnsi="Times New Roman" w:cs="Times New Roman"/>
                <w:color w:val="000000"/>
                <w:sz w:val="18"/>
                <w:szCs w:val="18"/>
                <w:lang w:eastAsia="hi-IN"/>
              </w:rPr>
              <w:t>R$1.648,50</w:t>
            </w:r>
          </w:p>
        </w:tc>
      </w:tr>
      <w:tr>
        <w:tblPrEx>
          <w:tblCellMar>
            <w:top w:w="0" w:type="dxa"/>
            <w:left w:w="108" w:type="dxa"/>
            <w:bottom w:w="0" w:type="dxa"/>
            <w:right w:w="108" w:type="dxa"/>
          </w:tblCellMar>
        </w:tblPrEx>
        <w:trPr>
          <w:trHeight w:val="1011" w:hRule="atLeast"/>
        </w:trPr>
        <w:tc>
          <w:tcPr>
            <w:tcW w:w="633" w:type="dxa"/>
            <w:tcBorders>
              <w:left w:val="single" w:color="000000" w:sz="4" w:space="0"/>
              <w:bottom w:val="single" w:color="000000" w:sz="4" w:space="0"/>
            </w:tcBorders>
            <w:shd w:val="clear" w:color="auto" w:fill="auto"/>
            <w:noWrap w:val="0"/>
            <w:vAlign w:val="center"/>
          </w:tcPr>
          <w:p>
            <w:pPr>
              <w:pStyle w:val="174"/>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937" w:type="dxa"/>
            <w:tcBorders>
              <w:left w:val="single" w:color="000000" w:sz="4" w:space="0"/>
              <w:bottom w:val="single" w:color="000000" w:sz="4" w:space="0"/>
              <w:right w:val="single" w:color="000000" w:sz="4" w:space="0"/>
            </w:tcBorders>
            <w:shd w:val="clear" w:color="auto" w:fill="auto"/>
            <w:noWrap w:val="0"/>
            <w:vAlign w:val="center"/>
          </w:tcPr>
          <w:p>
            <w:pPr>
              <w:pStyle w:val="174"/>
              <w:jc w:val="center"/>
              <w:rPr>
                <w:rFonts w:hint="default" w:ascii="Times New Roman" w:hAnsi="Times New Roman" w:cs="Times New Roman"/>
                <w:sz w:val="18"/>
                <w:szCs w:val="18"/>
              </w:rPr>
            </w:pPr>
            <w:r>
              <w:rPr>
                <w:rFonts w:hint="default" w:ascii="Times New Roman" w:hAnsi="Times New Roman" w:cs="Times New Roman"/>
                <w:sz w:val="18"/>
                <w:szCs w:val="18"/>
              </w:rPr>
              <w:t>161725-7</w:t>
            </w:r>
          </w:p>
        </w:tc>
        <w:tc>
          <w:tcPr>
            <w:tcW w:w="951" w:type="dxa"/>
            <w:tcBorders>
              <w:left w:val="single" w:color="000000" w:sz="4" w:space="0"/>
              <w:bottom w:val="single" w:color="000000" w:sz="4" w:space="0"/>
              <w:right w:val="single" w:color="000000" w:sz="4" w:space="0"/>
            </w:tcBorders>
            <w:shd w:val="clear" w:color="auto" w:fill="auto"/>
            <w:noWrap w:val="0"/>
            <w:vAlign w:val="center"/>
          </w:tcPr>
          <w:p>
            <w:pPr>
              <w:pStyle w:val="174"/>
              <w:jc w:val="center"/>
              <w:rPr>
                <w:rFonts w:hint="default" w:ascii="Times New Roman" w:hAnsi="Times New Roman" w:cs="Times New Roman"/>
                <w:color w:val="000000"/>
                <w:sz w:val="18"/>
                <w:szCs w:val="18"/>
                <w:lang w:eastAsia="hi-IN"/>
              </w:rPr>
            </w:pPr>
            <w:r>
              <w:rPr>
                <w:rFonts w:hint="default" w:ascii="Times New Roman" w:hAnsi="Times New Roman" w:cs="Times New Roman"/>
                <w:sz w:val="18"/>
                <w:szCs w:val="18"/>
              </w:rPr>
              <w:t>1481</w:t>
            </w:r>
          </w:p>
        </w:tc>
        <w:tc>
          <w:tcPr>
            <w:tcW w:w="798" w:type="dxa"/>
            <w:tcBorders>
              <w:left w:val="single" w:color="000000" w:sz="4" w:space="0"/>
              <w:bottom w:val="single" w:color="000000" w:sz="4" w:space="0"/>
              <w:right w:val="single" w:color="000000" w:sz="4" w:space="0"/>
            </w:tcBorders>
            <w:shd w:val="clear" w:color="auto" w:fill="auto"/>
            <w:noWrap w:val="0"/>
            <w:vAlign w:val="center"/>
          </w:tcPr>
          <w:p>
            <w:pPr>
              <w:spacing w:line="100" w:lineRule="atLeast"/>
              <w:jc w:val="center"/>
              <w:rPr>
                <w:rFonts w:hint="default" w:ascii="Times New Roman" w:hAnsi="Times New Roman" w:cs="Times New Roman"/>
                <w:sz w:val="18"/>
                <w:szCs w:val="18"/>
              </w:rPr>
            </w:pPr>
            <w:r>
              <w:rPr>
                <w:rFonts w:hint="default" w:ascii="Times New Roman" w:hAnsi="Times New Roman" w:cs="Times New Roman"/>
                <w:color w:val="000000"/>
                <w:sz w:val="18"/>
                <w:szCs w:val="18"/>
                <w:lang w:eastAsia="hi-IN"/>
              </w:rPr>
              <w:t>UN</w:t>
            </w:r>
          </w:p>
        </w:tc>
        <w:tc>
          <w:tcPr>
            <w:tcW w:w="1052" w:type="dxa"/>
            <w:tcBorders>
              <w:left w:val="single" w:color="000000" w:sz="4" w:space="0"/>
              <w:bottom w:val="single" w:color="000000" w:sz="4" w:space="0"/>
              <w:right w:val="single" w:color="000000" w:sz="4" w:space="0"/>
            </w:tcBorders>
            <w:shd w:val="clear" w:color="auto" w:fill="auto"/>
            <w:noWrap w:val="0"/>
            <w:vAlign w:val="center"/>
          </w:tcPr>
          <w:p>
            <w:pPr>
              <w:spacing w:line="100" w:lineRule="atLeast"/>
              <w:jc w:val="center"/>
              <w:rPr>
                <w:rFonts w:hint="default" w:ascii="Times New Roman" w:hAnsi="Times New Roman" w:cs="Times New Roman"/>
                <w:b w:val="0"/>
                <w:i w:val="0"/>
                <w:color w:val="000000"/>
                <w:kern w:val="1"/>
                <w:sz w:val="18"/>
                <w:szCs w:val="18"/>
                <w:lang w:eastAsia="zh-CN"/>
              </w:rPr>
            </w:pPr>
            <w:r>
              <w:rPr>
                <w:rFonts w:hint="default" w:ascii="Times New Roman" w:hAnsi="Times New Roman" w:cs="Times New Roman"/>
                <w:sz w:val="18"/>
                <w:szCs w:val="18"/>
              </w:rPr>
              <w:t>BOLO DE CHOCOLATE</w:t>
            </w:r>
          </w:p>
        </w:tc>
        <w:tc>
          <w:tcPr>
            <w:tcW w:w="2155" w:type="dxa"/>
            <w:tcBorders>
              <w:left w:val="single" w:color="000000" w:sz="4" w:space="0"/>
              <w:bottom w:val="single" w:color="000000" w:sz="4" w:space="0"/>
              <w:right w:val="single" w:color="000000" w:sz="4" w:space="0"/>
            </w:tcBorders>
            <w:shd w:val="clear" w:color="auto" w:fill="auto"/>
            <w:noWrap w:val="0"/>
            <w:vAlign w:val="center"/>
          </w:tcPr>
          <w:p>
            <w:pPr>
              <w:widowControl w:val="0"/>
              <w:spacing w:line="100" w:lineRule="atLeast"/>
              <w:jc w:val="both"/>
              <w:rPr>
                <w:rFonts w:hint="default" w:ascii="Times New Roman" w:hAnsi="Times New Roman" w:cs="Times New Roman"/>
                <w:color w:val="000000"/>
                <w:sz w:val="18"/>
                <w:szCs w:val="18"/>
                <w:lang w:eastAsia="hi-IN"/>
              </w:rPr>
            </w:pPr>
            <w:r>
              <w:rPr>
                <w:rFonts w:hint="default" w:ascii="Times New Roman" w:hAnsi="Times New Roman" w:cs="Times New Roman"/>
                <w:b w:val="0"/>
                <w:i w:val="0"/>
                <w:color w:val="000000"/>
                <w:kern w:val="1"/>
                <w:sz w:val="18"/>
                <w:szCs w:val="18"/>
                <w:lang w:eastAsia="zh-CN"/>
              </w:rPr>
              <w:t>Bolo de chocolate com cobertura de chocolate, ingredientes, peso unitário 1,5 kg.</w:t>
            </w:r>
          </w:p>
        </w:tc>
        <w:tc>
          <w:tcPr>
            <w:tcW w:w="633" w:type="dxa"/>
            <w:tcBorders>
              <w:left w:val="single" w:color="000000" w:sz="4" w:space="0"/>
              <w:bottom w:val="single" w:color="000000" w:sz="4" w:space="0"/>
              <w:right w:val="single" w:color="000000" w:sz="4" w:space="0"/>
            </w:tcBorders>
            <w:shd w:val="clear" w:color="auto" w:fill="auto"/>
            <w:noWrap w:val="0"/>
            <w:vAlign w:val="center"/>
          </w:tcPr>
          <w:p>
            <w:pPr>
              <w:spacing w:line="100" w:lineRule="atLeast"/>
              <w:jc w:val="center"/>
              <w:rPr>
                <w:rFonts w:hint="default" w:ascii="Times New Roman" w:hAnsi="Times New Roman" w:cs="Times New Roman"/>
                <w:color w:val="000000"/>
                <w:sz w:val="18"/>
                <w:szCs w:val="18"/>
                <w:lang w:eastAsia="hi-IN"/>
              </w:rPr>
            </w:pPr>
            <w:r>
              <w:rPr>
                <w:rFonts w:hint="default" w:ascii="Times New Roman" w:hAnsi="Times New Roman" w:cs="Times New Roman"/>
                <w:color w:val="000000"/>
                <w:sz w:val="18"/>
                <w:szCs w:val="18"/>
                <w:lang w:eastAsia="hi-IN"/>
              </w:rPr>
              <w:t>30</w:t>
            </w:r>
          </w:p>
        </w:tc>
        <w:tc>
          <w:tcPr>
            <w:tcW w:w="1000" w:type="dxa"/>
            <w:tcBorders>
              <w:left w:val="single" w:color="000000" w:sz="4" w:space="0"/>
              <w:bottom w:val="single" w:color="000000" w:sz="4" w:space="0"/>
              <w:right w:val="single" w:color="000000" w:sz="4" w:space="0"/>
            </w:tcBorders>
            <w:shd w:val="clear" w:color="auto" w:fill="auto"/>
            <w:noWrap w:val="0"/>
            <w:vAlign w:val="center"/>
          </w:tcPr>
          <w:p>
            <w:pPr>
              <w:spacing w:line="100" w:lineRule="atLeast"/>
              <w:jc w:val="center"/>
              <w:rPr>
                <w:rFonts w:hint="default" w:ascii="Times New Roman" w:hAnsi="Times New Roman" w:cs="Times New Roman"/>
                <w:color w:val="000000"/>
                <w:sz w:val="18"/>
                <w:szCs w:val="18"/>
                <w:lang w:eastAsia="hi-IN"/>
              </w:rPr>
            </w:pPr>
            <w:r>
              <w:rPr>
                <w:rFonts w:hint="default" w:ascii="Times New Roman" w:hAnsi="Times New Roman" w:cs="Times New Roman"/>
                <w:color w:val="000000"/>
                <w:sz w:val="18"/>
                <w:szCs w:val="18"/>
                <w:lang w:eastAsia="hi-IN"/>
              </w:rPr>
              <w:t>R$55,45</w:t>
            </w:r>
          </w:p>
        </w:tc>
        <w:tc>
          <w:tcPr>
            <w:tcW w:w="1161" w:type="dxa"/>
            <w:tcBorders>
              <w:left w:val="single" w:color="000000" w:sz="4" w:space="0"/>
              <w:bottom w:val="single" w:color="000000" w:sz="4" w:space="0"/>
              <w:right w:val="single" w:color="000000" w:sz="4" w:space="0"/>
            </w:tcBorders>
            <w:shd w:val="clear" w:color="auto" w:fill="auto"/>
            <w:noWrap w:val="0"/>
            <w:vAlign w:val="center"/>
          </w:tcPr>
          <w:p>
            <w:pPr>
              <w:spacing w:line="100" w:lineRule="atLeast"/>
              <w:jc w:val="center"/>
              <w:rPr>
                <w:rFonts w:hint="default" w:ascii="Times New Roman" w:hAnsi="Times New Roman" w:cs="Times New Roman"/>
              </w:rPr>
            </w:pPr>
            <w:r>
              <w:rPr>
                <w:rFonts w:hint="default" w:ascii="Times New Roman" w:hAnsi="Times New Roman" w:cs="Times New Roman"/>
                <w:color w:val="000000"/>
                <w:sz w:val="18"/>
                <w:szCs w:val="18"/>
                <w:lang w:eastAsia="hi-IN"/>
              </w:rPr>
              <w:t>R$1.663,50</w:t>
            </w:r>
          </w:p>
        </w:tc>
      </w:tr>
      <w:tr>
        <w:tblPrEx>
          <w:tblCellMar>
            <w:top w:w="0" w:type="dxa"/>
            <w:left w:w="108" w:type="dxa"/>
            <w:bottom w:w="0" w:type="dxa"/>
            <w:right w:w="108" w:type="dxa"/>
          </w:tblCellMar>
        </w:tblPrEx>
        <w:trPr>
          <w:trHeight w:val="607" w:hRule="atLeast"/>
        </w:trPr>
        <w:tc>
          <w:tcPr>
            <w:tcW w:w="633" w:type="dxa"/>
            <w:tcBorders>
              <w:left w:val="single" w:color="000000" w:sz="4" w:space="0"/>
              <w:bottom w:val="single" w:color="000000" w:sz="4" w:space="0"/>
            </w:tcBorders>
            <w:shd w:val="clear" w:color="auto" w:fill="auto"/>
            <w:noWrap w:val="0"/>
            <w:vAlign w:val="center"/>
          </w:tcPr>
          <w:p>
            <w:pPr>
              <w:pStyle w:val="174"/>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937" w:type="dxa"/>
            <w:tcBorders>
              <w:left w:val="single" w:color="000000" w:sz="4" w:space="0"/>
              <w:bottom w:val="single" w:color="000000" w:sz="4" w:space="0"/>
              <w:right w:val="single" w:color="000000" w:sz="4" w:space="0"/>
            </w:tcBorders>
            <w:shd w:val="clear" w:color="auto" w:fill="auto"/>
            <w:noWrap w:val="0"/>
            <w:vAlign w:val="center"/>
          </w:tcPr>
          <w:p>
            <w:pPr>
              <w:pStyle w:val="174"/>
              <w:jc w:val="center"/>
              <w:rPr>
                <w:rFonts w:hint="default" w:ascii="Times New Roman" w:hAnsi="Times New Roman" w:cs="Times New Roman"/>
                <w:sz w:val="18"/>
                <w:szCs w:val="18"/>
              </w:rPr>
            </w:pPr>
            <w:r>
              <w:rPr>
                <w:rFonts w:hint="default" w:ascii="Times New Roman" w:hAnsi="Times New Roman" w:cs="Times New Roman"/>
                <w:sz w:val="18"/>
                <w:szCs w:val="18"/>
              </w:rPr>
              <w:t>0009058</w:t>
            </w:r>
          </w:p>
        </w:tc>
        <w:tc>
          <w:tcPr>
            <w:tcW w:w="951" w:type="dxa"/>
            <w:tcBorders>
              <w:left w:val="single" w:color="000000" w:sz="4" w:space="0"/>
              <w:bottom w:val="single" w:color="000000" w:sz="4" w:space="0"/>
              <w:right w:val="single" w:color="000000" w:sz="4" w:space="0"/>
            </w:tcBorders>
            <w:shd w:val="clear" w:color="auto" w:fill="auto"/>
            <w:noWrap w:val="0"/>
            <w:vAlign w:val="center"/>
          </w:tcPr>
          <w:p>
            <w:pPr>
              <w:pStyle w:val="174"/>
              <w:jc w:val="center"/>
              <w:rPr>
                <w:rFonts w:hint="default" w:ascii="Times New Roman" w:hAnsi="Times New Roman" w:cs="Times New Roman"/>
                <w:color w:val="000000"/>
                <w:sz w:val="18"/>
                <w:szCs w:val="18"/>
                <w:lang w:eastAsia="hi-IN"/>
              </w:rPr>
            </w:pPr>
            <w:r>
              <w:rPr>
                <w:rFonts w:hint="default" w:ascii="Times New Roman" w:hAnsi="Times New Roman" w:cs="Times New Roman"/>
                <w:sz w:val="18"/>
                <w:szCs w:val="18"/>
              </w:rPr>
              <w:t>1482</w:t>
            </w:r>
          </w:p>
        </w:tc>
        <w:tc>
          <w:tcPr>
            <w:tcW w:w="798" w:type="dxa"/>
            <w:tcBorders>
              <w:left w:val="single" w:color="000000" w:sz="4" w:space="0"/>
              <w:bottom w:val="single" w:color="000000" w:sz="4" w:space="0"/>
              <w:right w:val="single" w:color="000000" w:sz="4" w:space="0"/>
            </w:tcBorders>
            <w:shd w:val="clear" w:color="auto" w:fill="auto"/>
            <w:noWrap w:val="0"/>
            <w:vAlign w:val="center"/>
          </w:tcPr>
          <w:p>
            <w:pPr>
              <w:spacing w:line="100" w:lineRule="atLeast"/>
              <w:jc w:val="center"/>
              <w:rPr>
                <w:rFonts w:hint="default" w:ascii="Times New Roman" w:hAnsi="Times New Roman" w:cs="Times New Roman"/>
                <w:sz w:val="18"/>
                <w:szCs w:val="18"/>
              </w:rPr>
            </w:pPr>
            <w:r>
              <w:rPr>
                <w:rFonts w:hint="default" w:ascii="Times New Roman" w:hAnsi="Times New Roman" w:cs="Times New Roman"/>
                <w:color w:val="000000"/>
                <w:sz w:val="18"/>
                <w:szCs w:val="18"/>
                <w:lang w:eastAsia="hi-IN"/>
              </w:rPr>
              <w:t>UN</w:t>
            </w:r>
          </w:p>
        </w:tc>
        <w:tc>
          <w:tcPr>
            <w:tcW w:w="1052" w:type="dxa"/>
            <w:tcBorders>
              <w:left w:val="single" w:color="000000" w:sz="4" w:space="0"/>
              <w:bottom w:val="single" w:color="000000" w:sz="4" w:space="0"/>
              <w:right w:val="single" w:color="000000" w:sz="4" w:space="0"/>
            </w:tcBorders>
            <w:shd w:val="clear" w:color="auto" w:fill="auto"/>
            <w:noWrap w:val="0"/>
            <w:vAlign w:val="center"/>
          </w:tcPr>
          <w:p>
            <w:pPr>
              <w:spacing w:line="100" w:lineRule="atLeast"/>
              <w:jc w:val="center"/>
              <w:rPr>
                <w:rFonts w:hint="default" w:ascii="Times New Roman" w:hAnsi="Times New Roman" w:cs="Times New Roman"/>
                <w:b w:val="0"/>
                <w:i w:val="0"/>
                <w:color w:val="000000"/>
                <w:kern w:val="1"/>
                <w:sz w:val="18"/>
                <w:szCs w:val="18"/>
                <w:lang w:eastAsia="zh-CN"/>
              </w:rPr>
            </w:pPr>
            <w:r>
              <w:rPr>
                <w:rFonts w:hint="default" w:ascii="Times New Roman" w:hAnsi="Times New Roman" w:cs="Times New Roman"/>
                <w:sz w:val="18"/>
                <w:szCs w:val="18"/>
              </w:rPr>
              <w:t>BOLO DE COCO</w:t>
            </w:r>
          </w:p>
        </w:tc>
        <w:tc>
          <w:tcPr>
            <w:tcW w:w="2155" w:type="dxa"/>
            <w:tcBorders>
              <w:left w:val="single" w:color="000000" w:sz="4" w:space="0"/>
              <w:bottom w:val="single" w:color="000000" w:sz="4" w:space="0"/>
              <w:right w:val="single" w:color="000000" w:sz="4" w:space="0"/>
            </w:tcBorders>
            <w:shd w:val="clear" w:color="auto" w:fill="auto"/>
            <w:noWrap w:val="0"/>
            <w:vAlign w:val="center"/>
          </w:tcPr>
          <w:p>
            <w:pPr>
              <w:widowControl w:val="0"/>
              <w:spacing w:line="100" w:lineRule="atLeast"/>
              <w:jc w:val="both"/>
              <w:rPr>
                <w:rFonts w:hint="default" w:ascii="Times New Roman" w:hAnsi="Times New Roman" w:cs="Times New Roman"/>
                <w:color w:val="000000"/>
                <w:sz w:val="18"/>
                <w:szCs w:val="18"/>
                <w:lang w:eastAsia="hi-IN"/>
              </w:rPr>
            </w:pPr>
            <w:r>
              <w:rPr>
                <w:rFonts w:hint="default" w:ascii="Times New Roman" w:hAnsi="Times New Roman" w:cs="Times New Roman"/>
                <w:b w:val="0"/>
                <w:i w:val="0"/>
                <w:color w:val="000000"/>
                <w:kern w:val="1"/>
                <w:sz w:val="18"/>
                <w:szCs w:val="18"/>
                <w:lang w:eastAsia="zh-CN"/>
              </w:rPr>
              <w:t xml:space="preserve">Bolo de coco, peso unitário 1,5Kg </w:t>
            </w:r>
          </w:p>
        </w:tc>
        <w:tc>
          <w:tcPr>
            <w:tcW w:w="633" w:type="dxa"/>
            <w:tcBorders>
              <w:left w:val="single" w:color="000000" w:sz="4" w:space="0"/>
              <w:bottom w:val="single" w:color="000000" w:sz="4" w:space="0"/>
              <w:right w:val="single" w:color="000000" w:sz="4" w:space="0"/>
            </w:tcBorders>
            <w:shd w:val="clear" w:color="auto" w:fill="auto"/>
            <w:noWrap w:val="0"/>
            <w:vAlign w:val="center"/>
          </w:tcPr>
          <w:p>
            <w:pPr>
              <w:spacing w:line="100" w:lineRule="atLeast"/>
              <w:jc w:val="center"/>
              <w:rPr>
                <w:rFonts w:hint="default" w:ascii="Times New Roman" w:hAnsi="Times New Roman" w:cs="Times New Roman"/>
                <w:color w:val="000000"/>
                <w:sz w:val="18"/>
                <w:szCs w:val="18"/>
                <w:lang w:eastAsia="hi-IN"/>
              </w:rPr>
            </w:pPr>
            <w:r>
              <w:rPr>
                <w:rFonts w:hint="default" w:ascii="Times New Roman" w:hAnsi="Times New Roman" w:cs="Times New Roman"/>
                <w:color w:val="000000"/>
                <w:sz w:val="18"/>
                <w:szCs w:val="18"/>
                <w:lang w:eastAsia="hi-IN"/>
              </w:rPr>
              <w:t>30</w:t>
            </w:r>
          </w:p>
        </w:tc>
        <w:tc>
          <w:tcPr>
            <w:tcW w:w="1000" w:type="dxa"/>
            <w:tcBorders>
              <w:left w:val="single" w:color="000000" w:sz="4" w:space="0"/>
              <w:bottom w:val="single" w:color="000000" w:sz="4" w:space="0"/>
              <w:right w:val="single" w:color="000000" w:sz="4" w:space="0"/>
            </w:tcBorders>
            <w:shd w:val="clear" w:color="auto" w:fill="auto"/>
            <w:noWrap w:val="0"/>
            <w:vAlign w:val="center"/>
          </w:tcPr>
          <w:p>
            <w:pPr>
              <w:spacing w:line="100" w:lineRule="atLeast"/>
              <w:jc w:val="center"/>
              <w:rPr>
                <w:rFonts w:hint="default" w:ascii="Times New Roman" w:hAnsi="Times New Roman" w:cs="Times New Roman"/>
                <w:color w:val="000000"/>
                <w:sz w:val="18"/>
                <w:szCs w:val="18"/>
                <w:lang w:eastAsia="hi-IN"/>
              </w:rPr>
            </w:pPr>
            <w:r>
              <w:rPr>
                <w:rFonts w:hint="default" w:ascii="Times New Roman" w:hAnsi="Times New Roman" w:cs="Times New Roman"/>
                <w:color w:val="000000"/>
                <w:sz w:val="18"/>
                <w:szCs w:val="18"/>
                <w:lang w:eastAsia="hi-IN"/>
              </w:rPr>
              <w:t>R$48,70</w:t>
            </w:r>
          </w:p>
        </w:tc>
        <w:tc>
          <w:tcPr>
            <w:tcW w:w="1161" w:type="dxa"/>
            <w:tcBorders>
              <w:left w:val="single" w:color="000000" w:sz="4" w:space="0"/>
              <w:bottom w:val="single" w:color="000000" w:sz="4" w:space="0"/>
              <w:right w:val="single" w:color="000000" w:sz="4" w:space="0"/>
            </w:tcBorders>
            <w:shd w:val="clear" w:color="auto" w:fill="auto"/>
            <w:noWrap w:val="0"/>
            <w:vAlign w:val="center"/>
          </w:tcPr>
          <w:p>
            <w:pPr>
              <w:spacing w:line="100" w:lineRule="atLeast"/>
              <w:jc w:val="center"/>
              <w:rPr>
                <w:rFonts w:hint="default" w:ascii="Times New Roman" w:hAnsi="Times New Roman" w:cs="Times New Roman"/>
              </w:rPr>
            </w:pPr>
            <w:r>
              <w:rPr>
                <w:rFonts w:hint="default" w:ascii="Times New Roman" w:hAnsi="Times New Roman" w:cs="Times New Roman"/>
                <w:color w:val="000000"/>
                <w:sz w:val="18"/>
                <w:szCs w:val="18"/>
                <w:lang w:eastAsia="hi-IN"/>
              </w:rPr>
              <w:t>R$1.461,00</w:t>
            </w:r>
          </w:p>
        </w:tc>
      </w:tr>
      <w:tr>
        <w:tblPrEx>
          <w:tblCellMar>
            <w:top w:w="0" w:type="dxa"/>
            <w:left w:w="108" w:type="dxa"/>
            <w:bottom w:w="0" w:type="dxa"/>
            <w:right w:w="108" w:type="dxa"/>
          </w:tblCellMar>
        </w:tblPrEx>
        <w:trPr>
          <w:trHeight w:val="417" w:hRule="atLeast"/>
        </w:trPr>
        <w:tc>
          <w:tcPr>
            <w:tcW w:w="633" w:type="dxa"/>
            <w:tcBorders>
              <w:left w:val="single" w:color="000000" w:sz="4" w:space="0"/>
              <w:bottom w:val="single" w:color="000000" w:sz="4" w:space="0"/>
            </w:tcBorders>
            <w:shd w:val="clear" w:color="auto" w:fill="auto"/>
            <w:noWrap w:val="0"/>
            <w:vAlign w:val="center"/>
          </w:tcPr>
          <w:p>
            <w:pPr>
              <w:pStyle w:val="174"/>
              <w:jc w:val="center"/>
              <w:rPr>
                <w:rFonts w:hint="default" w:ascii="Times New Roman" w:hAnsi="Times New Roman" w:cs="Times New Roman"/>
                <w:sz w:val="18"/>
                <w:szCs w:val="18"/>
              </w:rPr>
            </w:pPr>
          </w:p>
        </w:tc>
        <w:tc>
          <w:tcPr>
            <w:tcW w:w="7526" w:type="dxa"/>
            <w:gridSpan w:val="7"/>
            <w:tcBorders>
              <w:left w:val="single" w:color="000000" w:sz="4" w:space="0"/>
              <w:bottom w:val="single" w:color="000000" w:sz="4" w:space="0"/>
              <w:right w:val="single" w:color="000000" w:sz="4" w:space="0"/>
            </w:tcBorders>
            <w:shd w:val="clear" w:color="auto" w:fill="auto"/>
            <w:noWrap w:val="0"/>
            <w:vAlign w:val="center"/>
          </w:tcPr>
          <w:p>
            <w:pPr>
              <w:pStyle w:val="174"/>
              <w:jc w:val="center"/>
              <w:rPr>
                <w:rFonts w:hint="default" w:ascii="Times New Roman" w:hAnsi="Times New Roman" w:cs="Times New Roman"/>
                <w:color w:val="000000"/>
                <w:sz w:val="18"/>
                <w:szCs w:val="18"/>
                <w:lang w:eastAsia="hi-IN"/>
              </w:rPr>
            </w:pPr>
            <w:r>
              <w:rPr>
                <w:rFonts w:hint="default" w:ascii="Times New Roman" w:hAnsi="Times New Roman" w:cs="Times New Roman"/>
                <w:b/>
                <w:bCs/>
                <w:sz w:val="18"/>
                <w:szCs w:val="18"/>
              </w:rPr>
              <w:t>VALOR DO LOTE</w:t>
            </w:r>
          </w:p>
        </w:tc>
        <w:tc>
          <w:tcPr>
            <w:tcW w:w="1161" w:type="dxa"/>
            <w:tcBorders>
              <w:left w:val="single" w:color="000000" w:sz="4" w:space="0"/>
              <w:bottom w:val="single" w:color="000000" w:sz="4" w:space="0"/>
              <w:right w:val="single" w:color="000000" w:sz="4" w:space="0"/>
            </w:tcBorders>
            <w:shd w:val="clear" w:color="auto" w:fill="auto"/>
            <w:noWrap w:val="0"/>
            <w:vAlign w:val="center"/>
          </w:tcPr>
          <w:p>
            <w:pPr>
              <w:spacing w:line="100" w:lineRule="atLeast"/>
              <w:jc w:val="center"/>
              <w:rPr>
                <w:rFonts w:hint="default" w:ascii="Times New Roman" w:hAnsi="Times New Roman" w:cs="Times New Roman"/>
              </w:rPr>
            </w:pPr>
            <w:r>
              <w:rPr>
                <w:rFonts w:hint="default" w:ascii="Times New Roman" w:hAnsi="Times New Roman" w:cs="Times New Roman"/>
                <w:color w:val="000000"/>
                <w:sz w:val="18"/>
                <w:szCs w:val="18"/>
                <w:lang w:eastAsia="hi-IN"/>
              </w:rPr>
              <w:t>R$ 6.392,10</w:t>
            </w:r>
          </w:p>
        </w:tc>
      </w:tr>
    </w:tbl>
    <w:p>
      <w:pPr>
        <w:rPr>
          <w:rFonts w:hint="default" w:ascii="Times New Roman" w:hAnsi="Times New Roman" w:cs="Times New Roman"/>
          <w:sz w:val="18"/>
          <w:szCs w:val="18"/>
        </w:rPr>
      </w:pPr>
    </w:p>
    <w:p>
      <w:pPr>
        <w:rPr>
          <w:rFonts w:hint="default" w:ascii="Times New Roman" w:hAnsi="Times New Roman" w:cs="Times New Roman"/>
          <w:sz w:val="18"/>
          <w:szCs w:val="18"/>
        </w:rPr>
      </w:pPr>
    </w:p>
    <w:p>
      <w:pPr>
        <w:rPr>
          <w:rFonts w:hint="default" w:ascii="Times New Roman" w:hAnsi="Times New Roman" w:cs="Times New Roman"/>
          <w:sz w:val="18"/>
          <w:szCs w:val="18"/>
        </w:rPr>
      </w:pPr>
    </w:p>
    <w:p>
      <w:pPr>
        <w:rPr>
          <w:rFonts w:hint="default" w:ascii="Times New Roman" w:hAnsi="Times New Roman" w:cs="Times New Roman"/>
          <w:sz w:val="18"/>
          <w:szCs w:val="18"/>
        </w:rPr>
      </w:pPr>
    </w:p>
    <w:tbl>
      <w:tblPr>
        <w:tblStyle w:val="10"/>
        <w:tblW w:w="9300" w:type="dxa"/>
        <w:tblInd w:w="-323" w:type="dxa"/>
        <w:tblLayout w:type="fixed"/>
        <w:tblCellMar>
          <w:top w:w="0" w:type="dxa"/>
          <w:left w:w="108" w:type="dxa"/>
          <w:bottom w:w="0" w:type="dxa"/>
          <w:right w:w="108" w:type="dxa"/>
        </w:tblCellMar>
      </w:tblPr>
      <w:tblGrid>
        <w:gridCol w:w="632"/>
        <w:gridCol w:w="936"/>
        <w:gridCol w:w="949"/>
        <w:gridCol w:w="797"/>
        <w:gridCol w:w="1050"/>
        <w:gridCol w:w="1969"/>
        <w:gridCol w:w="720"/>
        <w:gridCol w:w="960"/>
        <w:gridCol w:w="1287"/>
      </w:tblGrid>
      <w:tr>
        <w:tblPrEx>
          <w:tblCellMar>
            <w:top w:w="0" w:type="dxa"/>
            <w:left w:w="108" w:type="dxa"/>
            <w:bottom w:w="0" w:type="dxa"/>
            <w:right w:w="108" w:type="dxa"/>
          </w:tblCellMar>
        </w:tblPrEx>
        <w:trPr>
          <w:trHeight w:val="669" w:hRule="atLeast"/>
        </w:trPr>
        <w:tc>
          <w:tcPr>
            <w:tcW w:w="9300" w:type="dxa"/>
            <w:gridSpan w:val="9"/>
            <w:tcBorders>
              <w:top w:val="single" w:color="000000" w:sz="4" w:space="0"/>
              <w:left w:val="single" w:color="000000" w:sz="4" w:space="0"/>
              <w:bottom w:val="single" w:color="000000" w:sz="4" w:space="0"/>
              <w:right w:val="single" w:color="000000" w:sz="4" w:space="0"/>
            </w:tcBorders>
            <w:shd w:val="clear" w:color="auto" w:fill="BFBFBF"/>
            <w:noWrap w:val="0"/>
            <w:vAlign w:val="top"/>
          </w:tcPr>
          <w:p>
            <w:pPr>
              <w:pStyle w:val="174"/>
              <w:snapToGrid w:val="0"/>
              <w:jc w:val="center"/>
              <w:rPr>
                <w:rFonts w:hint="default" w:ascii="Times New Roman" w:hAnsi="Times New Roman" w:eastAsia="Arial" w:cs="Times New Roman"/>
                <w:b/>
                <w:sz w:val="18"/>
                <w:szCs w:val="18"/>
              </w:rPr>
            </w:pPr>
          </w:p>
          <w:p>
            <w:pPr>
              <w:pStyle w:val="174"/>
              <w:snapToGrid w:val="0"/>
              <w:jc w:val="center"/>
              <w:rPr>
                <w:rFonts w:hint="default" w:ascii="Times New Roman" w:hAnsi="Times New Roman" w:eastAsia="Arial" w:cs="Times New Roman"/>
                <w:b/>
                <w:sz w:val="18"/>
                <w:szCs w:val="18"/>
              </w:rPr>
            </w:pPr>
            <w:r>
              <w:rPr>
                <w:rFonts w:hint="default" w:ascii="Times New Roman" w:hAnsi="Times New Roman" w:eastAsia="Arial" w:cs="Times New Roman"/>
                <w:b/>
                <w:sz w:val="18"/>
                <w:szCs w:val="18"/>
              </w:rPr>
              <w:t>LOTE 2 - SALGADOS</w:t>
            </w:r>
          </w:p>
        </w:tc>
      </w:tr>
      <w:tr>
        <w:tblPrEx>
          <w:tblCellMar>
            <w:top w:w="0" w:type="dxa"/>
            <w:left w:w="108" w:type="dxa"/>
            <w:bottom w:w="0" w:type="dxa"/>
            <w:right w:w="108" w:type="dxa"/>
          </w:tblCellMar>
        </w:tblPrEx>
        <w:trPr>
          <w:trHeight w:val="776" w:hRule="atLeast"/>
        </w:trPr>
        <w:tc>
          <w:tcPr>
            <w:tcW w:w="632" w:type="dxa"/>
            <w:tcBorders>
              <w:top w:val="single" w:color="000000" w:sz="4" w:space="0"/>
              <w:left w:val="single" w:color="000000" w:sz="4" w:space="0"/>
              <w:bottom w:val="single" w:color="000000" w:sz="4" w:space="0"/>
            </w:tcBorders>
            <w:shd w:val="clear" w:color="auto" w:fill="BFBFBF"/>
            <w:noWrap w:val="0"/>
            <w:vAlign w:val="top"/>
          </w:tcPr>
          <w:p>
            <w:pPr>
              <w:pStyle w:val="174"/>
              <w:snapToGrid w:val="0"/>
              <w:jc w:val="center"/>
              <w:rPr>
                <w:rFonts w:hint="default" w:ascii="Times New Roman" w:hAnsi="Times New Roman" w:eastAsia="Arial" w:cs="Times New Roman"/>
                <w:b/>
                <w:bCs/>
                <w:sz w:val="18"/>
                <w:szCs w:val="18"/>
              </w:rPr>
            </w:pPr>
          </w:p>
          <w:p>
            <w:pPr>
              <w:pStyle w:val="174"/>
              <w:jc w:val="center"/>
              <w:rPr>
                <w:rFonts w:hint="default" w:ascii="Times New Roman" w:hAnsi="Times New Roman" w:eastAsia="Arial" w:cs="Times New Roman"/>
                <w:b/>
                <w:sz w:val="18"/>
                <w:szCs w:val="18"/>
              </w:rPr>
            </w:pPr>
            <w:r>
              <w:rPr>
                <w:rFonts w:hint="default" w:ascii="Times New Roman" w:hAnsi="Times New Roman" w:cs="Times New Roman"/>
                <w:b/>
                <w:bCs/>
                <w:sz w:val="18"/>
                <w:szCs w:val="18"/>
              </w:rPr>
              <w:t>ITEM</w:t>
            </w:r>
          </w:p>
        </w:tc>
        <w:tc>
          <w:tcPr>
            <w:tcW w:w="936" w:type="dxa"/>
            <w:tcBorders>
              <w:top w:val="single" w:color="000000" w:sz="4" w:space="0"/>
              <w:left w:val="single" w:color="000000" w:sz="4" w:space="0"/>
              <w:bottom w:val="single" w:color="000000" w:sz="4" w:space="0"/>
              <w:right w:val="single" w:color="000000" w:sz="4" w:space="0"/>
            </w:tcBorders>
            <w:shd w:val="clear" w:color="auto" w:fill="BFBFBF"/>
            <w:noWrap w:val="0"/>
            <w:vAlign w:val="top"/>
          </w:tcPr>
          <w:p>
            <w:pPr>
              <w:pStyle w:val="174"/>
              <w:snapToGrid w:val="0"/>
              <w:jc w:val="center"/>
              <w:rPr>
                <w:rFonts w:hint="default" w:ascii="Times New Roman" w:hAnsi="Times New Roman" w:eastAsia="Arial" w:cs="Times New Roman"/>
                <w:b/>
                <w:sz w:val="18"/>
                <w:szCs w:val="18"/>
              </w:rPr>
            </w:pPr>
          </w:p>
          <w:p>
            <w:pPr>
              <w:pStyle w:val="174"/>
              <w:jc w:val="center"/>
              <w:rPr>
                <w:rStyle w:val="128"/>
                <w:rFonts w:hint="default" w:ascii="Times New Roman" w:hAnsi="Times New Roman" w:eastAsia="Arial" w:cs="Times New Roman"/>
                <w:b/>
                <w:sz w:val="18"/>
                <w:szCs w:val="18"/>
              </w:rPr>
            </w:pPr>
            <w:r>
              <w:rPr>
                <w:rStyle w:val="128"/>
                <w:rFonts w:hint="default" w:ascii="Times New Roman" w:hAnsi="Times New Roman" w:eastAsia="Arial" w:cs="Times New Roman"/>
                <w:b/>
                <w:sz w:val="18"/>
                <w:szCs w:val="18"/>
              </w:rPr>
              <w:t>CÓDIGO TCE-MT</w:t>
            </w:r>
          </w:p>
        </w:tc>
        <w:tc>
          <w:tcPr>
            <w:tcW w:w="949"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pStyle w:val="174"/>
              <w:jc w:val="center"/>
              <w:rPr>
                <w:rStyle w:val="128"/>
                <w:rFonts w:hint="default" w:ascii="Times New Roman" w:hAnsi="Times New Roman" w:eastAsia="Arial" w:cs="Times New Roman"/>
                <w:b/>
                <w:sz w:val="18"/>
                <w:szCs w:val="18"/>
              </w:rPr>
            </w:pPr>
            <w:r>
              <w:rPr>
                <w:rStyle w:val="128"/>
                <w:rFonts w:hint="default" w:ascii="Times New Roman" w:hAnsi="Times New Roman" w:eastAsia="Arial" w:cs="Times New Roman"/>
                <w:b/>
                <w:sz w:val="18"/>
                <w:szCs w:val="18"/>
              </w:rPr>
              <w:t>COD SISTEMA</w:t>
            </w:r>
          </w:p>
        </w:tc>
        <w:tc>
          <w:tcPr>
            <w:tcW w:w="797"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pStyle w:val="174"/>
              <w:jc w:val="center"/>
              <w:rPr>
                <w:rStyle w:val="128"/>
                <w:rFonts w:hint="default" w:ascii="Times New Roman" w:hAnsi="Times New Roman" w:eastAsia="Arial" w:cs="Times New Roman"/>
                <w:b/>
                <w:sz w:val="18"/>
                <w:szCs w:val="18"/>
              </w:rPr>
            </w:pPr>
            <w:r>
              <w:rPr>
                <w:rStyle w:val="128"/>
                <w:rFonts w:hint="default" w:ascii="Times New Roman" w:hAnsi="Times New Roman" w:eastAsia="Arial" w:cs="Times New Roman"/>
                <w:b/>
                <w:sz w:val="18"/>
                <w:szCs w:val="18"/>
              </w:rPr>
              <w:t>UNID.</w:t>
            </w:r>
          </w:p>
        </w:tc>
        <w:tc>
          <w:tcPr>
            <w:tcW w:w="1050"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pStyle w:val="174"/>
              <w:jc w:val="center"/>
              <w:rPr>
                <w:rStyle w:val="128"/>
                <w:rFonts w:hint="default" w:ascii="Times New Roman" w:hAnsi="Times New Roman" w:cs="Times New Roman"/>
                <w:b/>
                <w:sz w:val="18"/>
                <w:szCs w:val="18"/>
              </w:rPr>
            </w:pPr>
            <w:r>
              <w:rPr>
                <w:rStyle w:val="128"/>
                <w:rFonts w:hint="default" w:ascii="Times New Roman" w:hAnsi="Times New Roman" w:eastAsia="Arial" w:cs="Times New Roman"/>
                <w:b/>
                <w:sz w:val="18"/>
                <w:szCs w:val="18"/>
              </w:rPr>
              <w:t>PRODUTO</w:t>
            </w:r>
          </w:p>
        </w:tc>
        <w:tc>
          <w:tcPr>
            <w:tcW w:w="1969"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spacing w:line="100" w:lineRule="atLeast"/>
              <w:jc w:val="center"/>
              <w:rPr>
                <w:rStyle w:val="128"/>
                <w:rFonts w:hint="default" w:ascii="Times New Roman" w:hAnsi="Times New Roman" w:cs="Times New Roman"/>
                <w:b/>
                <w:sz w:val="18"/>
                <w:szCs w:val="18"/>
              </w:rPr>
            </w:pPr>
            <w:r>
              <w:rPr>
                <w:rStyle w:val="128"/>
                <w:rFonts w:hint="default" w:ascii="Times New Roman" w:hAnsi="Times New Roman" w:cs="Times New Roman"/>
                <w:b/>
                <w:sz w:val="18"/>
                <w:szCs w:val="18"/>
              </w:rPr>
              <w:t>DESCRIÇÃO</w:t>
            </w:r>
          </w:p>
        </w:tc>
        <w:tc>
          <w:tcPr>
            <w:tcW w:w="720"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spacing w:line="100" w:lineRule="atLeast"/>
              <w:jc w:val="center"/>
              <w:rPr>
                <w:rStyle w:val="128"/>
                <w:rFonts w:hint="default" w:ascii="Times New Roman" w:hAnsi="Times New Roman" w:eastAsia="Arial" w:cs="Times New Roman"/>
                <w:b/>
                <w:sz w:val="18"/>
                <w:szCs w:val="18"/>
              </w:rPr>
            </w:pPr>
            <w:r>
              <w:rPr>
                <w:rStyle w:val="128"/>
                <w:rFonts w:hint="default" w:ascii="Times New Roman" w:hAnsi="Times New Roman" w:cs="Times New Roman"/>
                <w:b/>
                <w:sz w:val="18"/>
                <w:szCs w:val="18"/>
              </w:rPr>
              <w:t>QTD</w:t>
            </w:r>
          </w:p>
        </w:tc>
        <w:tc>
          <w:tcPr>
            <w:tcW w:w="960"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pStyle w:val="174"/>
              <w:jc w:val="center"/>
              <w:rPr>
                <w:rStyle w:val="128"/>
                <w:rFonts w:hint="default" w:ascii="Times New Roman" w:hAnsi="Times New Roman" w:eastAsia="Arial" w:cs="Times New Roman"/>
                <w:b/>
                <w:sz w:val="18"/>
                <w:szCs w:val="18"/>
              </w:rPr>
            </w:pPr>
            <w:r>
              <w:rPr>
                <w:rStyle w:val="128"/>
                <w:rFonts w:hint="default" w:ascii="Times New Roman" w:hAnsi="Times New Roman" w:eastAsia="Arial" w:cs="Times New Roman"/>
                <w:b/>
                <w:sz w:val="18"/>
                <w:szCs w:val="18"/>
              </w:rPr>
              <w:t>PREÇO UNIT</w:t>
            </w:r>
          </w:p>
        </w:tc>
        <w:tc>
          <w:tcPr>
            <w:tcW w:w="1287"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pStyle w:val="174"/>
              <w:jc w:val="center"/>
              <w:rPr>
                <w:rFonts w:hint="default" w:ascii="Times New Roman" w:hAnsi="Times New Roman" w:cs="Times New Roman"/>
              </w:rPr>
            </w:pPr>
            <w:r>
              <w:rPr>
                <w:rStyle w:val="128"/>
                <w:rFonts w:hint="default" w:ascii="Times New Roman" w:hAnsi="Times New Roman" w:eastAsia="Arial" w:cs="Times New Roman"/>
                <w:b/>
                <w:sz w:val="18"/>
                <w:szCs w:val="18"/>
              </w:rPr>
              <w:t>PREÇO TOTAL</w:t>
            </w:r>
          </w:p>
        </w:tc>
      </w:tr>
      <w:tr>
        <w:tblPrEx>
          <w:tblCellMar>
            <w:top w:w="0" w:type="dxa"/>
            <w:left w:w="108" w:type="dxa"/>
            <w:bottom w:w="0" w:type="dxa"/>
            <w:right w:w="108" w:type="dxa"/>
          </w:tblCellMar>
        </w:tblPrEx>
        <w:trPr>
          <w:trHeight w:val="1807" w:hRule="atLeast"/>
        </w:trPr>
        <w:tc>
          <w:tcPr>
            <w:tcW w:w="632" w:type="dxa"/>
            <w:tcBorders>
              <w:top w:val="single" w:color="000000" w:sz="4" w:space="0"/>
              <w:left w:val="single" w:color="000000" w:sz="4" w:space="0"/>
              <w:bottom w:val="single" w:color="000000" w:sz="4" w:space="0"/>
            </w:tcBorders>
            <w:shd w:val="clear" w:color="auto" w:fill="auto"/>
            <w:noWrap w:val="0"/>
            <w:vAlign w:val="center"/>
          </w:tcPr>
          <w:p>
            <w:pPr>
              <w:pStyle w:val="174"/>
              <w:jc w:val="center"/>
              <w:rPr>
                <w:rStyle w:val="128"/>
                <w:rFonts w:hint="default" w:ascii="Times New Roman" w:hAnsi="Times New Roman" w:eastAsia="Arial" w:cs="Times New Roman"/>
                <w:sz w:val="18"/>
                <w:szCs w:val="18"/>
              </w:rPr>
            </w:pPr>
            <w:r>
              <w:rPr>
                <w:rFonts w:hint="default" w:ascii="Times New Roman" w:hAnsi="Times New Roman" w:cs="Times New Roman"/>
                <w:sz w:val="18"/>
                <w:szCs w:val="18"/>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74"/>
              <w:jc w:val="center"/>
              <w:rPr>
                <w:rStyle w:val="128"/>
                <w:rFonts w:hint="default" w:ascii="Times New Roman" w:hAnsi="Times New Roman" w:eastAsia="Arial" w:cs="Times New Roman"/>
                <w:sz w:val="18"/>
                <w:szCs w:val="18"/>
              </w:rPr>
            </w:pPr>
            <w:r>
              <w:rPr>
                <w:rStyle w:val="128"/>
                <w:rFonts w:hint="default" w:ascii="Times New Roman" w:hAnsi="Times New Roman" w:eastAsia="Arial" w:cs="Times New Roman"/>
                <w:sz w:val="18"/>
                <w:szCs w:val="18"/>
              </w:rPr>
              <w:t>0004658</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74"/>
              <w:jc w:val="center"/>
              <w:rPr>
                <w:rFonts w:hint="default" w:ascii="Times New Roman" w:hAnsi="Times New Roman" w:cs="Times New Roman"/>
                <w:color w:val="000000"/>
                <w:sz w:val="18"/>
                <w:szCs w:val="18"/>
                <w:lang w:eastAsia="hi-IN"/>
              </w:rPr>
            </w:pPr>
            <w:r>
              <w:rPr>
                <w:rStyle w:val="128"/>
                <w:rFonts w:hint="default" w:ascii="Times New Roman" w:hAnsi="Times New Roman" w:eastAsia="Arial" w:cs="Times New Roman"/>
                <w:sz w:val="18"/>
                <w:szCs w:val="18"/>
              </w:rPr>
              <w:t>244</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spacing w:line="100" w:lineRule="atLeast"/>
              <w:jc w:val="center"/>
              <w:rPr>
                <w:rFonts w:hint="default" w:ascii="Times New Roman" w:hAnsi="Times New Roman" w:cs="Times New Roman"/>
                <w:color w:val="000000"/>
                <w:sz w:val="18"/>
                <w:szCs w:val="18"/>
                <w:lang w:eastAsia="hi-IN"/>
              </w:rPr>
            </w:pPr>
          </w:p>
          <w:p>
            <w:pPr>
              <w:spacing w:line="100" w:lineRule="atLeast"/>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eastAsia="hi-IN"/>
              </w:rPr>
              <w:t>CENTO</w:t>
            </w:r>
          </w:p>
          <w:p>
            <w:pPr>
              <w:spacing w:line="100" w:lineRule="atLeast"/>
              <w:jc w:val="center"/>
              <w:rPr>
                <w:rFonts w:hint="default" w:ascii="Times New Roman" w:hAnsi="Times New Roman" w:cs="Times New Roman"/>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spacing w:line="100" w:lineRule="atLeast"/>
              <w:jc w:val="center"/>
              <w:rPr>
                <w:rFonts w:hint="default" w:ascii="Times New Roman" w:hAnsi="Times New Roman" w:cs="Times New Roman"/>
                <w:color w:val="000000"/>
                <w:sz w:val="18"/>
                <w:szCs w:val="18"/>
              </w:rPr>
            </w:pPr>
          </w:p>
          <w:p>
            <w:pPr>
              <w:spacing w:line="100" w:lineRule="atLeast"/>
              <w:jc w:val="center"/>
              <w:rPr>
                <w:rFonts w:hint="default" w:ascii="Times New Roman" w:hAnsi="Times New Roman" w:cs="Times New Roman"/>
                <w:sz w:val="18"/>
                <w:szCs w:val="18"/>
              </w:rPr>
            </w:pPr>
            <w:r>
              <w:rPr>
                <w:rStyle w:val="128"/>
                <w:rFonts w:hint="default" w:ascii="Times New Roman" w:hAnsi="Times New Roman" w:cs="Times New Roman"/>
                <w:color w:val="000000"/>
                <w:sz w:val="18"/>
                <w:szCs w:val="18"/>
              </w:rPr>
              <w:t>SALGADO ASSADO</w:t>
            </w:r>
          </w:p>
          <w:p>
            <w:pPr>
              <w:spacing w:line="100" w:lineRule="atLeast"/>
              <w:jc w:val="center"/>
              <w:rPr>
                <w:rFonts w:hint="default" w:ascii="Times New Roman" w:hAnsi="Times New Roman" w:cs="Times New Roman"/>
                <w:sz w:val="18"/>
                <w:szCs w:val="18"/>
              </w:rPr>
            </w:pPr>
          </w:p>
          <w:p>
            <w:pPr>
              <w:spacing w:line="100" w:lineRule="atLeast"/>
              <w:jc w:val="center"/>
              <w:rPr>
                <w:rFonts w:hint="default" w:ascii="Times New Roman" w:hAnsi="Times New Roman" w:cs="Times New Roman"/>
                <w:color w:val="000000"/>
                <w:sz w:val="18"/>
                <w:szCs w:val="18"/>
                <w:shd w:val="clear" w:color="auto" w:fill="FFFF00"/>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pacing w:line="100" w:lineRule="atLeast"/>
              <w:jc w:val="both"/>
              <w:rPr>
                <w:rFonts w:hint="default" w:ascii="Times New Roman" w:hAnsi="Times New Roman" w:cs="Times New Roman"/>
                <w:color w:val="000000"/>
                <w:sz w:val="18"/>
                <w:szCs w:val="18"/>
                <w:lang w:eastAsia="hi-IN"/>
              </w:rPr>
            </w:pPr>
            <w:r>
              <w:rPr>
                <w:rStyle w:val="128"/>
                <w:rFonts w:hint="default" w:ascii="Times New Roman" w:hAnsi="Times New Roman" w:cs="Times New Roman"/>
                <w:b w:val="0"/>
                <w:i w:val="0"/>
                <w:color w:val="000000"/>
                <w:kern w:val="1"/>
                <w:sz w:val="18"/>
                <w:szCs w:val="18"/>
                <w:lang w:eastAsia="zh-CN"/>
              </w:rPr>
              <w:t>Combo de mini salgados assados: Pastel de carne; esfirra de carne; empadinhas de carne e de frango; enroladinho de presunto e de queijo e mini pizza de presunto, queijo e calabresa, croissant de chocolate.</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100" w:lineRule="atLeast"/>
              <w:jc w:val="center"/>
              <w:rPr>
                <w:rFonts w:hint="default" w:ascii="Times New Roman" w:hAnsi="Times New Roman" w:cs="Times New Roman"/>
                <w:color w:val="000000"/>
                <w:sz w:val="18"/>
                <w:szCs w:val="18"/>
                <w:lang w:eastAsia="hi-IN"/>
              </w:rPr>
            </w:pPr>
            <w:r>
              <w:rPr>
                <w:rFonts w:hint="default" w:ascii="Times New Roman" w:hAnsi="Times New Roman" w:cs="Times New Roman"/>
                <w:color w:val="000000"/>
                <w:sz w:val="18"/>
                <w:szCs w:val="18"/>
                <w:lang w:eastAsia="hi-IN"/>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100" w:lineRule="atLeast"/>
              <w:jc w:val="center"/>
              <w:rPr>
                <w:rFonts w:hint="default" w:ascii="Times New Roman" w:hAnsi="Times New Roman" w:cs="Times New Roman"/>
                <w:color w:val="000000"/>
                <w:sz w:val="18"/>
                <w:szCs w:val="18"/>
                <w:lang w:eastAsia="hi-IN"/>
              </w:rPr>
            </w:pPr>
            <w:r>
              <w:rPr>
                <w:rFonts w:hint="default" w:ascii="Times New Roman" w:hAnsi="Times New Roman" w:cs="Times New Roman"/>
                <w:color w:val="000000"/>
                <w:sz w:val="18"/>
                <w:szCs w:val="18"/>
                <w:lang w:eastAsia="hi-IN"/>
              </w:rPr>
              <w:t>R$113,98</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100" w:lineRule="atLeast"/>
              <w:jc w:val="center"/>
              <w:rPr>
                <w:rFonts w:hint="default" w:ascii="Times New Roman" w:hAnsi="Times New Roman" w:cs="Times New Roman"/>
              </w:rPr>
            </w:pPr>
            <w:r>
              <w:rPr>
                <w:rFonts w:hint="default" w:ascii="Times New Roman" w:hAnsi="Times New Roman" w:cs="Times New Roman"/>
                <w:color w:val="000000"/>
                <w:sz w:val="18"/>
                <w:szCs w:val="18"/>
                <w:lang w:eastAsia="hi-IN"/>
              </w:rPr>
              <w:t>R$11.398,00</w:t>
            </w:r>
          </w:p>
        </w:tc>
      </w:tr>
      <w:tr>
        <w:tblPrEx>
          <w:tblCellMar>
            <w:top w:w="0" w:type="dxa"/>
            <w:left w:w="108" w:type="dxa"/>
            <w:bottom w:w="0" w:type="dxa"/>
            <w:right w:w="108" w:type="dxa"/>
          </w:tblCellMar>
        </w:tblPrEx>
        <w:trPr>
          <w:trHeight w:val="2209" w:hRule="atLeast"/>
        </w:trPr>
        <w:tc>
          <w:tcPr>
            <w:tcW w:w="632" w:type="dxa"/>
            <w:tcBorders>
              <w:top w:val="single" w:color="000000" w:sz="4" w:space="0"/>
              <w:left w:val="single" w:color="000000" w:sz="4" w:space="0"/>
              <w:bottom w:val="single" w:color="000000" w:sz="4" w:space="0"/>
            </w:tcBorders>
            <w:shd w:val="clear" w:color="auto" w:fill="auto"/>
            <w:noWrap w:val="0"/>
            <w:vAlign w:val="center"/>
          </w:tcPr>
          <w:p>
            <w:pPr>
              <w:pStyle w:val="174"/>
              <w:jc w:val="center"/>
              <w:rPr>
                <w:rFonts w:hint="default" w:ascii="Times New Roman" w:hAnsi="Times New Roman" w:cs="Times New Roman"/>
                <w:b w:val="0"/>
                <w:bCs w:val="0"/>
                <w:color w:val="000000"/>
                <w:sz w:val="18"/>
                <w:szCs w:val="18"/>
                <w:shd w:val="clear" w:color="auto" w:fill="auto"/>
                <w:lang w:eastAsia="ar-SA"/>
              </w:rPr>
            </w:pPr>
            <w:r>
              <w:rPr>
                <w:rStyle w:val="128"/>
                <w:rFonts w:hint="default" w:ascii="Times New Roman" w:hAnsi="Times New Roman" w:eastAsia="Arial" w:cs="Times New Roman"/>
                <w:sz w:val="18"/>
                <w:szCs w:val="18"/>
                <w:shd w:val="clear" w:color="auto" w:fill="auto"/>
              </w:rPr>
              <w:t>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4"/>
              <w:spacing w:before="200" w:after="0"/>
              <w:ind w:left="0" w:right="0" w:firstLine="0"/>
              <w:jc w:val="center"/>
              <w:rPr>
                <w:rFonts w:hint="default" w:ascii="Times New Roman" w:hAnsi="Times New Roman" w:eastAsia="Arial" w:cs="Times New Roman"/>
                <w:sz w:val="18"/>
                <w:szCs w:val="18"/>
                <w:shd w:val="clear" w:color="auto" w:fill="FFFF00"/>
              </w:rPr>
            </w:pPr>
            <w:r>
              <w:rPr>
                <w:rFonts w:hint="default" w:ascii="Times New Roman" w:hAnsi="Times New Roman" w:cs="Times New Roman"/>
                <w:b w:val="0"/>
                <w:bCs w:val="0"/>
                <w:color w:val="000000"/>
                <w:sz w:val="18"/>
                <w:szCs w:val="18"/>
                <w:shd w:val="clear" w:color="auto" w:fill="auto"/>
                <w:lang w:eastAsia="ar-SA"/>
              </w:rPr>
              <w:t>0000689</w:t>
            </w:r>
          </w:p>
          <w:p>
            <w:pPr>
              <w:pStyle w:val="174"/>
              <w:jc w:val="center"/>
              <w:rPr>
                <w:rFonts w:hint="default" w:ascii="Times New Roman" w:hAnsi="Times New Roman" w:eastAsia="Arial" w:cs="Times New Roman"/>
                <w:sz w:val="18"/>
                <w:szCs w:val="18"/>
                <w:shd w:val="clear" w:color="auto" w:fill="FFFF00"/>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74"/>
              <w:jc w:val="center"/>
              <w:rPr>
                <w:rFonts w:hint="default" w:ascii="Times New Roman" w:hAnsi="Times New Roman" w:cs="Times New Roman"/>
                <w:color w:val="000000"/>
                <w:sz w:val="18"/>
                <w:szCs w:val="18"/>
                <w:lang w:eastAsia="hi-IN"/>
              </w:rPr>
            </w:pPr>
            <w:r>
              <w:rPr>
                <w:rStyle w:val="128"/>
                <w:rFonts w:hint="default" w:ascii="Times New Roman" w:hAnsi="Times New Roman" w:eastAsia="Arial" w:cs="Times New Roman"/>
                <w:sz w:val="18"/>
                <w:szCs w:val="18"/>
                <w:shd w:val="clear" w:color="auto" w:fill="auto"/>
              </w:rPr>
              <w:t>149</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100" w:lineRule="atLeast"/>
              <w:jc w:val="center"/>
              <w:rPr>
                <w:rFonts w:hint="default" w:ascii="Times New Roman" w:hAnsi="Times New Roman" w:cs="Times New Roman"/>
                <w:sz w:val="18"/>
                <w:szCs w:val="18"/>
              </w:rPr>
            </w:pPr>
            <w:r>
              <w:rPr>
                <w:rFonts w:hint="default" w:ascii="Times New Roman" w:hAnsi="Times New Roman" w:cs="Times New Roman"/>
                <w:color w:val="000000"/>
                <w:sz w:val="18"/>
                <w:szCs w:val="18"/>
                <w:lang w:eastAsia="hi-IN"/>
              </w:rPr>
              <w:t>CENTO</w:t>
            </w:r>
          </w:p>
          <w:p>
            <w:pPr>
              <w:spacing w:line="100" w:lineRule="atLeast"/>
              <w:jc w:val="center"/>
              <w:rPr>
                <w:rFonts w:hint="default" w:ascii="Times New Roman" w:hAnsi="Times New Roman" w:cs="Times New Roman"/>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100" w:lineRule="atLeast"/>
              <w:jc w:val="center"/>
              <w:rPr>
                <w:rFonts w:hint="default" w:ascii="Times New Roman" w:hAnsi="Times New Roman" w:cs="Times New Roman"/>
                <w:color w:val="000000"/>
                <w:sz w:val="18"/>
                <w:szCs w:val="18"/>
                <w:shd w:val="clear" w:color="auto" w:fill="FFFF00"/>
              </w:rPr>
            </w:pPr>
            <w:r>
              <w:rPr>
                <w:rFonts w:hint="default" w:ascii="Times New Roman" w:hAnsi="Times New Roman" w:cs="Times New Roman"/>
                <w:color w:val="000000"/>
                <w:sz w:val="18"/>
                <w:szCs w:val="18"/>
                <w:lang w:eastAsia="hi-IN"/>
              </w:rPr>
              <w:t>MINI SALGADO FRITO</w:t>
            </w:r>
          </w:p>
          <w:p>
            <w:pPr>
              <w:spacing w:line="100" w:lineRule="atLeast"/>
              <w:jc w:val="center"/>
              <w:rPr>
                <w:rFonts w:hint="default" w:ascii="Times New Roman" w:hAnsi="Times New Roman" w:cs="Times New Roman"/>
                <w:color w:val="000000"/>
                <w:sz w:val="18"/>
                <w:szCs w:val="18"/>
                <w:shd w:val="clear" w:color="auto" w:fill="FFFF00"/>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pacing w:line="100" w:lineRule="atLeast"/>
              <w:jc w:val="both"/>
              <w:rPr>
                <w:rFonts w:hint="default" w:ascii="Times New Roman" w:hAnsi="Times New Roman" w:cs="Times New Roman"/>
                <w:color w:val="000000"/>
                <w:sz w:val="18"/>
                <w:szCs w:val="18"/>
                <w:lang w:eastAsia="hi-IN"/>
              </w:rPr>
            </w:pPr>
            <w:r>
              <w:rPr>
                <w:rStyle w:val="128"/>
                <w:rFonts w:hint="default" w:ascii="Times New Roman" w:hAnsi="Times New Roman" w:cs="Times New Roman"/>
                <w:b w:val="0"/>
                <w:i w:val="0"/>
                <w:color w:val="000000"/>
                <w:kern w:val="1"/>
                <w:sz w:val="18"/>
                <w:szCs w:val="18"/>
                <w:lang w:eastAsia="zh-CN"/>
              </w:rPr>
              <w:t>Combo de mini salgados fritos: rissoles de carne, de queijo de  presunto; quibe;  pastel de carne, de frango, de presunto e de queijo, bolinha de queijo; e enroladinhos de salsicha, coxinhas de carne e frango, mini espetinho de file de frango</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100" w:lineRule="atLeast"/>
              <w:jc w:val="center"/>
              <w:rPr>
                <w:rFonts w:hint="default" w:ascii="Times New Roman" w:hAnsi="Times New Roman" w:cs="Times New Roman"/>
                <w:color w:val="000000"/>
                <w:sz w:val="18"/>
                <w:szCs w:val="18"/>
                <w:lang w:eastAsia="hi-IN"/>
              </w:rPr>
            </w:pPr>
            <w:r>
              <w:rPr>
                <w:rFonts w:hint="default" w:ascii="Times New Roman" w:hAnsi="Times New Roman" w:cs="Times New Roman"/>
                <w:color w:val="000000"/>
                <w:sz w:val="18"/>
                <w:szCs w:val="18"/>
                <w:lang w:eastAsia="hi-IN"/>
              </w:rPr>
              <w:t>200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100" w:lineRule="atLeast"/>
              <w:jc w:val="center"/>
              <w:rPr>
                <w:rFonts w:hint="default" w:ascii="Times New Roman" w:hAnsi="Times New Roman" w:cs="Times New Roman"/>
                <w:color w:val="000000"/>
                <w:sz w:val="18"/>
                <w:szCs w:val="18"/>
                <w:lang w:eastAsia="hi-IN"/>
              </w:rPr>
            </w:pPr>
            <w:r>
              <w:rPr>
                <w:rFonts w:hint="default" w:ascii="Times New Roman" w:hAnsi="Times New Roman" w:cs="Times New Roman"/>
                <w:color w:val="000000"/>
                <w:sz w:val="18"/>
                <w:szCs w:val="18"/>
                <w:lang w:eastAsia="hi-IN"/>
              </w:rPr>
              <w:t>R$97,48</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100" w:lineRule="atLeast"/>
              <w:jc w:val="center"/>
              <w:rPr>
                <w:rFonts w:hint="default" w:ascii="Times New Roman" w:hAnsi="Times New Roman" w:cs="Times New Roman"/>
              </w:rPr>
            </w:pPr>
            <w:r>
              <w:rPr>
                <w:rFonts w:hint="default" w:ascii="Times New Roman" w:hAnsi="Times New Roman" w:cs="Times New Roman"/>
                <w:color w:val="000000"/>
                <w:sz w:val="18"/>
                <w:szCs w:val="18"/>
                <w:lang w:eastAsia="hi-IN"/>
              </w:rPr>
              <w:t>R$19.496,00</w:t>
            </w:r>
          </w:p>
        </w:tc>
      </w:tr>
      <w:tr>
        <w:tblPrEx>
          <w:tblCellMar>
            <w:top w:w="0" w:type="dxa"/>
            <w:left w:w="108" w:type="dxa"/>
            <w:bottom w:w="0" w:type="dxa"/>
            <w:right w:w="108" w:type="dxa"/>
          </w:tblCellMar>
        </w:tblPrEx>
        <w:trPr>
          <w:trHeight w:val="1593" w:hRule="atLeast"/>
        </w:trPr>
        <w:tc>
          <w:tcPr>
            <w:tcW w:w="632" w:type="dxa"/>
            <w:tcBorders>
              <w:left w:val="single" w:color="000000" w:sz="4" w:space="0"/>
              <w:bottom w:val="single" w:color="000000" w:sz="4" w:space="0"/>
            </w:tcBorders>
            <w:shd w:val="clear" w:color="auto" w:fill="auto"/>
            <w:noWrap w:val="0"/>
            <w:vAlign w:val="center"/>
          </w:tcPr>
          <w:p>
            <w:pPr>
              <w:pStyle w:val="174"/>
              <w:jc w:val="center"/>
              <w:rPr>
                <w:rFonts w:hint="default" w:ascii="Times New Roman" w:hAnsi="Times New Roman" w:cs="Times New Roman"/>
                <w:b w:val="0"/>
                <w:bCs w:val="0"/>
                <w:color w:val="000000"/>
                <w:sz w:val="18"/>
                <w:szCs w:val="18"/>
                <w:shd w:val="clear" w:color="auto" w:fill="auto"/>
                <w:lang w:eastAsia="ar-SA"/>
              </w:rPr>
            </w:pPr>
            <w:r>
              <w:rPr>
                <w:rStyle w:val="128"/>
                <w:rFonts w:hint="default" w:ascii="Times New Roman" w:hAnsi="Times New Roman" w:eastAsia="Arial" w:cs="Times New Roman"/>
                <w:sz w:val="18"/>
                <w:szCs w:val="18"/>
                <w:shd w:val="clear" w:color="auto" w:fill="auto"/>
              </w:rPr>
              <w:t>3</w:t>
            </w:r>
          </w:p>
        </w:tc>
        <w:tc>
          <w:tcPr>
            <w:tcW w:w="936" w:type="dxa"/>
            <w:tcBorders>
              <w:left w:val="single" w:color="000000" w:sz="4" w:space="0"/>
              <w:bottom w:val="single" w:color="000000" w:sz="4" w:space="0"/>
              <w:right w:val="single" w:color="000000" w:sz="4" w:space="0"/>
            </w:tcBorders>
            <w:shd w:val="clear" w:color="auto" w:fill="auto"/>
            <w:noWrap w:val="0"/>
            <w:vAlign w:val="center"/>
          </w:tcPr>
          <w:p>
            <w:pPr>
              <w:pStyle w:val="4"/>
              <w:spacing w:before="200" w:after="0"/>
              <w:ind w:left="0" w:right="0" w:firstLine="0"/>
              <w:jc w:val="center"/>
              <w:rPr>
                <w:rFonts w:hint="default" w:ascii="Times New Roman" w:hAnsi="Times New Roman" w:eastAsia="Arial" w:cs="Times New Roman"/>
                <w:sz w:val="18"/>
                <w:szCs w:val="18"/>
                <w:shd w:val="clear" w:color="auto" w:fill="FFFF00"/>
              </w:rPr>
            </w:pPr>
            <w:r>
              <w:rPr>
                <w:rFonts w:hint="default" w:ascii="Times New Roman" w:hAnsi="Times New Roman" w:cs="Times New Roman"/>
                <w:b w:val="0"/>
                <w:bCs w:val="0"/>
                <w:color w:val="000000"/>
                <w:sz w:val="18"/>
                <w:szCs w:val="18"/>
                <w:shd w:val="clear" w:color="auto" w:fill="auto"/>
                <w:lang w:eastAsia="ar-SA"/>
              </w:rPr>
              <w:t>00035494</w:t>
            </w:r>
          </w:p>
          <w:p>
            <w:pPr>
              <w:pStyle w:val="174"/>
              <w:jc w:val="center"/>
              <w:rPr>
                <w:rFonts w:hint="default" w:ascii="Times New Roman" w:hAnsi="Times New Roman" w:eastAsia="Arial" w:cs="Times New Roman"/>
                <w:sz w:val="18"/>
                <w:szCs w:val="18"/>
                <w:shd w:val="clear" w:color="auto" w:fill="FFFF00"/>
              </w:rPr>
            </w:pPr>
          </w:p>
        </w:tc>
        <w:tc>
          <w:tcPr>
            <w:tcW w:w="949" w:type="dxa"/>
            <w:tcBorders>
              <w:left w:val="single" w:color="000000" w:sz="4" w:space="0"/>
              <w:bottom w:val="single" w:color="000000" w:sz="4" w:space="0"/>
              <w:right w:val="single" w:color="000000" w:sz="4" w:space="0"/>
            </w:tcBorders>
            <w:shd w:val="clear" w:color="auto" w:fill="auto"/>
            <w:noWrap w:val="0"/>
            <w:vAlign w:val="center"/>
          </w:tcPr>
          <w:p>
            <w:pPr>
              <w:pStyle w:val="174"/>
              <w:jc w:val="center"/>
              <w:rPr>
                <w:rFonts w:hint="default" w:ascii="Times New Roman" w:hAnsi="Times New Roman" w:cs="Times New Roman"/>
                <w:sz w:val="18"/>
                <w:szCs w:val="18"/>
                <w:lang w:eastAsia="hi-IN"/>
              </w:rPr>
            </w:pPr>
            <w:r>
              <w:rPr>
                <w:rFonts w:hint="default" w:ascii="Times New Roman" w:hAnsi="Times New Roman" w:eastAsia="Arial" w:cs="Times New Roman"/>
                <w:sz w:val="18"/>
                <w:szCs w:val="18"/>
                <w:shd w:val="clear" w:color="auto" w:fill="auto"/>
              </w:rPr>
              <w:t>1478</w:t>
            </w:r>
          </w:p>
        </w:tc>
        <w:tc>
          <w:tcPr>
            <w:tcW w:w="797" w:type="dxa"/>
            <w:tcBorders>
              <w:left w:val="single" w:color="000000" w:sz="4" w:space="0"/>
              <w:bottom w:val="single" w:color="000000" w:sz="4" w:space="0"/>
              <w:right w:val="single" w:color="000000" w:sz="4" w:space="0"/>
            </w:tcBorders>
            <w:shd w:val="clear" w:color="auto" w:fill="auto"/>
            <w:noWrap w:val="0"/>
            <w:vAlign w:val="center"/>
          </w:tcPr>
          <w:p>
            <w:pPr>
              <w:spacing w:line="100" w:lineRule="atLeast"/>
              <w:jc w:val="center"/>
              <w:rPr>
                <w:rFonts w:hint="default" w:ascii="Times New Roman" w:hAnsi="Times New Roman" w:cs="Times New Roman"/>
                <w:sz w:val="18"/>
                <w:szCs w:val="18"/>
              </w:rPr>
            </w:pPr>
            <w:r>
              <w:rPr>
                <w:rFonts w:hint="default" w:ascii="Times New Roman" w:hAnsi="Times New Roman" w:cs="Times New Roman"/>
                <w:sz w:val="18"/>
                <w:szCs w:val="18"/>
                <w:lang w:eastAsia="hi-IN"/>
              </w:rPr>
              <w:t>KG</w:t>
            </w:r>
          </w:p>
        </w:tc>
        <w:tc>
          <w:tcPr>
            <w:tcW w:w="1050" w:type="dxa"/>
            <w:tcBorders>
              <w:left w:val="single" w:color="000000" w:sz="4" w:space="0"/>
              <w:bottom w:val="single" w:color="000000" w:sz="4" w:space="0"/>
              <w:right w:val="single" w:color="000000" w:sz="4" w:space="0"/>
            </w:tcBorders>
            <w:shd w:val="clear" w:color="auto" w:fill="auto"/>
            <w:noWrap w:val="0"/>
            <w:vAlign w:val="center"/>
          </w:tcPr>
          <w:p>
            <w:pPr>
              <w:snapToGrid w:val="0"/>
              <w:spacing w:line="100" w:lineRule="atLeast"/>
              <w:jc w:val="center"/>
              <w:rPr>
                <w:rFonts w:hint="default" w:ascii="Times New Roman" w:hAnsi="Times New Roman" w:cs="Times New Roman"/>
                <w:sz w:val="18"/>
                <w:szCs w:val="18"/>
              </w:rPr>
            </w:pPr>
          </w:p>
          <w:p>
            <w:pPr>
              <w:spacing w:line="100" w:lineRule="atLeast"/>
              <w:jc w:val="center"/>
              <w:rPr>
                <w:rFonts w:hint="default" w:ascii="Times New Roman" w:hAnsi="Times New Roman" w:cs="Times New Roman"/>
                <w:sz w:val="18"/>
                <w:szCs w:val="18"/>
              </w:rPr>
            </w:pPr>
            <w:r>
              <w:rPr>
                <w:rStyle w:val="128"/>
                <w:rFonts w:hint="default" w:ascii="Times New Roman" w:hAnsi="Times New Roman" w:cs="Times New Roman"/>
                <w:sz w:val="18"/>
                <w:szCs w:val="18"/>
                <w:lang w:eastAsia="hi-IN"/>
              </w:rPr>
              <w:t>MINI SANDUÍCHE</w:t>
            </w:r>
          </w:p>
          <w:p>
            <w:pPr>
              <w:spacing w:line="100" w:lineRule="atLeast"/>
              <w:jc w:val="center"/>
              <w:rPr>
                <w:rFonts w:hint="default" w:ascii="Times New Roman" w:hAnsi="Times New Roman" w:cs="Times New Roman"/>
                <w:sz w:val="18"/>
                <w:szCs w:val="18"/>
              </w:rPr>
            </w:pPr>
          </w:p>
        </w:tc>
        <w:tc>
          <w:tcPr>
            <w:tcW w:w="1969" w:type="dxa"/>
            <w:tcBorders>
              <w:left w:val="single" w:color="000000" w:sz="4" w:space="0"/>
              <w:bottom w:val="single" w:color="000000" w:sz="4" w:space="0"/>
              <w:right w:val="single" w:color="000000" w:sz="4" w:space="0"/>
            </w:tcBorders>
            <w:shd w:val="clear" w:color="auto" w:fill="auto"/>
            <w:noWrap w:val="0"/>
            <w:vAlign w:val="center"/>
          </w:tcPr>
          <w:p>
            <w:pPr>
              <w:widowControl w:val="0"/>
              <w:jc w:val="both"/>
              <w:rPr>
                <w:rStyle w:val="128"/>
                <w:rFonts w:hint="default" w:ascii="Times New Roman" w:hAnsi="Times New Roman" w:cs="Times New Roman"/>
                <w:sz w:val="18"/>
                <w:szCs w:val="18"/>
              </w:rPr>
            </w:pPr>
            <w:r>
              <w:rPr>
                <w:rFonts w:hint="default" w:ascii="Times New Roman" w:hAnsi="Times New Roman" w:cs="Times New Roman"/>
                <w:b w:val="0"/>
                <w:i w:val="0"/>
                <w:color w:val="000000"/>
                <w:kern w:val="1"/>
                <w:sz w:val="18"/>
                <w:szCs w:val="18"/>
                <w:lang w:eastAsia="zh-CN"/>
              </w:rPr>
              <w:t>Mini sanduíches, sabor de  frango e de presunto, de queijo e de atum.</w:t>
            </w:r>
          </w:p>
        </w:tc>
        <w:tc>
          <w:tcPr>
            <w:tcW w:w="720" w:type="dxa"/>
            <w:tcBorders>
              <w:left w:val="single" w:color="000000" w:sz="4" w:space="0"/>
              <w:bottom w:val="single" w:color="000000" w:sz="4" w:space="0"/>
              <w:right w:val="single" w:color="000000" w:sz="4" w:space="0"/>
            </w:tcBorders>
            <w:shd w:val="clear" w:color="auto" w:fill="auto"/>
            <w:noWrap w:val="0"/>
            <w:vAlign w:val="center"/>
          </w:tcPr>
          <w:p>
            <w:pPr>
              <w:spacing w:line="100" w:lineRule="atLeast"/>
              <w:jc w:val="center"/>
              <w:rPr>
                <w:rFonts w:hint="default" w:ascii="Times New Roman" w:hAnsi="Times New Roman" w:cs="Times New Roman"/>
                <w:color w:val="000000"/>
                <w:sz w:val="18"/>
                <w:szCs w:val="18"/>
                <w:lang w:eastAsia="hi-IN"/>
              </w:rPr>
            </w:pPr>
            <w:r>
              <w:rPr>
                <w:rStyle w:val="128"/>
                <w:rFonts w:hint="default" w:ascii="Times New Roman" w:hAnsi="Times New Roman" w:cs="Times New Roman"/>
                <w:sz w:val="18"/>
                <w:szCs w:val="18"/>
              </w:rPr>
              <w:t>70</w:t>
            </w:r>
          </w:p>
        </w:tc>
        <w:tc>
          <w:tcPr>
            <w:tcW w:w="960" w:type="dxa"/>
            <w:tcBorders>
              <w:left w:val="single" w:color="000000" w:sz="4" w:space="0"/>
              <w:bottom w:val="single" w:color="000000" w:sz="4" w:space="0"/>
              <w:right w:val="single" w:color="000000" w:sz="4" w:space="0"/>
            </w:tcBorders>
            <w:shd w:val="clear" w:color="auto" w:fill="auto"/>
            <w:noWrap w:val="0"/>
            <w:vAlign w:val="center"/>
          </w:tcPr>
          <w:p>
            <w:pPr>
              <w:spacing w:line="100" w:lineRule="atLeast"/>
              <w:jc w:val="center"/>
              <w:rPr>
                <w:rFonts w:hint="default" w:ascii="Times New Roman" w:hAnsi="Times New Roman" w:cs="Times New Roman"/>
                <w:color w:val="000000"/>
                <w:sz w:val="18"/>
                <w:szCs w:val="18"/>
                <w:lang w:eastAsia="hi-IN"/>
              </w:rPr>
            </w:pPr>
            <w:r>
              <w:rPr>
                <w:rFonts w:hint="default" w:ascii="Times New Roman" w:hAnsi="Times New Roman" w:cs="Times New Roman"/>
                <w:color w:val="000000"/>
                <w:sz w:val="18"/>
                <w:szCs w:val="18"/>
                <w:lang w:eastAsia="hi-IN"/>
              </w:rPr>
              <w:t>R$ 55,52</w:t>
            </w:r>
          </w:p>
        </w:tc>
        <w:tc>
          <w:tcPr>
            <w:tcW w:w="1287" w:type="dxa"/>
            <w:tcBorders>
              <w:left w:val="single" w:color="000000" w:sz="4" w:space="0"/>
              <w:bottom w:val="single" w:color="000000" w:sz="4" w:space="0"/>
              <w:right w:val="single" w:color="000000" w:sz="4" w:space="0"/>
            </w:tcBorders>
            <w:shd w:val="clear" w:color="auto" w:fill="auto"/>
            <w:noWrap w:val="0"/>
            <w:vAlign w:val="center"/>
          </w:tcPr>
          <w:p>
            <w:pPr>
              <w:spacing w:line="100" w:lineRule="atLeast"/>
              <w:jc w:val="center"/>
              <w:rPr>
                <w:rFonts w:hint="default" w:ascii="Times New Roman" w:hAnsi="Times New Roman" w:cs="Times New Roman"/>
              </w:rPr>
            </w:pPr>
            <w:r>
              <w:rPr>
                <w:rFonts w:hint="default" w:ascii="Times New Roman" w:hAnsi="Times New Roman" w:cs="Times New Roman"/>
                <w:color w:val="000000"/>
                <w:sz w:val="18"/>
                <w:szCs w:val="18"/>
                <w:lang w:eastAsia="hi-IN"/>
              </w:rPr>
              <w:t xml:space="preserve">R$3.886,40 </w:t>
            </w:r>
          </w:p>
        </w:tc>
      </w:tr>
      <w:tr>
        <w:tblPrEx>
          <w:tblCellMar>
            <w:top w:w="0" w:type="dxa"/>
            <w:left w:w="108" w:type="dxa"/>
            <w:bottom w:w="0" w:type="dxa"/>
            <w:right w:w="108" w:type="dxa"/>
          </w:tblCellMar>
        </w:tblPrEx>
        <w:trPr>
          <w:trHeight w:val="413" w:hRule="atLeast"/>
        </w:trPr>
        <w:tc>
          <w:tcPr>
            <w:tcW w:w="632" w:type="dxa"/>
            <w:tcBorders>
              <w:left w:val="single" w:color="000000" w:sz="4" w:space="0"/>
              <w:bottom w:val="single" w:color="000000" w:sz="4" w:space="0"/>
            </w:tcBorders>
            <w:shd w:val="clear" w:color="auto" w:fill="auto"/>
            <w:noWrap w:val="0"/>
            <w:vAlign w:val="center"/>
          </w:tcPr>
          <w:p>
            <w:pPr>
              <w:pStyle w:val="174"/>
              <w:jc w:val="center"/>
              <w:rPr>
                <w:rFonts w:hint="default" w:ascii="Times New Roman" w:hAnsi="Times New Roman" w:cs="Times New Roman"/>
              </w:rPr>
            </w:pPr>
          </w:p>
        </w:tc>
        <w:tc>
          <w:tcPr>
            <w:tcW w:w="7381" w:type="dxa"/>
            <w:gridSpan w:val="7"/>
            <w:tcBorders>
              <w:left w:val="single" w:color="000000" w:sz="4" w:space="0"/>
              <w:bottom w:val="single" w:color="000000" w:sz="4" w:space="0"/>
              <w:right w:val="single" w:color="000000" w:sz="4" w:space="0"/>
            </w:tcBorders>
            <w:shd w:val="clear" w:color="auto" w:fill="auto"/>
            <w:noWrap w:val="0"/>
            <w:vAlign w:val="center"/>
          </w:tcPr>
          <w:p>
            <w:pPr>
              <w:pStyle w:val="4"/>
              <w:spacing w:before="200" w:after="0"/>
              <w:ind w:left="0" w:right="0" w:firstLine="0"/>
              <w:jc w:val="center"/>
              <w:rPr>
                <w:rFonts w:hint="default" w:ascii="Times New Roman" w:hAnsi="Times New Roman" w:cs="Times New Roman"/>
                <w:color w:val="000000"/>
                <w:sz w:val="18"/>
                <w:szCs w:val="18"/>
                <w:lang w:eastAsia="hi-IN"/>
              </w:rPr>
            </w:pPr>
            <w:r>
              <w:rPr>
                <w:rFonts w:hint="default" w:ascii="Times New Roman" w:hAnsi="Times New Roman" w:cs="Times New Roman"/>
                <w:b/>
                <w:bCs/>
                <w:color w:val="000000"/>
                <w:sz w:val="18"/>
                <w:szCs w:val="18"/>
                <w:shd w:val="clear" w:color="auto" w:fill="auto"/>
                <w:lang w:eastAsia="ar-SA"/>
              </w:rPr>
              <w:t>VALOR DO LOTE</w:t>
            </w:r>
          </w:p>
        </w:tc>
        <w:tc>
          <w:tcPr>
            <w:tcW w:w="1287" w:type="dxa"/>
            <w:tcBorders>
              <w:left w:val="single" w:color="000000" w:sz="4" w:space="0"/>
              <w:bottom w:val="single" w:color="000000" w:sz="4" w:space="0"/>
              <w:right w:val="single" w:color="000000" w:sz="4" w:space="0"/>
            </w:tcBorders>
            <w:shd w:val="clear" w:color="auto" w:fill="auto"/>
            <w:noWrap w:val="0"/>
            <w:vAlign w:val="center"/>
          </w:tcPr>
          <w:p>
            <w:pPr>
              <w:spacing w:line="100" w:lineRule="atLeast"/>
              <w:jc w:val="center"/>
              <w:rPr>
                <w:rFonts w:hint="default" w:ascii="Times New Roman" w:hAnsi="Times New Roman" w:cs="Times New Roman"/>
              </w:rPr>
            </w:pPr>
            <w:r>
              <w:rPr>
                <w:rFonts w:hint="default" w:ascii="Times New Roman" w:hAnsi="Times New Roman" w:cs="Times New Roman"/>
                <w:color w:val="000000"/>
                <w:sz w:val="18"/>
                <w:szCs w:val="18"/>
                <w:lang w:eastAsia="hi-IN"/>
              </w:rPr>
              <w:t>R$ 34.780,40</w:t>
            </w:r>
          </w:p>
        </w:tc>
      </w:tr>
    </w:tbl>
    <w:p>
      <w:pPr>
        <w:spacing w:line="276" w:lineRule="auto"/>
        <w:jc w:val="both"/>
        <w:rPr>
          <w:rFonts w:hint="default" w:ascii="Times New Roman" w:hAnsi="Times New Roman" w:eastAsia="Times New Roman" w:cs="Times New Roman"/>
          <w:b/>
          <w:sz w:val="24"/>
          <w:szCs w:val="24"/>
          <w:lang w:eastAsia="en-US"/>
        </w:rPr>
      </w:pPr>
      <w:r>
        <w:rPr>
          <w:rFonts w:hint="default" w:ascii="Times New Roman" w:hAnsi="Times New Roman" w:eastAsia="Times New Roman" w:cs="Times New Roman"/>
          <w:b/>
          <w:sz w:val="18"/>
          <w:szCs w:val="18"/>
          <w:lang w:eastAsia="en-US"/>
        </w:rPr>
        <w:t xml:space="preserve"> </w:t>
      </w:r>
    </w:p>
    <w:p>
      <w:pPr>
        <w:numPr>
          <w:ilvl w:val="0"/>
          <w:numId w:val="11"/>
        </w:numPr>
        <w:tabs>
          <w:tab w:val="left" w:pos="284"/>
        </w:tabs>
        <w:spacing w:line="240" w:lineRule="auto"/>
        <w:ind w:left="0" w:right="0" w:firstLine="27"/>
        <w:jc w:val="both"/>
        <w:rPr>
          <w:rStyle w:val="128"/>
          <w:rFonts w:hint="default" w:ascii="Times New Roman" w:hAnsi="Times New Roman" w:eastAsia="Times New Roman" w:cs="Times New Roman"/>
          <w:sz w:val="24"/>
          <w:szCs w:val="24"/>
          <w:lang w:eastAsia="en-US"/>
        </w:rPr>
      </w:pPr>
      <w:r>
        <w:rPr>
          <w:rFonts w:hint="default" w:ascii="Times New Roman" w:hAnsi="Times New Roman" w:eastAsia="Times New Roman" w:cs="Times New Roman"/>
          <w:b/>
          <w:sz w:val="24"/>
          <w:szCs w:val="24"/>
          <w:lang w:eastAsia="en-US"/>
        </w:rPr>
        <w:t>Do valor estimado:</w:t>
      </w:r>
    </w:p>
    <w:p>
      <w:pPr>
        <w:numPr>
          <w:ilvl w:val="1"/>
          <w:numId w:val="11"/>
        </w:numPr>
        <w:tabs>
          <w:tab w:val="left" w:pos="426"/>
        </w:tabs>
        <w:spacing w:line="240" w:lineRule="auto"/>
        <w:ind w:left="0" w:right="0" w:firstLine="0"/>
        <w:jc w:val="both"/>
        <w:rPr>
          <w:rFonts w:hint="default" w:ascii="Times New Roman" w:hAnsi="Times New Roman" w:eastAsia="Times New Roman" w:cs="Times New Roman"/>
          <w:sz w:val="24"/>
          <w:szCs w:val="24"/>
          <w:lang w:eastAsia="en-US"/>
        </w:rPr>
      </w:pPr>
      <w:r>
        <w:rPr>
          <w:rStyle w:val="128"/>
          <w:rFonts w:hint="default" w:ascii="Times New Roman" w:hAnsi="Times New Roman" w:eastAsia="Times New Roman" w:cs="Times New Roman"/>
          <w:sz w:val="24"/>
          <w:szCs w:val="24"/>
          <w:lang w:eastAsia="en-US"/>
        </w:rPr>
        <w:t xml:space="preserve">O valor total estimado dos itens a serem contratados será de </w:t>
      </w:r>
      <w:r>
        <w:rPr>
          <w:rStyle w:val="128"/>
          <w:rFonts w:hint="default" w:ascii="Times New Roman" w:hAnsi="Times New Roman" w:eastAsia="Liberation Sans" w:cs="Times New Roman"/>
          <w:b/>
          <w:bCs/>
          <w:sz w:val="24"/>
          <w:szCs w:val="24"/>
          <w:lang w:val="en-US" w:eastAsia="en-US"/>
        </w:rPr>
        <w:t>R$</w:t>
      </w:r>
      <w:r>
        <w:rPr>
          <w:rStyle w:val="128"/>
          <w:rFonts w:hint="default" w:ascii="Times New Roman" w:hAnsi="Times New Roman" w:eastAsia="Liberation Sans" w:cs="Times New Roman"/>
          <w:b/>
          <w:bCs/>
          <w:sz w:val="24"/>
          <w:szCs w:val="24"/>
          <w:shd w:val="clear" w:color="auto" w:fill="auto"/>
          <w:lang w:val="en-US" w:eastAsia="en-US"/>
        </w:rPr>
        <w:t xml:space="preserve"> 41.172,50</w:t>
      </w:r>
      <w:r>
        <w:rPr>
          <w:rStyle w:val="128"/>
          <w:rFonts w:hint="default" w:ascii="Times New Roman" w:hAnsi="Times New Roman" w:eastAsia="Times New Roman" w:cs="Times New Roman"/>
          <w:sz w:val="24"/>
          <w:szCs w:val="24"/>
          <w:shd w:val="clear" w:color="auto" w:fill="auto"/>
          <w:lang w:val="en-US" w:eastAsia="en-US"/>
        </w:rPr>
        <w:t xml:space="preserve"> (quarenta e um mil cento e setenta e dois reais e cinquenta centavos).</w:t>
      </w:r>
    </w:p>
    <w:p>
      <w:pPr>
        <w:numPr>
          <w:ilvl w:val="0"/>
          <w:numId w:val="11"/>
        </w:numPr>
        <w:tabs>
          <w:tab w:val="left" w:pos="284"/>
        </w:tabs>
        <w:spacing w:line="240" w:lineRule="auto"/>
        <w:ind w:left="0" w:right="0" w:firstLine="0"/>
        <w:jc w:val="both"/>
        <w:rPr>
          <w:rStyle w:val="128"/>
          <w:rFonts w:hint="default" w:ascii="Times New Roman" w:hAnsi="Times New Roman" w:cs="Times New Roman"/>
          <w:b/>
          <w:sz w:val="24"/>
          <w:szCs w:val="24"/>
          <w:lang w:eastAsia="en-US"/>
        </w:rPr>
      </w:pPr>
      <w:r>
        <w:rPr>
          <w:rStyle w:val="128"/>
          <w:rFonts w:hint="default" w:ascii="Times New Roman" w:hAnsi="Times New Roman" w:eastAsia="Times New Roman" w:cs="Times New Roman"/>
          <w:b/>
          <w:sz w:val="24"/>
          <w:szCs w:val="24"/>
          <w:lang w:eastAsia="en-US"/>
        </w:rPr>
        <w:t>Justificativa Técnica para a Contratação</w:t>
      </w:r>
      <w:r>
        <w:rPr>
          <w:rStyle w:val="128"/>
          <w:rFonts w:hint="default" w:ascii="Times New Roman" w:hAnsi="Times New Roman" w:eastAsia="Times New Roman" w:cs="Times New Roman"/>
          <w:sz w:val="24"/>
          <w:szCs w:val="24"/>
          <w:lang w:eastAsia="en-US"/>
        </w:rPr>
        <w:t>:</w:t>
      </w:r>
    </w:p>
    <w:p>
      <w:pPr>
        <w:widowControl/>
        <w:shd w:val="clear" w:color="auto" w:fill="auto"/>
        <w:suppressAutoHyphens/>
        <w:spacing w:line="240" w:lineRule="auto"/>
        <w:ind w:left="0" w:right="0" w:firstLine="0"/>
        <w:jc w:val="both"/>
        <w:rPr>
          <w:rStyle w:val="128"/>
          <w:rFonts w:hint="default" w:ascii="Times New Roman" w:hAnsi="Times New Roman" w:eastAsia="Times New Roman" w:cs="Times New Roman"/>
          <w:b/>
          <w:sz w:val="24"/>
          <w:szCs w:val="24"/>
          <w:lang w:eastAsia="en-US"/>
        </w:rPr>
      </w:pPr>
      <w:r>
        <w:rPr>
          <w:rStyle w:val="128"/>
          <w:rFonts w:hint="default" w:ascii="Times New Roman" w:hAnsi="Times New Roman" w:cs="Times New Roman"/>
          <w:b/>
          <w:sz w:val="24"/>
          <w:szCs w:val="24"/>
          <w:lang w:eastAsia="en-US"/>
        </w:rPr>
        <w:t xml:space="preserve">3.1. </w:t>
      </w:r>
      <w:r>
        <w:rPr>
          <w:rStyle w:val="128"/>
          <w:rFonts w:hint="default" w:ascii="Times New Roman" w:hAnsi="Times New Roman" w:cs="Times New Roman"/>
          <w:sz w:val="24"/>
          <w:szCs w:val="24"/>
        </w:rPr>
        <w:t xml:space="preserve">A presente </w:t>
      </w:r>
      <w:r>
        <w:rPr>
          <w:rStyle w:val="128"/>
          <w:rFonts w:hint="default" w:ascii="Times New Roman" w:hAnsi="Times New Roman" w:cs="Times New Roman"/>
          <w:sz w:val="24"/>
          <w:szCs w:val="24"/>
          <w:lang w:eastAsia="hi-IN"/>
        </w:rPr>
        <w:t>aquisição faz-se necessária para atender as sessões ordinárias, sessões extraordinárias, reuniões da sala da mulher e cerimônias oficiais que serão realizadas por esta Casa de Leis durante o ano de 2024</w:t>
      </w:r>
      <w:r>
        <w:rPr>
          <w:rStyle w:val="128"/>
          <w:rFonts w:hint="default" w:ascii="Times New Roman" w:hAnsi="Times New Roman" w:cs="Times New Roman"/>
          <w:sz w:val="24"/>
          <w:szCs w:val="24"/>
        </w:rPr>
        <w:t>;</w:t>
      </w:r>
    </w:p>
    <w:p>
      <w:pPr>
        <w:tabs>
          <w:tab w:val="left" w:pos="426"/>
        </w:tabs>
        <w:spacing w:before="0" w:after="120" w:line="240" w:lineRule="auto"/>
        <w:ind w:left="0" w:right="0" w:firstLine="0"/>
        <w:jc w:val="both"/>
        <w:rPr>
          <w:rFonts w:hint="default" w:ascii="Times New Roman" w:hAnsi="Times New Roman" w:eastAsia="Times New Roman" w:cs="Times New Roman"/>
          <w:sz w:val="24"/>
          <w:szCs w:val="24"/>
          <w:lang w:eastAsia="en-US"/>
        </w:rPr>
      </w:pPr>
      <w:r>
        <w:rPr>
          <w:rStyle w:val="128"/>
          <w:rFonts w:hint="default" w:ascii="Times New Roman" w:hAnsi="Times New Roman" w:eastAsia="Times New Roman" w:cs="Times New Roman"/>
          <w:b/>
          <w:sz w:val="24"/>
          <w:szCs w:val="24"/>
          <w:lang w:eastAsia="en-US"/>
        </w:rPr>
        <w:t>3.2</w:t>
      </w:r>
      <w:r>
        <w:rPr>
          <w:rStyle w:val="128"/>
          <w:rFonts w:hint="default" w:ascii="Times New Roman" w:hAnsi="Times New Roman" w:eastAsia="Times New Roman" w:cs="Times New Roman"/>
          <w:sz w:val="24"/>
          <w:szCs w:val="24"/>
          <w:lang w:eastAsia="en-US"/>
        </w:rPr>
        <w:t>. Estas programações trarão inúmeros representantes da sociedade civil e militar, bem como autoridades locais e de outras cidades da região e até mesmo de outros estados.</w:t>
      </w:r>
    </w:p>
    <w:p>
      <w:pPr>
        <w:spacing w:line="240" w:lineRule="auto"/>
        <w:jc w:val="both"/>
        <w:rPr>
          <w:rFonts w:hint="default" w:ascii="Times New Roman" w:hAnsi="Times New Roman" w:eastAsia="Times New Roman" w:cs="Times New Roman"/>
          <w:sz w:val="24"/>
          <w:szCs w:val="24"/>
          <w:lang w:eastAsia="en-US"/>
        </w:rPr>
      </w:pPr>
    </w:p>
    <w:p>
      <w:pPr>
        <w:numPr>
          <w:ilvl w:val="0"/>
          <w:numId w:val="11"/>
        </w:numPr>
        <w:tabs>
          <w:tab w:val="left" w:pos="284"/>
        </w:tabs>
        <w:spacing w:line="240" w:lineRule="auto"/>
        <w:ind w:left="0" w:right="0" w:firstLine="0"/>
        <w:jc w:val="both"/>
        <w:rPr>
          <w:rStyle w:val="128"/>
          <w:rFonts w:hint="default" w:ascii="Times New Roman" w:hAnsi="Times New Roman" w:eastAsia="Times New Roman" w:cs="Times New Roman"/>
          <w:sz w:val="24"/>
          <w:szCs w:val="24"/>
          <w:lang w:eastAsia="en-US"/>
        </w:rPr>
      </w:pPr>
      <w:r>
        <w:rPr>
          <w:rFonts w:hint="default" w:ascii="Times New Roman" w:hAnsi="Times New Roman" w:eastAsia="Times New Roman" w:cs="Times New Roman"/>
          <w:b/>
          <w:sz w:val="24"/>
          <w:szCs w:val="24"/>
          <w:lang w:eastAsia="en-US"/>
        </w:rPr>
        <w:t>Da execução:</w:t>
      </w:r>
    </w:p>
    <w:p>
      <w:pPr>
        <w:numPr>
          <w:ilvl w:val="1"/>
          <w:numId w:val="11"/>
        </w:numPr>
        <w:tabs>
          <w:tab w:val="left" w:pos="426"/>
        </w:tabs>
        <w:spacing w:line="240" w:lineRule="auto"/>
        <w:ind w:left="0" w:right="0" w:firstLine="0"/>
        <w:jc w:val="both"/>
        <w:rPr>
          <w:rFonts w:hint="default" w:ascii="Times New Roman" w:hAnsi="Times New Roman" w:eastAsia="Times New Roman" w:cs="Times New Roman"/>
          <w:sz w:val="24"/>
          <w:szCs w:val="24"/>
          <w:lang w:eastAsia="en-US"/>
        </w:rPr>
      </w:pPr>
      <w:r>
        <w:rPr>
          <w:rStyle w:val="128"/>
          <w:rFonts w:hint="default" w:ascii="Times New Roman" w:hAnsi="Times New Roman" w:eastAsia="Times New Roman" w:cs="Times New Roman"/>
          <w:sz w:val="24"/>
          <w:szCs w:val="24"/>
          <w:lang w:eastAsia="en-US"/>
        </w:rPr>
        <w:t>A empresa contratada deverá fornecer o Produto em conformidades com as solicitações da Câmara Municipal de Primavera do Leste – MT.</w:t>
      </w:r>
    </w:p>
    <w:p>
      <w:pPr>
        <w:numPr>
          <w:ilvl w:val="0"/>
          <w:numId w:val="11"/>
        </w:numPr>
        <w:tabs>
          <w:tab w:val="left" w:pos="284"/>
        </w:tabs>
        <w:spacing w:line="240" w:lineRule="auto"/>
        <w:ind w:left="0" w:right="0" w:firstLine="0"/>
        <w:jc w:val="both"/>
        <w:rPr>
          <w:rStyle w:val="128"/>
          <w:rFonts w:hint="default" w:ascii="Times New Roman" w:hAnsi="Times New Roman" w:eastAsia="Times New Roman" w:cs="Times New Roman"/>
          <w:sz w:val="24"/>
          <w:szCs w:val="24"/>
          <w:lang w:eastAsia="en-US"/>
        </w:rPr>
      </w:pPr>
      <w:r>
        <w:rPr>
          <w:rFonts w:hint="default" w:ascii="Times New Roman" w:hAnsi="Times New Roman" w:eastAsia="Times New Roman" w:cs="Times New Roman"/>
          <w:b/>
          <w:sz w:val="24"/>
          <w:szCs w:val="24"/>
          <w:lang w:eastAsia="en-US"/>
        </w:rPr>
        <w:t>Do prazo e condições de entrega do objeto licitado</w:t>
      </w:r>
    </w:p>
    <w:p>
      <w:pPr>
        <w:numPr>
          <w:ilvl w:val="1"/>
          <w:numId w:val="11"/>
        </w:numPr>
        <w:tabs>
          <w:tab w:val="left" w:pos="426"/>
        </w:tabs>
        <w:spacing w:line="240" w:lineRule="auto"/>
        <w:ind w:left="0" w:right="0" w:firstLine="0"/>
        <w:jc w:val="both"/>
        <w:rPr>
          <w:rStyle w:val="128"/>
          <w:rFonts w:hint="default" w:ascii="Times New Roman" w:hAnsi="Times New Roman" w:eastAsia="Times New Roman" w:cs="Times New Roman"/>
          <w:sz w:val="24"/>
          <w:szCs w:val="24"/>
          <w:lang w:eastAsia="en-US"/>
        </w:rPr>
      </w:pPr>
      <w:r>
        <w:rPr>
          <w:rStyle w:val="128"/>
          <w:rFonts w:hint="default" w:ascii="Times New Roman" w:hAnsi="Times New Roman" w:eastAsia="Times New Roman" w:cs="Times New Roman"/>
          <w:sz w:val="24"/>
          <w:szCs w:val="24"/>
          <w:lang w:eastAsia="en-US"/>
        </w:rPr>
        <w:t>A solicitação do produto será feita com antecedência de no mínimo 24 (vinte e quatro) horas pelo órgão requisitante, devendo ser entregue na Câmara Municipal de Primavera do Leste – AV. Primavera n. 300 Bairro Primavera II, CEP. 78.850-000 – Estado de Mato Grosso.</w:t>
      </w:r>
    </w:p>
    <w:p>
      <w:pPr>
        <w:numPr>
          <w:ilvl w:val="1"/>
          <w:numId w:val="11"/>
        </w:numPr>
        <w:tabs>
          <w:tab w:val="left" w:pos="426"/>
        </w:tabs>
        <w:spacing w:line="240" w:lineRule="auto"/>
        <w:ind w:left="0" w:right="0" w:firstLine="0"/>
        <w:jc w:val="both"/>
        <w:rPr>
          <w:rStyle w:val="128"/>
          <w:rFonts w:hint="default" w:ascii="Times New Roman" w:hAnsi="Times New Roman" w:cs="Times New Roman"/>
          <w:sz w:val="24"/>
          <w:szCs w:val="24"/>
          <w:lang w:eastAsia="en-US"/>
        </w:rPr>
      </w:pPr>
      <w:r>
        <w:rPr>
          <w:rStyle w:val="128"/>
          <w:rFonts w:hint="default" w:ascii="Times New Roman" w:hAnsi="Times New Roman" w:eastAsia="Times New Roman" w:cs="Times New Roman"/>
          <w:sz w:val="24"/>
          <w:szCs w:val="24"/>
          <w:lang w:eastAsia="en-US"/>
        </w:rPr>
        <w:t>Todas as despesas com o fornecimento do produto correrão por conta da contratada;</w:t>
      </w:r>
    </w:p>
    <w:p>
      <w:pPr>
        <w:numPr>
          <w:ilvl w:val="1"/>
          <w:numId w:val="11"/>
        </w:numPr>
        <w:tabs>
          <w:tab w:val="left" w:pos="426"/>
        </w:tabs>
        <w:spacing w:line="240" w:lineRule="auto"/>
        <w:ind w:left="0" w:right="0" w:firstLine="0"/>
        <w:jc w:val="both"/>
        <w:rPr>
          <w:rStyle w:val="128"/>
          <w:rFonts w:hint="default" w:ascii="Times New Roman" w:hAnsi="Times New Roman" w:cs="Times New Roman"/>
          <w:sz w:val="24"/>
          <w:szCs w:val="24"/>
          <w:lang w:eastAsia="en-US"/>
        </w:rPr>
      </w:pPr>
      <w:r>
        <w:rPr>
          <w:rStyle w:val="128"/>
          <w:rFonts w:hint="default" w:ascii="Times New Roman" w:hAnsi="Times New Roman" w:cs="Times New Roman"/>
          <w:sz w:val="24"/>
          <w:szCs w:val="24"/>
          <w:lang w:eastAsia="en-US"/>
        </w:rPr>
        <w:t>A data, hora e quantidades a ser entregues serão informados na solicitação de fornecimento, conforme necessidade da Câmara Municipal.</w:t>
      </w:r>
    </w:p>
    <w:p>
      <w:pPr>
        <w:numPr>
          <w:ilvl w:val="1"/>
          <w:numId w:val="11"/>
        </w:numPr>
        <w:tabs>
          <w:tab w:val="left" w:pos="426"/>
        </w:tabs>
        <w:spacing w:line="240" w:lineRule="auto"/>
        <w:ind w:left="0" w:right="0" w:firstLine="0"/>
        <w:jc w:val="both"/>
        <w:rPr>
          <w:rStyle w:val="128"/>
          <w:rFonts w:hint="default" w:ascii="Times New Roman" w:hAnsi="Times New Roman" w:eastAsia="Times New Roman" w:cs="Times New Roman"/>
          <w:sz w:val="24"/>
          <w:szCs w:val="24"/>
          <w:lang w:eastAsia="en-US"/>
        </w:rPr>
      </w:pPr>
      <w:r>
        <w:rPr>
          <w:rStyle w:val="128"/>
          <w:rFonts w:hint="default" w:ascii="Times New Roman" w:hAnsi="Times New Roman" w:cs="Times New Roman"/>
          <w:sz w:val="24"/>
          <w:szCs w:val="24"/>
          <w:lang w:eastAsia="en-US"/>
        </w:rPr>
        <w:t>Os produtos poderão ser rejeitados, no todo ou em parte, quando em desacordo com as especificações constantes neste Termo de Referência, devendo ser substituídos no prazo de 2 (duas) horas, a contar da notificação da contratada, às custas da contratada, sem prejuízo da aplicação das penalidades.</w:t>
      </w:r>
    </w:p>
    <w:p>
      <w:pPr>
        <w:numPr>
          <w:ilvl w:val="1"/>
          <w:numId w:val="11"/>
        </w:numPr>
        <w:tabs>
          <w:tab w:val="left" w:pos="426"/>
        </w:tabs>
        <w:spacing w:line="240" w:lineRule="auto"/>
        <w:ind w:left="0" w:right="0" w:firstLine="0"/>
        <w:jc w:val="both"/>
        <w:rPr>
          <w:rFonts w:hint="default" w:ascii="Times New Roman" w:hAnsi="Times New Roman" w:cs="Times New Roman"/>
          <w:sz w:val="24"/>
          <w:szCs w:val="24"/>
        </w:rPr>
      </w:pPr>
      <w:r>
        <w:rPr>
          <w:rStyle w:val="128"/>
          <w:rFonts w:hint="default" w:ascii="Times New Roman" w:hAnsi="Times New Roman" w:eastAsia="Times New Roman" w:cs="Times New Roman"/>
          <w:sz w:val="24"/>
          <w:szCs w:val="24"/>
          <w:lang w:eastAsia="en-US"/>
        </w:rPr>
        <w:t>A solicitação dos produtos será parcelada, conforme a necessidade da Câmara Municipal de Primavera do Leste-MT.</w:t>
      </w:r>
    </w:p>
    <w:p>
      <w:pPr>
        <w:numPr>
          <w:ilvl w:val="0"/>
          <w:numId w:val="11"/>
        </w:numPr>
        <w:tabs>
          <w:tab w:val="left" w:pos="-654"/>
        </w:tabs>
        <w:spacing w:line="240" w:lineRule="auto"/>
        <w:jc w:val="both"/>
        <w:rPr>
          <w:rFonts w:hint="default" w:ascii="Times New Roman" w:hAnsi="Times New Roman" w:eastAsia="Times New Roman" w:cs="Times New Roman"/>
          <w:sz w:val="24"/>
          <w:szCs w:val="24"/>
        </w:rPr>
      </w:pPr>
      <w:r>
        <w:rPr>
          <w:rStyle w:val="128"/>
          <w:rFonts w:hint="default" w:ascii="Times New Roman" w:hAnsi="Times New Roman" w:eastAsia="Times New Roman" w:cs="Times New Roman"/>
          <w:b/>
          <w:sz w:val="24"/>
          <w:szCs w:val="24"/>
          <w:lang w:eastAsia="en-US"/>
        </w:rPr>
        <w:t>Público-alvo:</w:t>
      </w:r>
    </w:p>
    <w:p>
      <w:pPr>
        <w:numPr>
          <w:ilvl w:val="1"/>
          <w:numId w:val="11"/>
        </w:numPr>
        <w:tabs>
          <w:tab w:val="left" w:pos="426"/>
        </w:tabs>
        <w:spacing w:line="240" w:lineRule="auto"/>
        <w:ind w:left="0" w:right="0" w:firstLine="0"/>
        <w:jc w:val="both"/>
        <w:rPr>
          <w:rFonts w:hint="default" w:ascii="Times New Roman" w:hAnsi="Times New Roman" w:cs="Times New Roman"/>
          <w:sz w:val="24"/>
          <w:szCs w:val="24"/>
        </w:rPr>
      </w:pPr>
      <w:r>
        <w:rPr>
          <w:rFonts w:hint="default" w:ascii="Times New Roman" w:hAnsi="Times New Roman" w:eastAsia="Times New Roman" w:cs="Times New Roman"/>
          <w:sz w:val="24"/>
          <w:szCs w:val="24"/>
        </w:rPr>
        <w:t xml:space="preserve"> </w:t>
      </w:r>
      <w:r>
        <w:rPr>
          <w:rStyle w:val="128"/>
          <w:rFonts w:hint="default" w:ascii="Times New Roman" w:hAnsi="Times New Roman" w:eastAsia="Times New Roman" w:cs="Times New Roman"/>
          <w:sz w:val="24"/>
          <w:szCs w:val="24"/>
          <w:lang w:eastAsia="en-US"/>
        </w:rPr>
        <w:t>Os Parlamentares e servidores da Câmara Municipal de Primavera do Leste – MT no desenvolvimento de suas funções, bem como as autoridades presente nos eventos da Casa..</w:t>
      </w:r>
    </w:p>
    <w:p>
      <w:pPr>
        <w:numPr>
          <w:ilvl w:val="0"/>
          <w:numId w:val="11"/>
        </w:numPr>
        <w:tabs>
          <w:tab w:val="left" w:pos="-654"/>
        </w:tabs>
        <w:spacing w:line="240" w:lineRule="auto"/>
        <w:jc w:val="both"/>
        <w:rPr>
          <w:rFonts w:hint="default" w:ascii="Times New Roman" w:hAnsi="Times New Roman" w:eastAsia="Times New Roman" w:cs="Times New Roman"/>
          <w:sz w:val="24"/>
          <w:szCs w:val="24"/>
          <w:lang w:eastAsia="en-US"/>
        </w:rPr>
      </w:pPr>
      <w:r>
        <w:rPr>
          <w:rStyle w:val="128"/>
          <w:rFonts w:hint="default" w:ascii="Times New Roman" w:hAnsi="Times New Roman" w:eastAsia="Times New Roman" w:cs="Times New Roman"/>
          <w:b/>
          <w:sz w:val="24"/>
          <w:szCs w:val="24"/>
          <w:lang w:eastAsia="en-US"/>
        </w:rPr>
        <w:t>Das Obrigações da Contratada:</w:t>
      </w:r>
    </w:p>
    <w:p>
      <w:pPr>
        <w:numPr>
          <w:ilvl w:val="1"/>
          <w:numId w:val="11"/>
        </w:numPr>
        <w:tabs>
          <w:tab w:val="left" w:pos="426"/>
        </w:tabs>
        <w:spacing w:line="240" w:lineRule="auto"/>
        <w:ind w:left="0" w:right="0" w:firstLine="0"/>
        <w:jc w:val="both"/>
        <w:rPr>
          <w:rStyle w:val="128"/>
          <w:rFonts w:hint="default" w:ascii="Times New Roman" w:hAnsi="Times New Roman" w:eastAsia="Times New Roman" w:cs="Times New Roman"/>
          <w:b/>
          <w:sz w:val="24"/>
          <w:szCs w:val="24"/>
          <w:lang w:eastAsia="en-US"/>
        </w:rPr>
      </w:pPr>
      <w:r>
        <w:rPr>
          <w:rFonts w:hint="default" w:ascii="Times New Roman" w:hAnsi="Times New Roman" w:eastAsia="Times New Roman" w:cs="Times New Roman"/>
          <w:sz w:val="24"/>
          <w:szCs w:val="24"/>
          <w:lang w:eastAsia="en-US"/>
        </w:rPr>
        <w:t>Para garantir o fiel cumprimento do objeto deste certame, a Empresa Contratada se compromete a:</w:t>
      </w:r>
    </w:p>
    <w:p>
      <w:pPr>
        <w:spacing w:line="240" w:lineRule="auto"/>
        <w:jc w:val="both"/>
        <w:rPr>
          <w:rStyle w:val="128"/>
          <w:rFonts w:hint="default" w:ascii="Times New Roman" w:hAnsi="Times New Roman" w:eastAsia="Times New Roman" w:cs="Times New Roman"/>
          <w:b/>
          <w:sz w:val="24"/>
          <w:szCs w:val="24"/>
          <w:lang w:eastAsia="en-US"/>
        </w:rPr>
      </w:pPr>
      <w:r>
        <w:rPr>
          <w:rStyle w:val="128"/>
          <w:rFonts w:hint="default" w:ascii="Times New Roman" w:hAnsi="Times New Roman" w:eastAsia="Times New Roman" w:cs="Times New Roman"/>
          <w:b/>
          <w:sz w:val="24"/>
          <w:szCs w:val="24"/>
          <w:lang w:eastAsia="en-US"/>
        </w:rPr>
        <w:t>7.1.1.</w:t>
      </w:r>
      <w:r>
        <w:rPr>
          <w:rStyle w:val="128"/>
          <w:rFonts w:hint="default" w:ascii="Times New Roman" w:hAnsi="Times New Roman" w:eastAsia="Times New Roman" w:cs="Times New Roman"/>
          <w:sz w:val="24"/>
          <w:szCs w:val="24"/>
          <w:lang w:eastAsia="en-US"/>
        </w:rPr>
        <w:t xml:space="preserve"> Após a homologação, assinar a Ata de Registro de Preços no prazo de 05 (cinco) dias úteis, contados do recebimento da convocação oficial;</w:t>
      </w:r>
    </w:p>
    <w:p>
      <w:pPr>
        <w:spacing w:line="240" w:lineRule="auto"/>
        <w:jc w:val="both"/>
        <w:rPr>
          <w:rStyle w:val="128"/>
          <w:rFonts w:hint="default" w:ascii="Times New Roman" w:hAnsi="Times New Roman" w:eastAsia="Times New Roman" w:cs="Times New Roman"/>
          <w:b/>
          <w:sz w:val="24"/>
          <w:szCs w:val="24"/>
          <w:lang w:eastAsia="en-US"/>
        </w:rPr>
      </w:pPr>
      <w:r>
        <w:rPr>
          <w:rStyle w:val="128"/>
          <w:rFonts w:hint="default" w:ascii="Times New Roman" w:hAnsi="Times New Roman" w:eastAsia="Times New Roman" w:cs="Times New Roman"/>
          <w:b/>
          <w:sz w:val="24"/>
          <w:szCs w:val="24"/>
          <w:lang w:eastAsia="en-US"/>
        </w:rPr>
        <w:t>7.1.2</w:t>
      </w:r>
      <w:r>
        <w:rPr>
          <w:rStyle w:val="128"/>
          <w:rFonts w:hint="default" w:ascii="Times New Roman" w:hAnsi="Times New Roman" w:eastAsia="Times New Roman" w:cs="Times New Roman"/>
          <w:sz w:val="24"/>
          <w:szCs w:val="24"/>
          <w:lang w:eastAsia="en-US"/>
        </w:rPr>
        <w:t>. Após a ordem de fornecimento a licitante deverá retirar a Nota de Empenho no prazo de 05 (cinco) dias, contados do recebimento da convocação formal;</w:t>
      </w:r>
    </w:p>
    <w:p>
      <w:pPr>
        <w:spacing w:line="240" w:lineRule="auto"/>
        <w:jc w:val="both"/>
        <w:rPr>
          <w:rStyle w:val="128"/>
          <w:rFonts w:hint="default" w:ascii="Times New Roman" w:hAnsi="Times New Roman" w:eastAsia="Times New Roman" w:cs="Times New Roman"/>
          <w:b/>
          <w:sz w:val="24"/>
          <w:szCs w:val="24"/>
          <w:lang w:eastAsia="en-US"/>
        </w:rPr>
      </w:pPr>
      <w:r>
        <w:rPr>
          <w:rStyle w:val="128"/>
          <w:rFonts w:hint="default" w:ascii="Times New Roman" w:hAnsi="Times New Roman" w:eastAsia="Times New Roman" w:cs="Times New Roman"/>
          <w:b/>
          <w:sz w:val="24"/>
          <w:szCs w:val="24"/>
          <w:lang w:eastAsia="en-US"/>
        </w:rPr>
        <w:t>7.1.3</w:t>
      </w:r>
      <w:r>
        <w:rPr>
          <w:rStyle w:val="128"/>
          <w:rFonts w:hint="default" w:ascii="Times New Roman" w:hAnsi="Times New Roman" w:eastAsia="Times New Roman" w:cs="Times New Roman"/>
          <w:sz w:val="24"/>
          <w:szCs w:val="24"/>
          <w:lang w:eastAsia="en-US"/>
        </w:rPr>
        <w:t>. Manter contato com a contratante sobre quaisquer assuntos relativos ao produto, objeto do Edital, sempre por escrito, ressalvados os entendimentos verbais determinados pela urgência de cada caso;</w:t>
      </w:r>
    </w:p>
    <w:p>
      <w:pPr>
        <w:spacing w:line="240" w:lineRule="auto"/>
        <w:jc w:val="both"/>
        <w:rPr>
          <w:rStyle w:val="128"/>
          <w:rFonts w:hint="default" w:ascii="Times New Roman" w:hAnsi="Times New Roman" w:eastAsia="Times New Roman" w:cs="Times New Roman"/>
          <w:b/>
          <w:sz w:val="24"/>
          <w:szCs w:val="24"/>
          <w:lang w:eastAsia="en-US"/>
        </w:rPr>
      </w:pPr>
      <w:r>
        <w:rPr>
          <w:rStyle w:val="128"/>
          <w:rFonts w:hint="default" w:ascii="Times New Roman" w:hAnsi="Times New Roman" w:eastAsia="Times New Roman" w:cs="Times New Roman"/>
          <w:b/>
          <w:sz w:val="24"/>
          <w:szCs w:val="24"/>
          <w:lang w:eastAsia="en-US"/>
        </w:rPr>
        <w:t>7.1.4</w:t>
      </w:r>
      <w:r>
        <w:rPr>
          <w:rStyle w:val="128"/>
          <w:rFonts w:hint="default" w:ascii="Times New Roman" w:hAnsi="Times New Roman" w:eastAsia="Times New Roman" w:cs="Times New Roman"/>
          <w:sz w:val="24"/>
          <w:szCs w:val="24"/>
          <w:lang w:eastAsia="en-US"/>
        </w:rPr>
        <w:t>. Arcar com todas as despesas, diretas ou indiretas, decorrentes do cumprimento das obrigações assumidas, sem qualquer ônus para a Contratante;</w:t>
      </w:r>
    </w:p>
    <w:p>
      <w:pPr>
        <w:spacing w:line="240" w:lineRule="auto"/>
        <w:jc w:val="both"/>
        <w:rPr>
          <w:rStyle w:val="128"/>
          <w:rFonts w:hint="default" w:ascii="Times New Roman" w:hAnsi="Times New Roman" w:eastAsia="Times New Roman" w:cs="Times New Roman"/>
          <w:b/>
          <w:sz w:val="24"/>
          <w:szCs w:val="24"/>
          <w:lang w:eastAsia="en-US"/>
        </w:rPr>
      </w:pPr>
      <w:r>
        <w:rPr>
          <w:rStyle w:val="128"/>
          <w:rFonts w:hint="default" w:ascii="Times New Roman" w:hAnsi="Times New Roman" w:eastAsia="Times New Roman" w:cs="Times New Roman"/>
          <w:b/>
          <w:sz w:val="24"/>
          <w:szCs w:val="24"/>
          <w:lang w:eastAsia="en-US"/>
        </w:rPr>
        <w:t>7.2</w:t>
      </w:r>
      <w:r>
        <w:rPr>
          <w:rStyle w:val="128"/>
          <w:rFonts w:hint="default" w:ascii="Times New Roman" w:hAnsi="Times New Roman" w:eastAsia="Times New Roman" w:cs="Times New Roman"/>
          <w:sz w:val="24"/>
          <w:szCs w:val="24"/>
          <w:lang w:eastAsia="en-US"/>
        </w:rPr>
        <w:t xml:space="preserve"> Executar o fornecimento, de acordo com a solicitação da Câmara Municipal, obedecendo à proposta apresentada, dentro dos padrões estabelecidos, de acordo com as especificações do Edital e deste Termo de Referência, responsabilizando-se por eventuais prejuízos decorrentes do descumprimento de condição estabelecida;</w:t>
      </w:r>
    </w:p>
    <w:p>
      <w:pPr>
        <w:spacing w:line="240" w:lineRule="auto"/>
        <w:jc w:val="both"/>
        <w:rPr>
          <w:rStyle w:val="128"/>
          <w:rFonts w:hint="default" w:ascii="Times New Roman" w:hAnsi="Times New Roman" w:eastAsia="Times New Roman" w:cs="Times New Roman"/>
          <w:b/>
          <w:sz w:val="24"/>
          <w:szCs w:val="24"/>
          <w:lang w:eastAsia="en-US"/>
        </w:rPr>
      </w:pPr>
      <w:r>
        <w:rPr>
          <w:rStyle w:val="128"/>
          <w:rFonts w:hint="default" w:ascii="Times New Roman" w:hAnsi="Times New Roman" w:eastAsia="Times New Roman" w:cs="Times New Roman"/>
          <w:b/>
          <w:sz w:val="24"/>
          <w:szCs w:val="24"/>
          <w:lang w:eastAsia="en-US"/>
        </w:rPr>
        <w:t>7.3.</w:t>
      </w:r>
      <w:r>
        <w:rPr>
          <w:rStyle w:val="128"/>
          <w:rFonts w:hint="default" w:ascii="Times New Roman" w:hAnsi="Times New Roman" w:eastAsia="Times New Roman" w:cs="Times New Roman"/>
          <w:sz w:val="24"/>
          <w:szCs w:val="24"/>
          <w:lang w:eastAsia="en-US"/>
        </w:rPr>
        <w:t xml:space="preserve"> Manter, durante o prazo de vigência da Ata de Registro de Preços, todas as condições de habilitação exigidas na licitação;</w:t>
      </w:r>
    </w:p>
    <w:p>
      <w:pPr>
        <w:spacing w:line="240" w:lineRule="auto"/>
        <w:jc w:val="both"/>
        <w:rPr>
          <w:rStyle w:val="128"/>
          <w:rFonts w:hint="default" w:ascii="Times New Roman" w:hAnsi="Times New Roman" w:eastAsia="Times New Roman" w:cs="Times New Roman"/>
          <w:b/>
          <w:sz w:val="24"/>
          <w:szCs w:val="24"/>
          <w:lang w:eastAsia="en-US"/>
        </w:rPr>
      </w:pPr>
      <w:r>
        <w:rPr>
          <w:rStyle w:val="128"/>
          <w:rFonts w:hint="default" w:ascii="Times New Roman" w:hAnsi="Times New Roman" w:eastAsia="Times New Roman" w:cs="Times New Roman"/>
          <w:b/>
          <w:sz w:val="24"/>
          <w:szCs w:val="24"/>
          <w:lang w:eastAsia="en-US"/>
        </w:rPr>
        <w:t>7.4</w:t>
      </w:r>
      <w:r>
        <w:rPr>
          <w:rStyle w:val="128"/>
          <w:rFonts w:hint="default" w:ascii="Times New Roman" w:hAnsi="Times New Roman" w:eastAsia="Times New Roman" w:cs="Times New Roman"/>
          <w:sz w:val="24"/>
          <w:szCs w:val="24"/>
          <w:lang w:eastAsia="en-US"/>
        </w:rPr>
        <w:t>. Prestar os esclarecimentos que forem solicitados pela Câmara Municipal de Primavera do Leste – MT, cujas reclamações se obrigam a atender prontamente, bem como dar ciência a Câmara Municipal, imediatamente, por escrito, de qualquer anormalidade que verificar quando do fornecimento ora licitado;</w:t>
      </w:r>
    </w:p>
    <w:p>
      <w:pPr>
        <w:spacing w:line="240" w:lineRule="auto"/>
        <w:jc w:val="both"/>
        <w:rPr>
          <w:rStyle w:val="128"/>
          <w:rFonts w:hint="default" w:ascii="Times New Roman" w:hAnsi="Times New Roman" w:eastAsia="Times New Roman" w:cs="Times New Roman"/>
          <w:b/>
          <w:sz w:val="24"/>
          <w:szCs w:val="24"/>
          <w:lang w:eastAsia="en-US"/>
        </w:rPr>
      </w:pPr>
      <w:r>
        <w:rPr>
          <w:rStyle w:val="128"/>
          <w:rFonts w:hint="default" w:ascii="Times New Roman" w:hAnsi="Times New Roman" w:eastAsia="Times New Roman" w:cs="Times New Roman"/>
          <w:b/>
          <w:sz w:val="24"/>
          <w:szCs w:val="24"/>
          <w:lang w:eastAsia="en-US"/>
        </w:rPr>
        <w:t>7.5</w:t>
      </w:r>
      <w:r>
        <w:rPr>
          <w:rStyle w:val="128"/>
          <w:rFonts w:hint="default" w:ascii="Times New Roman" w:hAnsi="Times New Roman" w:eastAsia="Times New Roman" w:cs="Times New Roman"/>
          <w:sz w:val="24"/>
          <w:szCs w:val="24"/>
          <w:lang w:eastAsia="en-US"/>
        </w:rPr>
        <w:t>. Indenizar terceiros e/ou este Órgão, mesmo em caso de ausência ou omissão de fiscalização de sua parte, por quaisquer danos ou prejuízos causados, devendo a contratada adotar todas as medidas preventivas, com fiel observância às exigências das autoridades competentes e às disposições legais vigentes;</w:t>
      </w:r>
    </w:p>
    <w:p>
      <w:pPr>
        <w:spacing w:line="240" w:lineRule="auto"/>
        <w:jc w:val="both"/>
        <w:rPr>
          <w:rStyle w:val="128"/>
          <w:rFonts w:hint="default" w:ascii="Times New Roman" w:hAnsi="Times New Roman" w:eastAsia="Times New Roman" w:cs="Times New Roman"/>
          <w:b/>
          <w:sz w:val="24"/>
          <w:szCs w:val="24"/>
          <w:lang w:eastAsia="en-US"/>
        </w:rPr>
      </w:pPr>
      <w:r>
        <w:rPr>
          <w:rStyle w:val="128"/>
          <w:rFonts w:hint="default" w:ascii="Times New Roman" w:hAnsi="Times New Roman" w:eastAsia="Times New Roman" w:cs="Times New Roman"/>
          <w:b/>
          <w:sz w:val="24"/>
          <w:szCs w:val="24"/>
          <w:lang w:eastAsia="en-US"/>
        </w:rPr>
        <w:t>7.6</w:t>
      </w:r>
      <w:r>
        <w:rPr>
          <w:rStyle w:val="128"/>
          <w:rFonts w:hint="default" w:ascii="Times New Roman" w:hAnsi="Times New Roman" w:eastAsia="Times New Roman" w:cs="Times New Roman"/>
          <w:sz w:val="24"/>
          <w:szCs w:val="24"/>
          <w:lang w:eastAsia="en-US"/>
        </w:rPr>
        <w:t>. O preço será aquele constante da proposta contendo o menor valor do item, apresentado no Pregão Eletrônico, em valor a ser pago em moeda nacional;</w:t>
      </w:r>
    </w:p>
    <w:p>
      <w:pPr>
        <w:spacing w:line="240" w:lineRule="auto"/>
        <w:jc w:val="both"/>
        <w:rPr>
          <w:rStyle w:val="128"/>
          <w:rFonts w:hint="default" w:ascii="Times New Roman" w:hAnsi="Times New Roman" w:eastAsia="Times New Roman" w:cs="Times New Roman"/>
          <w:b/>
          <w:sz w:val="24"/>
          <w:szCs w:val="24"/>
          <w:lang w:eastAsia="en-US"/>
        </w:rPr>
      </w:pPr>
      <w:r>
        <w:rPr>
          <w:rStyle w:val="128"/>
          <w:rFonts w:hint="default" w:ascii="Times New Roman" w:hAnsi="Times New Roman" w:eastAsia="Times New Roman" w:cs="Times New Roman"/>
          <w:b/>
          <w:sz w:val="24"/>
          <w:szCs w:val="24"/>
          <w:lang w:eastAsia="en-US"/>
        </w:rPr>
        <w:t>7.7</w:t>
      </w:r>
      <w:r>
        <w:rPr>
          <w:rStyle w:val="128"/>
          <w:rFonts w:hint="default" w:ascii="Times New Roman" w:hAnsi="Times New Roman" w:eastAsia="Times New Roman" w:cs="Times New Roman"/>
          <w:sz w:val="24"/>
          <w:szCs w:val="24"/>
          <w:lang w:eastAsia="en-US"/>
        </w:rPr>
        <w:t>. O preço ofertado pela empresa licitante vencedora deverá incluir todas as despesas relativas ao objeto contratado (tributos, seguros, encargos sociais, frete etc.);</w:t>
      </w:r>
    </w:p>
    <w:p>
      <w:pPr>
        <w:spacing w:line="240" w:lineRule="auto"/>
        <w:jc w:val="both"/>
        <w:rPr>
          <w:rStyle w:val="128"/>
          <w:rFonts w:hint="default" w:ascii="Times New Roman" w:hAnsi="Times New Roman" w:eastAsia="Times New Roman" w:cs="Times New Roman"/>
          <w:b/>
          <w:sz w:val="24"/>
          <w:szCs w:val="24"/>
          <w:lang w:eastAsia="en-US"/>
        </w:rPr>
      </w:pPr>
      <w:r>
        <w:rPr>
          <w:rStyle w:val="128"/>
          <w:rFonts w:hint="default" w:ascii="Times New Roman" w:hAnsi="Times New Roman" w:eastAsia="Times New Roman" w:cs="Times New Roman"/>
          <w:b/>
          <w:sz w:val="24"/>
          <w:szCs w:val="24"/>
          <w:lang w:eastAsia="en-US"/>
        </w:rPr>
        <w:t>7.8</w:t>
      </w:r>
      <w:r>
        <w:rPr>
          <w:rStyle w:val="128"/>
          <w:rFonts w:hint="default" w:ascii="Times New Roman" w:hAnsi="Times New Roman" w:eastAsia="Times New Roman" w:cs="Times New Roman"/>
          <w:sz w:val="24"/>
          <w:szCs w:val="24"/>
          <w:lang w:eastAsia="en-US"/>
        </w:rPr>
        <w:t>. Responsabilizar-se por todo e qualquer dano que causar ao Órgão, ou a terceiros, ainda que culposo praticado por seus prepostos, empregado ou mandatários, não excluindo ou reduzindo essa responsabilidade a fiscalização ou acompanhamento pela Câmara Municipal de Primavera do Leste;</w:t>
      </w:r>
    </w:p>
    <w:p>
      <w:pPr>
        <w:spacing w:line="240" w:lineRule="auto"/>
        <w:jc w:val="both"/>
        <w:rPr>
          <w:rStyle w:val="128"/>
          <w:rFonts w:hint="default" w:ascii="Times New Roman" w:hAnsi="Times New Roman" w:eastAsia="Times New Roman" w:cs="Times New Roman"/>
          <w:b/>
          <w:sz w:val="24"/>
          <w:szCs w:val="24"/>
          <w:lang w:eastAsia="en-US"/>
        </w:rPr>
      </w:pPr>
      <w:r>
        <w:rPr>
          <w:rStyle w:val="128"/>
          <w:rFonts w:hint="default" w:ascii="Times New Roman" w:hAnsi="Times New Roman" w:eastAsia="Times New Roman" w:cs="Times New Roman"/>
          <w:b/>
          <w:sz w:val="24"/>
          <w:szCs w:val="24"/>
          <w:lang w:eastAsia="en-US"/>
        </w:rPr>
        <w:t>7.9</w:t>
      </w:r>
      <w:r>
        <w:rPr>
          <w:rStyle w:val="128"/>
          <w:rFonts w:hint="default" w:ascii="Times New Roman" w:hAnsi="Times New Roman" w:eastAsia="Times New Roman" w:cs="Times New Roman"/>
          <w:sz w:val="24"/>
          <w:szCs w:val="24"/>
          <w:lang w:eastAsia="en-US"/>
        </w:rPr>
        <w:t>. Responsabilizar-se por todo e qualquer tipo de atuação ou ação que venha a sofrer em decorrência do fornecimento e instalação em questão, bem como pelos Contratos de trabalho de seus empregados, mesmo nos casos que envolvam eventuais decisões judiciais, eximindo esta instituição de qualquer solidariedade ou responsabilidade.</w:t>
      </w:r>
    </w:p>
    <w:p>
      <w:pPr>
        <w:spacing w:line="240" w:lineRule="auto"/>
        <w:jc w:val="both"/>
        <w:rPr>
          <w:rStyle w:val="128"/>
          <w:rFonts w:hint="default" w:ascii="Times New Roman" w:hAnsi="Times New Roman" w:eastAsia="Times New Roman" w:cs="Times New Roman"/>
          <w:b/>
          <w:sz w:val="24"/>
          <w:szCs w:val="24"/>
          <w:lang w:eastAsia="en-US"/>
        </w:rPr>
      </w:pPr>
      <w:r>
        <w:rPr>
          <w:rStyle w:val="128"/>
          <w:rFonts w:hint="default" w:ascii="Times New Roman" w:hAnsi="Times New Roman" w:eastAsia="Times New Roman" w:cs="Times New Roman"/>
          <w:b/>
          <w:sz w:val="24"/>
          <w:szCs w:val="24"/>
          <w:lang w:eastAsia="en-US"/>
        </w:rPr>
        <w:t>7.10</w:t>
      </w:r>
      <w:r>
        <w:rPr>
          <w:rStyle w:val="128"/>
          <w:rFonts w:hint="default" w:ascii="Times New Roman" w:hAnsi="Times New Roman" w:eastAsia="Times New Roman" w:cs="Times New Roman"/>
          <w:sz w:val="24"/>
          <w:szCs w:val="24"/>
          <w:lang w:eastAsia="en-US"/>
        </w:rPr>
        <w:t>. Efetuar a imediata correção das deficiências apontadas pela Contratante, com relação ao fornecimento e instalação do produto.</w:t>
      </w:r>
    </w:p>
    <w:p>
      <w:pPr>
        <w:spacing w:line="240" w:lineRule="auto"/>
        <w:jc w:val="both"/>
        <w:rPr>
          <w:rStyle w:val="128"/>
          <w:rFonts w:hint="default" w:ascii="Times New Roman" w:hAnsi="Times New Roman" w:eastAsia="Times New Roman" w:cs="Times New Roman"/>
          <w:b/>
          <w:sz w:val="24"/>
          <w:szCs w:val="24"/>
          <w:lang w:eastAsia="en-US"/>
        </w:rPr>
      </w:pPr>
      <w:r>
        <w:rPr>
          <w:rStyle w:val="128"/>
          <w:rFonts w:hint="default" w:ascii="Times New Roman" w:hAnsi="Times New Roman" w:eastAsia="Times New Roman" w:cs="Times New Roman"/>
          <w:b/>
          <w:sz w:val="24"/>
          <w:szCs w:val="24"/>
          <w:lang w:eastAsia="en-US"/>
        </w:rPr>
        <w:t>7.11.</w:t>
      </w:r>
      <w:r>
        <w:rPr>
          <w:rStyle w:val="128"/>
          <w:rFonts w:hint="default" w:ascii="Times New Roman" w:hAnsi="Times New Roman" w:eastAsia="Times New Roman" w:cs="Times New Roman"/>
          <w:sz w:val="24"/>
          <w:szCs w:val="24"/>
          <w:lang w:eastAsia="en-US"/>
        </w:rPr>
        <w:t xml:space="preserve"> Disponibilizar o fornecimento dentro dos padrões estabelecidos neste Termo de Referência, responsabilizando-se por eventuais prejuízos decorrentes do descumprimento de qualquer cláusula ou condição aqui estabelecida;</w:t>
      </w:r>
    </w:p>
    <w:p>
      <w:pPr>
        <w:spacing w:line="240" w:lineRule="auto"/>
        <w:jc w:val="both"/>
        <w:rPr>
          <w:rStyle w:val="128"/>
          <w:rFonts w:hint="default" w:ascii="Times New Roman" w:hAnsi="Times New Roman" w:eastAsia="Times New Roman" w:cs="Times New Roman"/>
          <w:b/>
          <w:sz w:val="24"/>
          <w:szCs w:val="24"/>
          <w:lang w:eastAsia="en-US"/>
        </w:rPr>
      </w:pPr>
      <w:r>
        <w:rPr>
          <w:rStyle w:val="128"/>
          <w:rFonts w:hint="default" w:ascii="Times New Roman" w:hAnsi="Times New Roman" w:eastAsia="Times New Roman" w:cs="Times New Roman"/>
          <w:b/>
          <w:sz w:val="24"/>
          <w:szCs w:val="24"/>
          <w:lang w:eastAsia="en-US"/>
        </w:rPr>
        <w:t>7.12</w:t>
      </w:r>
      <w:r>
        <w:rPr>
          <w:rStyle w:val="128"/>
          <w:rFonts w:hint="default" w:ascii="Times New Roman" w:hAnsi="Times New Roman" w:eastAsia="Times New Roman" w:cs="Times New Roman"/>
          <w:sz w:val="24"/>
          <w:szCs w:val="24"/>
          <w:lang w:eastAsia="en-US"/>
        </w:rPr>
        <w:t>. Não transferir a outrem, no todo ou em parte, o Contrato;</w:t>
      </w:r>
    </w:p>
    <w:p>
      <w:pPr>
        <w:spacing w:line="240" w:lineRule="auto"/>
        <w:jc w:val="both"/>
        <w:rPr>
          <w:rFonts w:hint="default" w:ascii="Times New Roman" w:hAnsi="Times New Roman" w:cs="Times New Roman"/>
          <w:sz w:val="24"/>
          <w:szCs w:val="24"/>
        </w:rPr>
      </w:pPr>
      <w:r>
        <w:rPr>
          <w:rStyle w:val="128"/>
          <w:rFonts w:hint="default" w:ascii="Times New Roman" w:hAnsi="Times New Roman" w:eastAsia="Times New Roman" w:cs="Times New Roman"/>
          <w:b/>
          <w:sz w:val="24"/>
          <w:szCs w:val="24"/>
          <w:lang w:eastAsia="en-US"/>
        </w:rPr>
        <w:t>7.13</w:t>
      </w:r>
      <w:r>
        <w:rPr>
          <w:rStyle w:val="128"/>
          <w:rFonts w:hint="default" w:ascii="Times New Roman" w:hAnsi="Times New Roman" w:eastAsia="Times New Roman" w:cs="Times New Roman"/>
          <w:sz w:val="24"/>
          <w:szCs w:val="24"/>
          <w:lang w:eastAsia="en-US"/>
        </w:rPr>
        <w:t>. Solucionar imediatamente os problemas que venham a surgir relacionados com o produto fornecidos e sua instalação;</w:t>
      </w:r>
    </w:p>
    <w:p>
      <w:pPr>
        <w:spacing w:line="240" w:lineRule="auto"/>
        <w:jc w:val="both"/>
        <w:rPr>
          <w:rFonts w:hint="default" w:ascii="Times New Roman" w:hAnsi="Times New Roman" w:cs="Times New Roman"/>
          <w:sz w:val="24"/>
          <w:szCs w:val="24"/>
        </w:rPr>
      </w:pPr>
    </w:p>
    <w:p>
      <w:pPr>
        <w:spacing w:line="240" w:lineRule="auto"/>
        <w:jc w:val="both"/>
        <w:rPr>
          <w:rStyle w:val="128"/>
          <w:rFonts w:hint="default" w:ascii="Times New Roman" w:hAnsi="Times New Roman" w:eastAsia="Times New Roman" w:cs="Times New Roman"/>
          <w:b/>
          <w:sz w:val="24"/>
          <w:szCs w:val="24"/>
          <w:lang w:eastAsia="en-US"/>
        </w:rPr>
      </w:pPr>
      <w:r>
        <w:rPr>
          <w:rFonts w:hint="default" w:ascii="Times New Roman" w:hAnsi="Times New Roman" w:eastAsia="Times New Roman" w:cs="Times New Roman"/>
          <w:b/>
          <w:sz w:val="24"/>
          <w:szCs w:val="24"/>
          <w:lang w:eastAsia="en-US"/>
        </w:rPr>
        <w:t>8. Das Obrigações da Contratante:</w:t>
      </w:r>
    </w:p>
    <w:p>
      <w:pPr>
        <w:spacing w:line="240" w:lineRule="auto"/>
        <w:jc w:val="both"/>
        <w:rPr>
          <w:rStyle w:val="128"/>
          <w:rFonts w:hint="default" w:ascii="Times New Roman" w:hAnsi="Times New Roman" w:eastAsia="Times New Roman" w:cs="Times New Roman"/>
          <w:b/>
          <w:sz w:val="24"/>
          <w:szCs w:val="24"/>
          <w:lang w:eastAsia="en-US"/>
        </w:rPr>
      </w:pPr>
      <w:r>
        <w:rPr>
          <w:rStyle w:val="128"/>
          <w:rFonts w:hint="default" w:ascii="Times New Roman" w:hAnsi="Times New Roman" w:eastAsia="Times New Roman" w:cs="Times New Roman"/>
          <w:b/>
          <w:sz w:val="24"/>
          <w:szCs w:val="24"/>
          <w:lang w:eastAsia="en-US"/>
        </w:rPr>
        <w:t>8.1</w:t>
      </w:r>
      <w:r>
        <w:rPr>
          <w:rStyle w:val="128"/>
          <w:rFonts w:hint="default" w:ascii="Times New Roman" w:hAnsi="Times New Roman" w:eastAsia="Times New Roman" w:cs="Times New Roman"/>
          <w:sz w:val="24"/>
          <w:szCs w:val="24"/>
          <w:lang w:eastAsia="en-US"/>
        </w:rPr>
        <w:t>. A Câmara Municipal de Primavera do Leste Estado de Mato Grosso obriga-se a:</w:t>
      </w:r>
    </w:p>
    <w:p>
      <w:pPr>
        <w:spacing w:line="240" w:lineRule="auto"/>
        <w:jc w:val="both"/>
        <w:rPr>
          <w:rStyle w:val="128"/>
          <w:rFonts w:hint="default" w:ascii="Times New Roman" w:hAnsi="Times New Roman" w:eastAsia="Times New Roman" w:cs="Times New Roman"/>
          <w:b/>
          <w:sz w:val="24"/>
          <w:szCs w:val="24"/>
          <w:lang w:eastAsia="en-US"/>
        </w:rPr>
      </w:pPr>
      <w:r>
        <w:rPr>
          <w:rStyle w:val="128"/>
          <w:rFonts w:hint="default" w:ascii="Times New Roman" w:hAnsi="Times New Roman" w:eastAsia="Times New Roman" w:cs="Times New Roman"/>
          <w:b/>
          <w:sz w:val="24"/>
          <w:szCs w:val="24"/>
          <w:lang w:eastAsia="en-US"/>
        </w:rPr>
        <w:t>8.1.1</w:t>
      </w:r>
      <w:r>
        <w:rPr>
          <w:rStyle w:val="128"/>
          <w:rFonts w:hint="default" w:ascii="Times New Roman" w:hAnsi="Times New Roman" w:eastAsia="Times New Roman" w:cs="Times New Roman"/>
          <w:sz w:val="24"/>
          <w:szCs w:val="24"/>
          <w:lang w:eastAsia="en-US"/>
        </w:rPr>
        <w:t>. Proporcionar todas as facilidades indispensáveis à boa execução das obrigações a serem contratadas, inclusive permitindo o acesso de empregados, prepostos ou representantes da empresa fornecedoras nas dependências da Câmara Municipal;</w:t>
      </w:r>
    </w:p>
    <w:p>
      <w:pPr>
        <w:spacing w:line="240" w:lineRule="auto"/>
        <w:jc w:val="both"/>
        <w:rPr>
          <w:rStyle w:val="128"/>
          <w:rFonts w:hint="default" w:ascii="Times New Roman" w:hAnsi="Times New Roman" w:eastAsia="Times New Roman" w:cs="Times New Roman"/>
          <w:b/>
          <w:sz w:val="24"/>
          <w:szCs w:val="24"/>
          <w:lang w:eastAsia="en-US"/>
        </w:rPr>
      </w:pPr>
      <w:r>
        <w:rPr>
          <w:rStyle w:val="128"/>
          <w:rFonts w:hint="default" w:ascii="Times New Roman" w:hAnsi="Times New Roman" w:eastAsia="Times New Roman" w:cs="Times New Roman"/>
          <w:b/>
          <w:sz w:val="24"/>
          <w:szCs w:val="24"/>
          <w:lang w:eastAsia="en-US"/>
        </w:rPr>
        <w:t>8.1.2</w:t>
      </w:r>
      <w:r>
        <w:rPr>
          <w:rStyle w:val="128"/>
          <w:rFonts w:hint="default" w:ascii="Times New Roman" w:hAnsi="Times New Roman" w:eastAsia="Times New Roman" w:cs="Times New Roman"/>
          <w:sz w:val="24"/>
          <w:szCs w:val="24"/>
          <w:lang w:eastAsia="en-US"/>
        </w:rPr>
        <w:t>. Permitir ao pessoal da contratada, acesso ao local da entrega;</w:t>
      </w:r>
    </w:p>
    <w:p>
      <w:pPr>
        <w:spacing w:line="240" w:lineRule="auto"/>
        <w:jc w:val="both"/>
        <w:rPr>
          <w:rStyle w:val="128"/>
          <w:rFonts w:hint="default" w:ascii="Times New Roman" w:hAnsi="Times New Roman" w:eastAsia="Times New Roman" w:cs="Times New Roman"/>
          <w:b/>
          <w:sz w:val="24"/>
          <w:szCs w:val="24"/>
          <w:lang w:eastAsia="en-US"/>
        </w:rPr>
      </w:pPr>
      <w:r>
        <w:rPr>
          <w:rStyle w:val="128"/>
          <w:rFonts w:hint="default" w:ascii="Times New Roman" w:hAnsi="Times New Roman" w:eastAsia="Times New Roman" w:cs="Times New Roman"/>
          <w:b/>
          <w:sz w:val="24"/>
          <w:szCs w:val="24"/>
          <w:lang w:eastAsia="en-US"/>
        </w:rPr>
        <w:t>8.1.3</w:t>
      </w:r>
      <w:r>
        <w:rPr>
          <w:rStyle w:val="128"/>
          <w:rFonts w:hint="default" w:ascii="Times New Roman" w:hAnsi="Times New Roman" w:eastAsia="Times New Roman" w:cs="Times New Roman"/>
          <w:sz w:val="24"/>
          <w:szCs w:val="24"/>
          <w:lang w:eastAsia="en-US"/>
        </w:rPr>
        <w:t>. Notificar a CONTRATADA de qualquer irregularidade encontrada na entrega do produto;</w:t>
      </w:r>
    </w:p>
    <w:p>
      <w:pPr>
        <w:spacing w:line="240" w:lineRule="auto"/>
        <w:jc w:val="both"/>
        <w:rPr>
          <w:rStyle w:val="128"/>
          <w:rFonts w:hint="default" w:ascii="Times New Roman" w:hAnsi="Times New Roman" w:eastAsia="Times New Roman" w:cs="Times New Roman"/>
          <w:b/>
          <w:sz w:val="24"/>
          <w:szCs w:val="24"/>
          <w:lang w:eastAsia="en-US"/>
        </w:rPr>
      </w:pPr>
      <w:r>
        <w:rPr>
          <w:rStyle w:val="128"/>
          <w:rFonts w:hint="default" w:ascii="Times New Roman" w:hAnsi="Times New Roman" w:eastAsia="Times New Roman" w:cs="Times New Roman"/>
          <w:b/>
          <w:sz w:val="24"/>
          <w:szCs w:val="24"/>
          <w:lang w:eastAsia="en-US"/>
        </w:rPr>
        <w:t>8.1.4</w:t>
      </w:r>
      <w:r>
        <w:rPr>
          <w:rStyle w:val="128"/>
          <w:rFonts w:hint="default" w:ascii="Times New Roman" w:hAnsi="Times New Roman" w:eastAsia="Times New Roman" w:cs="Times New Roman"/>
          <w:sz w:val="24"/>
          <w:szCs w:val="24"/>
          <w:lang w:eastAsia="en-US"/>
        </w:rPr>
        <w:t>. Efetuar os pagamentos devidos, nas condições estabelecidas neste Termo de Referência, garantindo a real disponibilidade financeira para a quitação de seus débitos frente a empresa fornecedora do produto ora licitado, sob pena de ilegalidade dos atos;</w:t>
      </w:r>
    </w:p>
    <w:p>
      <w:pPr>
        <w:spacing w:line="240" w:lineRule="auto"/>
        <w:jc w:val="both"/>
        <w:rPr>
          <w:rStyle w:val="128"/>
          <w:rFonts w:hint="default" w:ascii="Times New Roman" w:hAnsi="Times New Roman" w:eastAsia="Times New Roman" w:cs="Times New Roman"/>
          <w:b/>
          <w:sz w:val="24"/>
          <w:szCs w:val="24"/>
          <w:lang w:eastAsia="en-US"/>
        </w:rPr>
      </w:pPr>
      <w:r>
        <w:rPr>
          <w:rStyle w:val="128"/>
          <w:rFonts w:hint="default" w:ascii="Times New Roman" w:hAnsi="Times New Roman" w:eastAsia="Times New Roman" w:cs="Times New Roman"/>
          <w:b/>
          <w:sz w:val="24"/>
          <w:szCs w:val="24"/>
          <w:lang w:eastAsia="en-US"/>
        </w:rPr>
        <w:t>8.1.5</w:t>
      </w:r>
      <w:r>
        <w:rPr>
          <w:rStyle w:val="128"/>
          <w:rFonts w:hint="default" w:ascii="Times New Roman" w:hAnsi="Times New Roman" w:eastAsia="Times New Roman" w:cs="Times New Roman"/>
          <w:sz w:val="24"/>
          <w:szCs w:val="24"/>
          <w:lang w:eastAsia="en-US"/>
        </w:rPr>
        <w:t>. Receber o objeto homologado, nos termos, prazos, quantitativos, qualidade e condições estabelecidas neste instrumento;</w:t>
      </w:r>
    </w:p>
    <w:p>
      <w:pPr>
        <w:spacing w:line="240" w:lineRule="auto"/>
        <w:jc w:val="both"/>
        <w:rPr>
          <w:rStyle w:val="128"/>
          <w:rFonts w:hint="default" w:ascii="Times New Roman" w:hAnsi="Times New Roman" w:eastAsia="Times New Roman" w:cs="Times New Roman"/>
          <w:b/>
          <w:sz w:val="24"/>
          <w:szCs w:val="24"/>
          <w:lang w:eastAsia="en-US"/>
        </w:rPr>
      </w:pPr>
      <w:r>
        <w:rPr>
          <w:rStyle w:val="128"/>
          <w:rFonts w:hint="default" w:ascii="Times New Roman" w:hAnsi="Times New Roman" w:eastAsia="Times New Roman" w:cs="Times New Roman"/>
          <w:b/>
          <w:sz w:val="24"/>
          <w:szCs w:val="24"/>
          <w:lang w:eastAsia="en-US"/>
        </w:rPr>
        <w:t>8.2</w:t>
      </w:r>
      <w:r>
        <w:rPr>
          <w:rStyle w:val="128"/>
          <w:rFonts w:hint="default" w:ascii="Times New Roman" w:hAnsi="Times New Roman" w:eastAsia="Times New Roman" w:cs="Times New Roman"/>
          <w:sz w:val="24"/>
          <w:szCs w:val="24"/>
          <w:lang w:eastAsia="en-US"/>
        </w:rPr>
        <w:t>. Recusar e devolver nas seguintes hipóteses:</w:t>
      </w:r>
    </w:p>
    <w:p>
      <w:pPr>
        <w:spacing w:line="240" w:lineRule="auto"/>
        <w:jc w:val="both"/>
        <w:rPr>
          <w:rStyle w:val="128"/>
          <w:rFonts w:hint="default" w:ascii="Times New Roman" w:hAnsi="Times New Roman" w:eastAsia="Times New Roman" w:cs="Times New Roman"/>
          <w:b/>
          <w:sz w:val="24"/>
          <w:szCs w:val="24"/>
          <w:lang w:eastAsia="en-US"/>
        </w:rPr>
      </w:pPr>
      <w:r>
        <w:rPr>
          <w:rStyle w:val="128"/>
          <w:rFonts w:hint="default" w:ascii="Times New Roman" w:hAnsi="Times New Roman" w:eastAsia="Times New Roman" w:cs="Times New Roman"/>
          <w:b/>
          <w:sz w:val="24"/>
          <w:szCs w:val="24"/>
          <w:lang w:eastAsia="en-US"/>
        </w:rPr>
        <w:t>8.2.1</w:t>
      </w:r>
      <w:r>
        <w:rPr>
          <w:rStyle w:val="128"/>
          <w:rFonts w:hint="default" w:ascii="Times New Roman" w:hAnsi="Times New Roman" w:eastAsia="Times New Roman" w:cs="Times New Roman"/>
          <w:sz w:val="24"/>
          <w:szCs w:val="24"/>
          <w:lang w:eastAsia="en-US"/>
        </w:rPr>
        <w:t>. Que apresentarem vício de qualidade ou impropriedade para o uso;</w:t>
      </w:r>
    </w:p>
    <w:p>
      <w:pPr>
        <w:spacing w:line="240" w:lineRule="auto"/>
        <w:jc w:val="both"/>
        <w:rPr>
          <w:rStyle w:val="128"/>
          <w:rFonts w:hint="default" w:ascii="Times New Roman" w:hAnsi="Times New Roman" w:eastAsia="Times New Roman" w:cs="Times New Roman"/>
          <w:b/>
          <w:sz w:val="24"/>
          <w:szCs w:val="24"/>
          <w:lang w:eastAsia="en-US"/>
        </w:rPr>
      </w:pPr>
      <w:r>
        <w:rPr>
          <w:rStyle w:val="128"/>
          <w:rFonts w:hint="default" w:ascii="Times New Roman" w:hAnsi="Times New Roman" w:eastAsia="Times New Roman" w:cs="Times New Roman"/>
          <w:b/>
          <w:sz w:val="24"/>
          <w:szCs w:val="24"/>
          <w:lang w:eastAsia="en-US"/>
        </w:rPr>
        <w:t>8.2.2</w:t>
      </w:r>
      <w:r>
        <w:rPr>
          <w:rStyle w:val="128"/>
          <w:rFonts w:hint="default" w:ascii="Times New Roman" w:hAnsi="Times New Roman" w:eastAsia="Times New Roman" w:cs="Times New Roman"/>
          <w:sz w:val="24"/>
          <w:szCs w:val="24"/>
          <w:lang w:eastAsia="en-US"/>
        </w:rPr>
        <w:t>. Que possuírem nota fiscal com especificação e quantidade em desacordo com solicitado;</w:t>
      </w:r>
    </w:p>
    <w:p>
      <w:pPr>
        <w:spacing w:line="240" w:lineRule="auto"/>
        <w:jc w:val="both"/>
        <w:rPr>
          <w:rStyle w:val="128"/>
          <w:rFonts w:hint="default" w:ascii="Times New Roman" w:hAnsi="Times New Roman" w:eastAsia="Times New Roman" w:cs="Times New Roman"/>
          <w:b/>
          <w:sz w:val="24"/>
          <w:szCs w:val="24"/>
          <w:lang w:eastAsia="en-US"/>
        </w:rPr>
      </w:pPr>
      <w:r>
        <w:rPr>
          <w:rStyle w:val="128"/>
          <w:rFonts w:hint="default" w:ascii="Times New Roman" w:hAnsi="Times New Roman" w:eastAsia="Times New Roman" w:cs="Times New Roman"/>
          <w:b/>
          <w:sz w:val="24"/>
          <w:szCs w:val="24"/>
          <w:lang w:eastAsia="en-US"/>
        </w:rPr>
        <w:t>8.2.3</w:t>
      </w:r>
      <w:r>
        <w:rPr>
          <w:rStyle w:val="128"/>
          <w:rFonts w:hint="default" w:ascii="Times New Roman" w:hAnsi="Times New Roman" w:eastAsia="Times New Roman" w:cs="Times New Roman"/>
          <w:sz w:val="24"/>
          <w:szCs w:val="24"/>
          <w:lang w:eastAsia="en-US"/>
        </w:rPr>
        <w:t>. Quando entregues em desacordo com as especificações dos requisitos obrigatórios deste.</w:t>
      </w:r>
    </w:p>
    <w:p>
      <w:pPr>
        <w:spacing w:line="240" w:lineRule="auto"/>
        <w:jc w:val="both"/>
        <w:rPr>
          <w:rStyle w:val="128"/>
          <w:rFonts w:hint="default" w:ascii="Times New Roman" w:hAnsi="Times New Roman" w:eastAsia="Times New Roman" w:cs="Times New Roman"/>
          <w:b/>
          <w:sz w:val="24"/>
          <w:szCs w:val="24"/>
          <w:lang w:eastAsia="en-US"/>
        </w:rPr>
      </w:pPr>
      <w:r>
        <w:rPr>
          <w:rStyle w:val="128"/>
          <w:rFonts w:hint="default" w:ascii="Times New Roman" w:hAnsi="Times New Roman" w:eastAsia="Times New Roman" w:cs="Times New Roman"/>
          <w:b/>
          <w:sz w:val="24"/>
          <w:szCs w:val="24"/>
          <w:lang w:eastAsia="en-US"/>
        </w:rPr>
        <w:t>8.3.</w:t>
      </w:r>
      <w:r>
        <w:rPr>
          <w:rStyle w:val="128"/>
          <w:rFonts w:hint="default" w:ascii="Times New Roman" w:hAnsi="Times New Roman" w:eastAsia="Times New Roman" w:cs="Times New Roman"/>
          <w:sz w:val="24"/>
          <w:szCs w:val="24"/>
          <w:lang w:eastAsia="en-US"/>
        </w:rPr>
        <w:t xml:space="preserve"> O recebimento provisório dar-se-á, por responsável indicado pela Câmara Municipal de Primavera do Leste, no ato da entrega do produto e da nota fiscal pela adjudicatária;</w:t>
      </w:r>
    </w:p>
    <w:p>
      <w:pPr>
        <w:spacing w:line="240" w:lineRule="auto"/>
        <w:jc w:val="both"/>
        <w:rPr>
          <w:rStyle w:val="128"/>
          <w:rFonts w:hint="default" w:ascii="Times New Roman" w:hAnsi="Times New Roman" w:eastAsia="Times New Roman" w:cs="Times New Roman"/>
          <w:b/>
          <w:sz w:val="24"/>
          <w:szCs w:val="24"/>
          <w:lang w:eastAsia="en-US"/>
        </w:rPr>
      </w:pPr>
      <w:r>
        <w:rPr>
          <w:rStyle w:val="128"/>
          <w:rFonts w:hint="default" w:ascii="Times New Roman" w:hAnsi="Times New Roman" w:eastAsia="Times New Roman" w:cs="Times New Roman"/>
          <w:b/>
          <w:sz w:val="24"/>
          <w:szCs w:val="24"/>
          <w:lang w:eastAsia="en-US"/>
        </w:rPr>
        <w:t>8.4.</w:t>
      </w:r>
      <w:r>
        <w:rPr>
          <w:rStyle w:val="128"/>
          <w:rFonts w:hint="default" w:ascii="Times New Roman" w:hAnsi="Times New Roman" w:eastAsia="Times New Roman" w:cs="Times New Roman"/>
          <w:sz w:val="24"/>
          <w:szCs w:val="24"/>
          <w:lang w:eastAsia="en-US"/>
        </w:rPr>
        <w:t xml:space="preserve"> O recebimento provisório não implica sua aceitação, podendo ser rejeitados, no todo ou em parte, quando em desacordo com as especificações constantes neste Termo de Referência e na proposta, devendo ser substituídos no prazo de até 02 (duas) horas após a notificação pela Câmara Municipal;</w:t>
      </w:r>
    </w:p>
    <w:p>
      <w:pPr>
        <w:spacing w:line="240" w:lineRule="auto"/>
        <w:jc w:val="both"/>
        <w:rPr>
          <w:rStyle w:val="128"/>
          <w:rFonts w:hint="default" w:ascii="Times New Roman" w:hAnsi="Times New Roman" w:eastAsia="Times New Roman" w:cs="Times New Roman"/>
          <w:b/>
          <w:sz w:val="24"/>
          <w:szCs w:val="24"/>
          <w:lang w:eastAsia="en-US"/>
        </w:rPr>
      </w:pPr>
      <w:r>
        <w:rPr>
          <w:rStyle w:val="128"/>
          <w:rFonts w:hint="default" w:ascii="Times New Roman" w:hAnsi="Times New Roman" w:eastAsia="Times New Roman" w:cs="Times New Roman"/>
          <w:b/>
          <w:sz w:val="24"/>
          <w:szCs w:val="24"/>
          <w:lang w:eastAsia="en-US"/>
        </w:rPr>
        <w:t>8.5</w:t>
      </w:r>
      <w:r>
        <w:rPr>
          <w:rStyle w:val="128"/>
          <w:rFonts w:hint="default" w:ascii="Times New Roman" w:hAnsi="Times New Roman" w:eastAsia="Times New Roman" w:cs="Times New Roman"/>
          <w:sz w:val="24"/>
          <w:szCs w:val="24"/>
          <w:lang w:eastAsia="en-US"/>
        </w:rPr>
        <w:t>. O recebimento definitivo dar-se-á, pela Câmara Municipal, após a verificação do cumprimento das especificações, pelo setor demandante e/ou servidor nomeado pela presidência, nos termos deste e da proposta adjudicada, no prazo de até 07 (sete) dias úteis, contados do recebimento provisório;</w:t>
      </w:r>
    </w:p>
    <w:p>
      <w:pPr>
        <w:spacing w:line="240" w:lineRule="auto"/>
        <w:jc w:val="both"/>
        <w:rPr>
          <w:rStyle w:val="128"/>
          <w:rFonts w:hint="default" w:ascii="Times New Roman" w:hAnsi="Times New Roman" w:eastAsia="Times New Roman" w:cs="Times New Roman"/>
          <w:b/>
          <w:sz w:val="24"/>
          <w:szCs w:val="24"/>
          <w:lang w:eastAsia="en-US"/>
        </w:rPr>
      </w:pPr>
      <w:r>
        <w:rPr>
          <w:rStyle w:val="128"/>
          <w:rFonts w:hint="default" w:ascii="Times New Roman" w:hAnsi="Times New Roman" w:eastAsia="Times New Roman" w:cs="Times New Roman"/>
          <w:b/>
          <w:sz w:val="24"/>
          <w:szCs w:val="24"/>
          <w:lang w:eastAsia="en-US"/>
        </w:rPr>
        <w:t>8.6</w:t>
      </w:r>
      <w:r>
        <w:rPr>
          <w:rStyle w:val="128"/>
          <w:rFonts w:hint="default" w:ascii="Times New Roman" w:hAnsi="Times New Roman" w:eastAsia="Times New Roman" w:cs="Times New Roman"/>
          <w:sz w:val="24"/>
          <w:szCs w:val="24"/>
          <w:lang w:eastAsia="en-US"/>
        </w:rPr>
        <w:t>. Efetuar o pagamento, após o recebimento definitivo, o qual deverá ser atestado por servidor designado pela presidência;</w:t>
      </w:r>
    </w:p>
    <w:p>
      <w:pPr>
        <w:spacing w:line="240" w:lineRule="auto"/>
        <w:jc w:val="both"/>
        <w:rPr>
          <w:rFonts w:hint="default" w:ascii="Times New Roman" w:hAnsi="Times New Roman" w:eastAsia="Times New Roman" w:cs="Times New Roman"/>
          <w:b/>
          <w:sz w:val="24"/>
          <w:szCs w:val="24"/>
          <w:lang w:eastAsia="en-US"/>
        </w:rPr>
      </w:pPr>
      <w:r>
        <w:rPr>
          <w:rStyle w:val="128"/>
          <w:rFonts w:hint="default" w:ascii="Times New Roman" w:hAnsi="Times New Roman" w:eastAsia="Times New Roman" w:cs="Times New Roman"/>
          <w:b/>
          <w:sz w:val="24"/>
          <w:szCs w:val="24"/>
          <w:lang w:eastAsia="en-US"/>
        </w:rPr>
        <w:t>8.7.</w:t>
      </w:r>
      <w:r>
        <w:rPr>
          <w:rStyle w:val="128"/>
          <w:rFonts w:hint="default" w:ascii="Times New Roman" w:hAnsi="Times New Roman" w:eastAsia="Times New Roman" w:cs="Times New Roman"/>
          <w:sz w:val="24"/>
          <w:szCs w:val="24"/>
          <w:lang w:eastAsia="en-US"/>
        </w:rPr>
        <w:t xml:space="preserve"> Formalizar e convocar a consignatária da Ata de Registro de Preços, para assinatura nos termos da legislação pertinente e, consequentemente, emitir nota de empenho.</w:t>
      </w:r>
    </w:p>
    <w:p>
      <w:pPr>
        <w:spacing w:line="240" w:lineRule="auto"/>
        <w:jc w:val="both"/>
        <w:rPr>
          <w:rFonts w:hint="default" w:ascii="Times New Roman" w:hAnsi="Times New Roman" w:eastAsia="Times New Roman" w:cs="Times New Roman"/>
          <w:b/>
          <w:sz w:val="24"/>
          <w:szCs w:val="24"/>
          <w:lang w:eastAsia="en-US"/>
        </w:rPr>
      </w:pPr>
    </w:p>
    <w:p>
      <w:pPr>
        <w:spacing w:line="240" w:lineRule="auto"/>
        <w:jc w:val="both"/>
        <w:rPr>
          <w:rStyle w:val="128"/>
          <w:rFonts w:hint="default" w:ascii="Times New Roman" w:hAnsi="Times New Roman" w:eastAsia="Times New Roman" w:cs="Times New Roman"/>
          <w:b/>
          <w:sz w:val="24"/>
          <w:szCs w:val="24"/>
          <w:lang w:eastAsia="en-US"/>
        </w:rPr>
      </w:pPr>
      <w:r>
        <w:rPr>
          <w:rFonts w:hint="default" w:ascii="Times New Roman" w:hAnsi="Times New Roman" w:eastAsia="Times New Roman" w:cs="Times New Roman"/>
          <w:b/>
          <w:sz w:val="24"/>
          <w:szCs w:val="24"/>
          <w:lang w:eastAsia="en-US"/>
        </w:rPr>
        <w:t>9. Vigência do Contrato:</w:t>
      </w:r>
    </w:p>
    <w:p>
      <w:pPr>
        <w:spacing w:line="240" w:lineRule="auto"/>
        <w:jc w:val="both"/>
        <w:rPr>
          <w:rFonts w:hint="default" w:ascii="Times New Roman" w:hAnsi="Times New Roman" w:eastAsia="Times New Roman" w:cs="Times New Roman"/>
          <w:sz w:val="24"/>
          <w:szCs w:val="24"/>
          <w:lang w:eastAsia="en-US"/>
        </w:rPr>
      </w:pPr>
      <w:r>
        <w:rPr>
          <w:rStyle w:val="128"/>
          <w:rFonts w:hint="default" w:ascii="Times New Roman" w:hAnsi="Times New Roman" w:eastAsia="Times New Roman" w:cs="Times New Roman"/>
          <w:b/>
          <w:sz w:val="24"/>
          <w:szCs w:val="24"/>
          <w:lang w:eastAsia="en-US"/>
        </w:rPr>
        <w:t>9.1</w:t>
      </w:r>
      <w:r>
        <w:rPr>
          <w:rStyle w:val="128"/>
          <w:rFonts w:hint="default" w:ascii="Times New Roman" w:hAnsi="Times New Roman" w:eastAsia="Times New Roman" w:cs="Times New Roman"/>
          <w:sz w:val="24"/>
          <w:szCs w:val="24"/>
          <w:lang w:eastAsia="en-US"/>
        </w:rPr>
        <w:t xml:space="preserve"> O prazo de vigência do Contrato ou documento equivalente, </w:t>
      </w:r>
      <w:r>
        <w:rPr>
          <w:rStyle w:val="128"/>
          <w:rFonts w:hint="default" w:ascii="Times New Roman" w:hAnsi="Times New Roman" w:eastAsia="Times New Roman" w:cs="Times New Roman"/>
          <w:sz w:val="24"/>
          <w:szCs w:val="24"/>
          <w:u w:val="none"/>
          <w:lang w:eastAsia="en-US"/>
        </w:rPr>
        <w:t>será 12 (doze) meses a partir da data da sua assinatura</w:t>
      </w:r>
      <w:r>
        <w:rPr>
          <w:rStyle w:val="128"/>
          <w:rFonts w:hint="default" w:ascii="Times New Roman" w:hAnsi="Times New Roman" w:eastAsia="Times New Roman" w:cs="Times New Roman"/>
          <w:sz w:val="24"/>
          <w:szCs w:val="24"/>
          <w:lang w:eastAsia="en-US"/>
        </w:rPr>
        <w:t>, a qual será feita publicação no Diário Oficial do Município de Primavera do Leste – MT, a vigência dos contratos decorrentes da Ata de Registro de Preço, regula-se pela Lei n. 14.133/2021, especificamente no art. 84 e seus incisos, podendo ser prorrogado na forma da lei.</w:t>
      </w:r>
    </w:p>
    <w:p>
      <w:pPr>
        <w:spacing w:line="240" w:lineRule="auto"/>
        <w:jc w:val="both"/>
        <w:rPr>
          <w:rFonts w:hint="default" w:ascii="Times New Roman" w:hAnsi="Times New Roman" w:eastAsia="Times New Roman" w:cs="Times New Roman"/>
          <w:sz w:val="24"/>
          <w:szCs w:val="24"/>
          <w:lang w:eastAsia="en-US"/>
        </w:rPr>
      </w:pPr>
    </w:p>
    <w:p>
      <w:pPr>
        <w:spacing w:line="240" w:lineRule="auto"/>
        <w:jc w:val="both"/>
        <w:rPr>
          <w:rStyle w:val="128"/>
          <w:rFonts w:hint="default" w:ascii="Times New Roman" w:hAnsi="Times New Roman" w:eastAsia="Times New Roman" w:cs="Times New Roman"/>
          <w:b/>
          <w:sz w:val="24"/>
          <w:szCs w:val="24"/>
          <w:lang w:eastAsia="en-US"/>
        </w:rPr>
      </w:pPr>
      <w:r>
        <w:rPr>
          <w:rFonts w:hint="default" w:ascii="Times New Roman" w:hAnsi="Times New Roman" w:eastAsia="Times New Roman" w:cs="Times New Roman"/>
          <w:b/>
          <w:sz w:val="24"/>
          <w:szCs w:val="24"/>
          <w:lang w:eastAsia="en-US"/>
        </w:rPr>
        <w:t>10. Das condições de pagamento:</w:t>
      </w:r>
    </w:p>
    <w:p>
      <w:pPr>
        <w:spacing w:line="240" w:lineRule="auto"/>
        <w:jc w:val="both"/>
        <w:rPr>
          <w:rFonts w:hint="default" w:ascii="Times New Roman" w:hAnsi="Times New Roman" w:eastAsia="Times New Roman" w:cs="Times New Roman"/>
          <w:b/>
          <w:sz w:val="24"/>
          <w:szCs w:val="24"/>
          <w:lang w:eastAsia="en-US"/>
        </w:rPr>
      </w:pPr>
      <w:r>
        <w:rPr>
          <w:rStyle w:val="128"/>
          <w:rFonts w:hint="default" w:ascii="Times New Roman" w:hAnsi="Times New Roman" w:eastAsia="Times New Roman" w:cs="Times New Roman"/>
          <w:b/>
          <w:sz w:val="24"/>
          <w:szCs w:val="24"/>
          <w:lang w:eastAsia="en-US"/>
        </w:rPr>
        <w:t>10.1</w:t>
      </w:r>
      <w:r>
        <w:rPr>
          <w:rStyle w:val="128"/>
          <w:rFonts w:hint="default" w:ascii="Times New Roman" w:hAnsi="Times New Roman" w:eastAsia="Times New Roman" w:cs="Times New Roman"/>
          <w:sz w:val="24"/>
          <w:szCs w:val="24"/>
          <w:lang w:eastAsia="en-US"/>
        </w:rPr>
        <w:t xml:space="preserve"> O Órgão efetuará o pagamento à CONTRATADA, através de crédito em conta-corrente mantida pela CONTRATADA, preferencialmente em até o 5º (quinto) dia útil, contados a partir da data da apresentação da nota fiscal discriminativa acompanhada da correspondente Ordem de Fornecimento, com o respectivo comprovante, de que o fornecimento foi realizado a contento.</w:t>
      </w:r>
    </w:p>
    <w:p>
      <w:pPr>
        <w:spacing w:line="240" w:lineRule="auto"/>
        <w:jc w:val="both"/>
        <w:rPr>
          <w:rFonts w:hint="default" w:ascii="Times New Roman" w:hAnsi="Times New Roman" w:eastAsia="Times New Roman" w:cs="Times New Roman"/>
          <w:b/>
          <w:sz w:val="24"/>
          <w:szCs w:val="24"/>
          <w:lang w:eastAsia="en-US"/>
        </w:rPr>
      </w:pPr>
    </w:p>
    <w:p>
      <w:pPr>
        <w:spacing w:line="240" w:lineRule="auto"/>
        <w:jc w:val="both"/>
        <w:rPr>
          <w:rStyle w:val="128"/>
          <w:rFonts w:hint="default" w:ascii="Times New Roman" w:hAnsi="Times New Roman" w:eastAsia="Arial" w:cs="Times New Roman"/>
          <w:b/>
          <w:sz w:val="24"/>
          <w:szCs w:val="24"/>
          <w:lang w:eastAsia="en-US"/>
        </w:rPr>
      </w:pPr>
      <w:r>
        <w:rPr>
          <w:rFonts w:hint="default" w:ascii="Times New Roman" w:hAnsi="Times New Roman" w:eastAsia="Times New Roman" w:cs="Times New Roman"/>
          <w:b/>
          <w:sz w:val="24"/>
          <w:szCs w:val="24"/>
          <w:lang w:eastAsia="en-US"/>
        </w:rPr>
        <w:t>11. Da dotação orçamentária:</w:t>
      </w:r>
    </w:p>
    <w:p>
      <w:pPr>
        <w:spacing w:line="240" w:lineRule="auto"/>
        <w:jc w:val="both"/>
        <w:rPr>
          <w:rFonts w:hint="default" w:ascii="Times New Roman" w:hAnsi="Times New Roman" w:eastAsia="Arial" w:cs="Times New Roman"/>
          <w:sz w:val="24"/>
          <w:szCs w:val="24"/>
          <w:lang w:eastAsia="en-US"/>
        </w:rPr>
      </w:pPr>
      <w:r>
        <w:rPr>
          <w:rStyle w:val="128"/>
          <w:rFonts w:hint="default" w:ascii="Times New Roman" w:hAnsi="Times New Roman" w:eastAsia="Arial" w:cs="Times New Roman"/>
          <w:b/>
          <w:sz w:val="24"/>
          <w:szCs w:val="24"/>
          <w:lang w:eastAsia="en-US"/>
        </w:rPr>
        <w:t>11.1</w:t>
      </w:r>
      <w:r>
        <w:rPr>
          <w:rStyle w:val="128"/>
          <w:rFonts w:hint="default" w:ascii="Times New Roman" w:hAnsi="Times New Roman" w:eastAsia="Arial" w:cs="Times New Roman"/>
          <w:sz w:val="24"/>
          <w:szCs w:val="24"/>
          <w:lang w:eastAsia="en-US"/>
        </w:rPr>
        <w:t>. As despesas oriundas da presente aquisição ocorrerão nas dotações orçamentárias relacionadas abaixo:</w:t>
      </w:r>
    </w:p>
    <w:tbl>
      <w:tblPr>
        <w:tblStyle w:val="10"/>
        <w:tblW w:w="0" w:type="auto"/>
        <w:tblInd w:w="55" w:type="dxa"/>
        <w:tblLayout w:type="fixed"/>
        <w:tblCellMar>
          <w:top w:w="55" w:type="dxa"/>
          <w:left w:w="55" w:type="dxa"/>
          <w:bottom w:w="55" w:type="dxa"/>
          <w:right w:w="55" w:type="dxa"/>
        </w:tblCellMar>
      </w:tblPr>
      <w:tblGrid>
        <w:gridCol w:w="2160"/>
        <w:gridCol w:w="2657"/>
        <w:gridCol w:w="4256"/>
      </w:tblGrid>
      <w:tr>
        <w:tblPrEx>
          <w:tblCellMar>
            <w:top w:w="55" w:type="dxa"/>
            <w:left w:w="55" w:type="dxa"/>
            <w:bottom w:w="55" w:type="dxa"/>
            <w:right w:w="55" w:type="dxa"/>
          </w:tblCellMar>
        </w:tblPrEx>
        <w:tc>
          <w:tcPr>
            <w:tcW w:w="2160" w:type="dxa"/>
            <w:tcBorders>
              <w:top w:val="single" w:color="000000" w:sz="0" w:space="0"/>
              <w:left w:val="single" w:color="000000" w:sz="0" w:space="0"/>
              <w:bottom w:val="single" w:color="000000" w:sz="0" w:space="0"/>
            </w:tcBorders>
            <w:shd w:val="clear" w:color="auto" w:fill="auto"/>
            <w:noWrap w:val="0"/>
            <w:vAlign w:val="top"/>
          </w:tcPr>
          <w:p>
            <w:pPr>
              <w:pStyle w:val="179"/>
              <w:spacing w:line="240" w:lineRule="auto"/>
              <w:rPr>
                <w:rFonts w:hint="default" w:ascii="Times New Roman" w:hAnsi="Times New Roman" w:cs="Times New Roman"/>
                <w:sz w:val="24"/>
                <w:szCs w:val="24"/>
              </w:rPr>
            </w:pPr>
            <w:r>
              <w:rPr>
                <w:rFonts w:hint="default" w:ascii="Times New Roman" w:hAnsi="Times New Roman" w:cs="Times New Roman"/>
                <w:sz w:val="24"/>
                <w:szCs w:val="24"/>
              </w:rPr>
              <w:t>Órgão</w:t>
            </w:r>
          </w:p>
        </w:tc>
        <w:tc>
          <w:tcPr>
            <w:tcW w:w="2657" w:type="dxa"/>
            <w:tcBorders>
              <w:top w:val="single" w:color="000000" w:sz="0" w:space="0"/>
              <w:left w:val="single" w:color="000000" w:sz="0" w:space="0"/>
              <w:bottom w:val="single" w:color="000000" w:sz="0" w:space="0"/>
            </w:tcBorders>
            <w:shd w:val="clear" w:color="auto" w:fill="auto"/>
            <w:noWrap w:val="0"/>
            <w:vAlign w:val="top"/>
          </w:tcPr>
          <w:p>
            <w:pPr>
              <w:pStyle w:val="179"/>
              <w:spacing w:line="240" w:lineRule="auto"/>
              <w:rPr>
                <w:rFonts w:hint="default" w:ascii="Times New Roman" w:hAnsi="Times New Roman" w:cs="Times New Roman"/>
                <w:sz w:val="24"/>
                <w:szCs w:val="24"/>
              </w:rPr>
            </w:pPr>
            <w:r>
              <w:rPr>
                <w:rFonts w:hint="default" w:ascii="Times New Roman" w:hAnsi="Times New Roman" w:cs="Times New Roman"/>
                <w:sz w:val="24"/>
                <w:szCs w:val="24"/>
              </w:rPr>
              <w:t>01</w:t>
            </w:r>
          </w:p>
        </w:tc>
        <w:tc>
          <w:tcPr>
            <w:tcW w:w="4256" w:type="dxa"/>
            <w:tcBorders>
              <w:top w:val="single" w:color="000000" w:sz="0" w:space="0"/>
              <w:left w:val="single" w:color="000000" w:sz="0" w:space="0"/>
              <w:bottom w:val="single" w:color="000000" w:sz="0" w:space="0"/>
              <w:right w:val="single" w:color="000000" w:sz="0" w:space="0"/>
            </w:tcBorders>
            <w:shd w:val="clear" w:color="auto" w:fill="auto"/>
            <w:noWrap w:val="0"/>
            <w:vAlign w:val="top"/>
          </w:tcPr>
          <w:p>
            <w:pPr>
              <w:pStyle w:val="179"/>
              <w:spacing w:line="240" w:lineRule="auto"/>
              <w:rPr>
                <w:rFonts w:hint="default" w:ascii="Times New Roman" w:hAnsi="Times New Roman" w:cs="Times New Roman"/>
              </w:rPr>
            </w:pPr>
            <w:r>
              <w:rPr>
                <w:rFonts w:hint="default" w:ascii="Times New Roman" w:hAnsi="Times New Roman" w:cs="Times New Roman"/>
                <w:sz w:val="24"/>
                <w:szCs w:val="24"/>
              </w:rPr>
              <w:t>CÂMARA MUNICIPAL</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179"/>
              <w:spacing w:line="240" w:lineRule="auto"/>
              <w:rPr>
                <w:rFonts w:hint="default" w:ascii="Times New Roman" w:hAnsi="Times New Roman" w:cs="Times New Roman"/>
                <w:sz w:val="24"/>
                <w:szCs w:val="24"/>
              </w:rPr>
            </w:pPr>
            <w:r>
              <w:rPr>
                <w:rFonts w:hint="default" w:ascii="Times New Roman" w:hAnsi="Times New Roman" w:cs="Times New Roman"/>
                <w:sz w:val="24"/>
                <w:szCs w:val="24"/>
              </w:rPr>
              <w:t>Unid Orçamentária</w:t>
            </w:r>
          </w:p>
        </w:tc>
        <w:tc>
          <w:tcPr>
            <w:tcW w:w="2657" w:type="dxa"/>
            <w:tcBorders>
              <w:left w:val="single" w:color="000000" w:sz="0" w:space="0"/>
              <w:bottom w:val="single" w:color="000000" w:sz="0" w:space="0"/>
            </w:tcBorders>
            <w:shd w:val="clear" w:color="auto" w:fill="auto"/>
            <w:noWrap w:val="0"/>
            <w:vAlign w:val="top"/>
          </w:tcPr>
          <w:p>
            <w:pPr>
              <w:pStyle w:val="179"/>
              <w:spacing w:line="240" w:lineRule="auto"/>
              <w:rPr>
                <w:rFonts w:hint="default" w:ascii="Times New Roman" w:hAnsi="Times New Roman" w:cs="Times New Roman"/>
                <w:sz w:val="24"/>
                <w:szCs w:val="24"/>
              </w:rPr>
            </w:pPr>
            <w:r>
              <w:rPr>
                <w:rFonts w:hint="default" w:ascii="Times New Roman" w:hAnsi="Times New Roman" w:cs="Times New Roman"/>
                <w:sz w:val="24"/>
                <w:szCs w:val="24"/>
              </w:rPr>
              <w:t>01.00.01</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179"/>
              <w:spacing w:line="240" w:lineRule="auto"/>
              <w:rPr>
                <w:rFonts w:hint="default" w:ascii="Times New Roman" w:hAnsi="Times New Roman" w:cs="Times New Roman"/>
              </w:rPr>
            </w:pPr>
            <w:r>
              <w:rPr>
                <w:rFonts w:hint="default" w:ascii="Times New Roman" w:hAnsi="Times New Roman" w:cs="Times New Roman"/>
                <w:sz w:val="24"/>
                <w:szCs w:val="24"/>
              </w:rPr>
              <w:t>DEPARTAMENTO ADMINISTRATIVO</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179"/>
              <w:spacing w:line="240" w:lineRule="auto"/>
              <w:rPr>
                <w:rFonts w:hint="default" w:ascii="Times New Roman" w:hAnsi="Times New Roman" w:cs="Times New Roman"/>
                <w:sz w:val="24"/>
                <w:szCs w:val="24"/>
              </w:rPr>
            </w:pPr>
            <w:r>
              <w:rPr>
                <w:rFonts w:hint="default" w:ascii="Times New Roman" w:hAnsi="Times New Roman" w:cs="Times New Roman"/>
                <w:sz w:val="24"/>
                <w:szCs w:val="24"/>
              </w:rPr>
              <w:t>Unidade Executora</w:t>
            </w:r>
          </w:p>
        </w:tc>
        <w:tc>
          <w:tcPr>
            <w:tcW w:w="2657" w:type="dxa"/>
            <w:tcBorders>
              <w:left w:val="single" w:color="000000" w:sz="0" w:space="0"/>
              <w:bottom w:val="single" w:color="000000" w:sz="0" w:space="0"/>
            </w:tcBorders>
            <w:shd w:val="clear" w:color="auto" w:fill="auto"/>
            <w:noWrap w:val="0"/>
            <w:vAlign w:val="top"/>
          </w:tcPr>
          <w:p>
            <w:pPr>
              <w:pStyle w:val="179"/>
              <w:spacing w:line="240" w:lineRule="auto"/>
              <w:rPr>
                <w:rFonts w:hint="default" w:ascii="Times New Roman" w:hAnsi="Times New Roman" w:cs="Times New Roman"/>
                <w:sz w:val="24"/>
                <w:szCs w:val="24"/>
              </w:rPr>
            </w:pPr>
            <w:r>
              <w:rPr>
                <w:rFonts w:hint="default" w:ascii="Times New Roman" w:hAnsi="Times New Roman" w:cs="Times New Roman"/>
                <w:sz w:val="24"/>
                <w:szCs w:val="24"/>
              </w:rPr>
              <w:t>01.001</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179"/>
              <w:spacing w:line="240" w:lineRule="auto"/>
              <w:rPr>
                <w:rFonts w:hint="default" w:ascii="Times New Roman" w:hAnsi="Times New Roman" w:cs="Times New Roman"/>
              </w:rPr>
            </w:pPr>
            <w:r>
              <w:rPr>
                <w:rFonts w:hint="default" w:ascii="Times New Roman" w:hAnsi="Times New Roman" w:cs="Times New Roman"/>
                <w:sz w:val="24"/>
                <w:szCs w:val="24"/>
              </w:rPr>
              <w:t>DEPARTAMENTO ADMINISTRATIVO</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179"/>
              <w:spacing w:line="240" w:lineRule="auto"/>
              <w:rPr>
                <w:rFonts w:hint="default" w:ascii="Times New Roman" w:hAnsi="Times New Roman" w:cs="Times New Roman"/>
                <w:sz w:val="24"/>
                <w:szCs w:val="24"/>
              </w:rPr>
            </w:pPr>
            <w:r>
              <w:rPr>
                <w:rFonts w:hint="default" w:ascii="Times New Roman" w:hAnsi="Times New Roman" w:cs="Times New Roman"/>
                <w:sz w:val="24"/>
                <w:szCs w:val="24"/>
              </w:rPr>
              <w:t>Função programática</w:t>
            </w:r>
          </w:p>
        </w:tc>
        <w:tc>
          <w:tcPr>
            <w:tcW w:w="2657" w:type="dxa"/>
            <w:tcBorders>
              <w:left w:val="single" w:color="000000" w:sz="0" w:space="0"/>
              <w:bottom w:val="single" w:color="000000" w:sz="0" w:space="0"/>
            </w:tcBorders>
            <w:shd w:val="clear" w:color="auto" w:fill="auto"/>
            <w:noWrap w:val="0"/>
            <w:vAlign w:val="top"/>
          </w:tcPr>
          <w:p>
            <w:pPr>
              <w:pStyle w:val="179"/>
              <w:spacing w:line="240" w:lineRule="auto"/>
              <w:rPr>
                <w:rFonts w:hint="default" w:ascii="Times New Roman" w:hAnsi="Times New Roman" w:cs="Times New Roman"/>
                <w:sz w:val="24"/>
                <w:szCs w:val="24"/>
              </w:rPr>
            </w:pPr>
            <w:r>
              <w:rPr>
                <w:rFonts w:hint="default" w:ascii="Times New Roman" w:hAnsi="Times New Roman" w:cs="Times New Roman"/>
                <w:sz w:val="24"/>
                <w:szCs w:val="24"/>
              </w:rPr>
              <w:t>01.031.0001-2.003</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179"/>
              <w:spacing w:line="240" w:lineRule="auto"/>
              <w:rPr>
                <w:rFonts w:hint="default" w:ascii="Times New Roman" w:hAnsi="Times New Roman" w:cs="Times New Roman"/>
              </w:rPr>
            </w:pPr>
            <w:r>
              <w:rPr>
                <w:rFonts w:hint="default" w:ascii="Times New Roman" w:hAnsi="Times New Roman" w:cs="Times New Roman"/>
                <w:sz w:val="24"/>
                <w:szCs w:val="24"/>
              </w:rPr>
              <w:t>MANUTENÇÃO DA AÇÃO LEGISLATIVA</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179"/>
              <w:spacing w:line="240" w:lineRule="auto"/>
              <w:rPr>
                <w:rFonts w:hint="default" w:ascii="Times New Roman" w:hAnsi="Times New Roman" w:cs="Times New Roman"/>
                <w:sz w:val="24"/>
                <w:szCs w:val="24"/>
              </w:rPr>
            </w:pPr>
            <w:r>
              <w:rPr>
                <w:rFonts w:hint="default" w:ascii="Times New Roman" w:hAnsi="Times New Roman" w:cs="Times New Roman"/>
                <w:sz w:val="24"/>
                <w:szCs w:val="24"/>
              </w:rPr>
              <w:t>Elemento</w:t>
            </w:r>
          </w:p>
        </w:tc>
        <w:tc>
          <w:tcPr>
            <w:tcW w:w="2657" w:type="dxa"/>
            <w:tcBorders>
              <w:left w:val="single" w:color="000000" w:sz="0" w:space="0"/>
              <w:bottom w:val="single" w:color="000000" w:sz="0" w:space="0"/>
            </w:tcBorders>
            <w:shd w:val="clear" w:color="auto" w:fill="auto"/>
            <w:noWrap w:val="0"/>
            <w:vAlign w:val="top"/>
          </w:tcPr>
          <w:p>
            <w:pPr>
              <w:pStyle w:val="179"/>
              <w:spacing w:line="240" w:lineRule="auto"/>
              <w:rPr>
                <w:rFonts w:hint="default" w:ascii="Times New Roman" w:hAnsi="Times New Roman" w:cs="Times New Roman"/>
                <w:sz w:val="24"/>
                <w:szCs w:val="24"/>
              </w:rPr>
            </w:pPr>
            <w:r>
              <w:rPr>
                <w:rFonts w:hint="default" w:ascii="Times New Roman" w:hAnsi="Times New Roman" w:cs="Times New Roman"/>
                <w:sz w:val="24"/>
                <w:szCs w:val="24"/>
              </w:rPr>
              <w:t>3.3.90.30.00</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179"/>
              <w:spacing w:line="240" w:lineRule="auto"/>
              <w:rPr>
                <w:rFonts w:hint="default" w:ascii="Times New Roman" w:hAnsi="Times New Roman" w:cs="Times New Roman"/>
              </w:rPr>
            </w:pPr>
            <w:r>
              <w:rPr>
                <w:rFonts w:hint="default" w:ascii="Times New Roman" w:hAnsi="Times New Roman" w:cs="Times New Roman"/>
                <w:sz w:val="24"/>
                <w:szCs w:val="24"/>
              </w:rPr>
              <w:t>MATERIAL DE CONSUMO</w:t>
            </w:r>
          </w:p>
        </w:tc>
      </w:tr>
    </w:tbl>
    <w:p>
      <w:pPr>
        <w:spacing w:line="240" w:lineRule="auto"/>
        <w:jc w:val="both"/>
        <w:rPr>
          <w:rFonts w:hint="default" w:ascii="Times New Roman" w:hAnsi="Times New Roman" w:eastAsia="Times New Roman" w:cs="Times New Roman"/>
          <w:b/>
          <w:sz w:val="24"/>
          <w:szCs w:val="24"/>
          <w:lang w:eastAsia="en-US"/>
        </w:rPr>
      </w:pPr>
    </w:p>
    <w:p>
      <w:pPr>
        <w:spacing w:line="240" w:lineRule="auto"/>
        <w:jc w:val="both"/>
        <w:rPr>
          <w:rStyle w:val="128"/>
          <w:rFonts w:hint="default" w:ascii="Times New Roman" w:hAnsi="Times New Roman" w:eastAsia="Times New Roman" w:cs="Times New Roman"/>
          <w:b/>
          <w:sz w:val="24"/>
          <w:szCs w:val="24"/>
          <w:lang w:eastAsia="en-US"/>
        </w:rPr>
      </w:pPr>
      <w:r>
        <w:rPr>
          <w:rFonts w:hint="default" w:ascii="Times New Roman" w:hAnsi="Times New Roman" w:eastAsia="Times New Roman" w:cs="Times New Roman"/>
          <w:b/>
          <w:sz w:val="24"/>
          <w:szCs w:val="24"/>
          <w:lang w:eastAsia="en-US"/>
        </w:rPr>
        <w:t>12. Da Fiscalização:</w:t>
      </w:r>
    </w:p>
    <w:p>
      <w:pPr>
        <w:spacing w:line="240" w:lineRule="auto"/>
        <w:jc w:val="both"/>
        <w:rPr>
          <w:rStyle w:val="128"/>
          <w:rFonts w:hint="default" w:ascii="Times New Roman" w:hAnsi="Times New Roman" w:eastAsia="Times New Roman" w:cs="Times New Roman"/>
          <w:b/>
          <w:sz w:val="24"/>
          <w:szCs w:val="24"/>
          <w:lang w:eastAsia="en-US"/>
        </w:rPr>
      </w:pPr>
      <w:r>
        <w:rPr>
          <w:rStyle w:val="128"/>
          <w:rFonts w:hint="default" w:ascii="Times New Roman" w:hAnsi="Times New Roman" w:eastAsia="Times New Roman" w:cs="Times New Roman"/>
          <w:b/>
          <w:sz w:val="24"/>
          <w:szCs w:val="24"/>
          <w:lang w:eastAsia="en-US"/>
        </w:rPr>
        <w:t>12.1</w:t>
      </w:r>
      <w:r>
        <w:rPr>
          <w:rStyle w:val="128"/>
          <w:rFonts w:hint="default" w:ascii="Times New Roman" w:hAnsi="Times New Roman" w:eastAsia="Times New Roman" w:cs="Times New Roman"/>
          <w:sz w:val="24"/>
          <w:szCs w:val="24"/>
          <w:lang w:eastAsia="en-US"/>
        </w:rPr>
        <w:t>. A fiscalização será exercida por um representante da Câmara Municipal de Primavera do Leste, designado pelo Órgão, ao qual competirá dirimir as dúvidas que surgirem e de tudo dará ciência ao credenciante.</w:t>
      </w:r>
    </w:p>
    <w:p>
      <w:pPr>
        <w:spacing w:line="240" w:lineRule="auto"/>
        <w:jc w:val="both"/>
        <w:rPr>
          <w:rFonts w:hint="default" w:ascii="Times New Roman" w:hAnsi="Times New Roman" w:eastAsia="Times New Roman" w:cs="Times New Roman"/>
          <w:b/>
          <w:sz w:val="24"/>
          <w:szCs w:val="24"/>
          <w:lang w:eastAsia="en-US"/>
        </w:rPr>
      </w:pPr>
      <w:r>
        <w:rPr>
          <w:rStyle w:val="128"/>
          <w:rFonts w:hint="default" w:ascii="Times New Roman" w:hAnsi="Times New Roman" w:eastAsia="Times New Roman" w:cs="Times New Roman"/>
          <w:b/>
          <w:sz w:val="24"/>
          <w:szCs w:val="24"/>
          <w:lang w:eastAsia="en-US"/>
        </w:rPr>
        <w:t>12.2</w:t>
      </w:r>
      <w:r>
        <w:rPr>
          <w:rStyle w:val="128"/>
          <w:rFonts w:hint="default" w:ascii="Times New Roman" w:hAnsi="Times New Roman" w:eastAsia="Times New Roman" w:cs="Times New Roman"/>
          <w:sz w:val="24"/>
          <w:szCs w:val="24"/>
          <w:lang w:eastAsia="en-US"/>
        </w:rPr>
        <w:t>. Tal Fiscalização não exclui nem reduz a responsabilidade da empresa vencedora do certame, inclusive perante a terceiro, por qualquer irregularidade, resultante de imperfeições técnicas, vício redibitório, ou emprego de material inadequado ou de qualidade inferior e, na ocorrência desta, não implica corresponsabilidade da Câmara Municipal ou de seus agentes e prepostos.</w:t>
      </w:r>
    </w:p>
    <w:p>
      <w:pPr>
        <w:spacing w:line="240" w:lineRule="auto"/>
        <w:jc w:val="both"/>
        <w:rPr>
          <w:rStyle w:val="128"/>
          <w:rFonts w:hint="default" w:ascii="Times New Roman" w:hAnsi="Times New Roman" w:eastAsia="Times New Roman" w:cs="Times New Roman"/>
          <w:b/>
          <w:bCs/>
          <w:sz w:val="24"/>
          <w:szCs w:val="24"/>
          <w:lang w:eastAsia="en-US"/>
        </w:rPr>
      </w:pPr>
      <w:r>
        <w:rPr>
          <w:rFonts w:hint="default" w:ascii="Times New Roman" w:hAnsi="Times New Roman" w:eastAsia="Times New Roman" w:cs="Times New Roman"/>
          <w:b/>
          <w:sz w:val="24"/>
          <w:szCs w:val="24"/>
          <w:lang w:eastAsia="en-US"/>
        </w:rPr>
        <w:t>13. Dos Casos Omissos:</w:t>
      </w:r>
    </w:p>
    <w:p>
      <w:pPr>
        <w:spacing w:line="240" w:lineRule="auto"/>
        <w:jc w:val="both"/>
        <w:rPr>
          <w:rFonts w:hint="default" w:ascii="Times New Roman" w:hAnsi="Times New Roman" w:eastAsia="Times New Roman" w:cs="Times New Roman"/>
          <w:b/>
          <w:sz w:val="24"/>
          <w:szCs w:val="24"/>
          <w:lang w:eastAsia="en-US"/>
        </w:rPr>
      </w:pPr>
      <w:r>
        <w:rPr>
          <w:rStyle w:val="128"/>
          <w:rFonts w:hint="default" w:ascii="Times New Roman" w:hAnsi="Times New Roman" w:eastAsia="Times New Roman" w:cs="Times New Roman"/>
          <w:b/>
          <w:bCs/>
          <w:sz w:val="24"/>
          <w:szCs w:val="24"/>
          <w:lang w:eastAsia="en-US"/>
        </w:rPr>
        <w:t>13.1.</w:t>
      </w:r>
      <w:r>
        <w:rPr>
          <w:rStyle w:val="128"/>
          <w:rFonts w:hint="default" w:ascii="Times New Roman" w:hAnsi="Times New Roman" w:eastAsia="Times New Roman" w:cs="Times New Roman"/>
          <w:sz w:val="24"/>
          <w:szCs w:val="24"/>
          <w:lang w:eastAsia="en-US"/>
        </w:rPr>
        <w:t xml:space="preserve"> Os casos omissos deverão ser dirimidos de acordo com a Lei 14.133/2021 (artigo 54, XII).</w:t>
      </w:r>
    </w:p>
    <w:p>
      <w:pPr>
        <w:spacing w:line="240" w:lineRule="auto"/>
        <w:jc w:val="both"/>
        <w:rPr>
          <w:rStyle w:val="128"/>
          <w:rFonts w:hint="default" w:ascii="Times New Roman" w:hAnsi="Times New Roman" w:eastAsia="Times New Roman" w:cs="Times New Roman"/>
          <w:b/>
          <w:sz w:val="24"/>
          <w:szCs w:val="24"/>
          <w:lang w:eastAsia="en-US"/>
        </w:rPr>
      </w:pPr>
      <w:r>
        <w:rPr>
          <w:rFonts w:hint="default" w:ascii="Times New Roman" w:hAnsi="Times New Roman" w:eastAsia="Times New Roman" w:cs="Times New Roman"/>
          <w:b/>
          <w:sz w:val="24"/>
          <w:szCs w:val="24"/>
          <w:lang w:eastAsia="en-US"/>
        </w:rPr>
        <w:t>14. Do Cancelamento da Ata de Registro de Preços:</w:t>
      </w:r>
    </w:p>
    <w:p>
      <w:pPr>
        <w:spacing w:line="240" w:lineRule="auto"/>
        <w:jc w:val="both"/>
        <w:rPr>
          <w:rStyle w:val="128"/>
          <w:rFonts w:hint="default" w:ascii="Times New Roman" w:hAnsi="Times New Roman" w:eastAsia="Times New Roman" w:cs="Times New Roman"/>
          <w:b/>
          <w:sz w:val="24"/>
          <w:szCs w:val="24"/>
          <w:lang w:eastAsia="en-US"/>
        </w:rPr>
      </w:pPr>
      <w:r>
        <w:rPr>
          <w:rStyle w:val="128"/>
          <w:rFonts w:hint="default" w:ascii="Times New Roman" w:hAnsi="Times New Roman" w:eastAsia="Times New Roman" w:cs="Times New Roman"/>
          <w:b/>
          <w:sz w:val="24"/>
          <w:szCs w:val="24"/>
          <w:lang w:eastAsia="en-US"/>
        </w:rPr>
        <w:t>14.1.</w:t>
      </w:r>
      <w:r>
        <w:rPr>
          <w:rStyle w:val="128"/>
          <w:rFonts w:hint="default" w:ascii="Times New Roman" w:hAnsi="Times New Roman" w:eastAsia="Times New Roman" w:cs="Times New Roman"/>
          <w:sz w:val="24"/>
          <w:szCs w:val="24"/>
          <w:lang w:eastAsia="en-US"/>
        </w:rPr>
        <w:t xml:space="preserve"> O preço registrado poderá ser cancelado nas seguintes hipóteses:</w:t>
      </w:r>
    </w:p>
    <w:p>
      <w:pPr>
        <w:spacing w:line="240" w:lineRule="auto"/>
        <w:jc w:val="both"/>
        <w:rPr>
          <w:rStyle w:val="128"/>
          <w:rFonts w:hint="default" w:ascii="Times New Roman" w:hAnsi="Times New Roman" w:eastAsia="Times New Roman" w:cs="Times New Roman"/>
          <w:b/>
          <w:sz w:val="24"/>
          <w:szCs w:val="24"/>
          <w:lang w:eastAsia="en-US"/>
        </w:rPr>
      </w:pPr>
      <w:r>
        <w:rPr>
          <w:rStyle w:val="128"/>
          <w:rFonts w:hint="default" w:ascii="Times New Roman" w:hAnsi="Times New Roman" w:eastAsia="Times New Roman" w:cs="Times New Roman"/>
          <w:b/>
          <w:sz w:val="24"/>
          <w:szCs w:val="24"/>
          <w:lang w:eastAsia="en-US"/>
        </w:rPr>
        <w:t>14.1.1</w:t>
      </w:r>
      <w:r>
        <w:rPr>
          <w:rStyle w:val="128"/>
          <w:rFonts w:hint="default" w:ascii="Times New Roman" w:hAnsi="Times New Roman" w:eastAsia="Times New Roman" w:cs="Times New Roman"/>
          <w:sz w:val="24"/>
          <w:szCs w:val="24"/>
          <w:lang w:eastAsia="en-US"/>
        </w:rPr>
        <w:t>. Pela Administração, no interesse público, ou quando o fornecedor:</w:t>
      </w:r>
    </w:p>
    <w:p>
      <w:pPr>
        <w:spacing w:line="240" w:lineRule="auto"/>
        <w:jc w:val="both"/>
        <w:rPr>
          <w:rStyle w:val="128"/>
          <w:rFonts w:hint="default" w:ascii="Times New Roman" w:hAnsi="Times New Roman" w:eastAsia="Times New Roman" w:cs="Times New Roman"/>
          <w:b/>
          <w:sz w:val="24"/>
          <w:szCs w:val="24"/>
          <w:lang w:eastAsia="en-US"/>
        </w:rPr>
      </w:pPr>
      <w:r>
        <w:rPr>
          <w:rStyle w:val="128"/>
          <w:rFonts w:hint="default" w:ascii="Times New Roman" w:hAnsi="Times New Roman" w:eastAsia="Times New Roman" w:cs="Times New Roman"/>
          <w:b/>
          <w:sz w:val="24"/>
          <w:szCs w:val="24"/>
          <w:lang w:eastAsia="en-US"/>
        </w:rPr>
        <w:t>14.1.2</w:t>
      </w:r>
      <w:r>
        <w:rPr>
          <w:rStyle w:val="128"/>
          <w:rFonts w:hint="default" w:ascii="Times New Roman" w:hAnsi="Times New Roman" w:eastAsia="Times New Roman" w:cs="Times New Roman"/>
          <w:sz w:val="24"/>
          <w:szCs w:val="24"/>
          <w:lang w:eastAsia="en-US"/>
        </w:rPr>
        <w:t>. Não cumprir as exigências da Ata de Registro de Preços;</w:t>
      </w:r>
    </w:p>
    <w:p>
      <w:pPr>
        <w:spacing w:line="240" w:lineRule="auto"/>
        <w:jc w:val="both"/>
        <w:rPr>
          <w:rStyle w:val="128"/>
          <w:rFonts w:hint="default" w:ascii="Times New Roman" w:hAnsi="Times New Roman" w:eastAsia="Times New Roman" w:cs="Times New Roman"/>
          <w:b/>
          <w:sz w:val="24"/>
          <w:szCs w:val="24"/>
          <w:lang w:eastAsia="en-US"/>
        </w:rPr>
      </w:pPr>
      <w:r>
        <w:rPr>
          <w:rStyle w:val="128"/>
          <w:rFonts w:hint="default" w:ascii="Times New Roman" w:hAnsi="Times New Roman" w:eastAsia="Times New Roman" w:cs="Times New Roman"/>
          <w:b/>
          <w:sz w:val="24"/>
          <w:szCs w:val="24"/>
          <w:lang w:eastAsia="en-US"/>
        </w:rPr>
        <w:t>14.1.3</w:t>
      </w:r>
      <w:r>
        <w:rPr>
          <w:rStyle w:val="128"/>
          <w:rFonts w:hint="default" w:ascii="Times New Roman" w:hAnsi="Times New Roman" w:eastAsia="Times New Roman" w:cs="Times New Roman"/>
          <w:sz w:val="24"/>
          <w:szCs w:val="24"/>
          <w:lang w:eastAsia="en-US"/>
        </w:rPr>
        <w:t>. Não formalizar Contrato ou documento equivalente (artigo 95, da Lei 14.133/2021) decorrente do Registro de Preços ou não retirar o instrumento equivalente no prazo estabelecido, sem justificativa aceitável;</w:t>
      </w:r>
    </w:p>
    <w:p>
      <w:pPr>
        <w:spacing w:line="240" w:lineRule="auto"/>
        <w:jc w:val="both"/>
        <w:rPr>
          <w:rStyle w:val="128"/>
          <w:rFonts w:hint="default" w:ascii="Times New Roman" w:hAnsi="Times New Roman" w:eastAsia="Times New Roman" w:cs="Times New Roman"/>
          <w:b/>
          <w:sz w:val="24"/>
          <w:szCs w:val="24"/>
          <w:lang w:eastAsia="en-US"/>
        </w:rPr>
      </w:pPr>
      <w:r>
        <w:rPr>
          <w:rStyle w:val="128"/>
          <w:rFonts w:hint="default" w:ascii="Times New Roman" w:hAnsi="Times New Roman" w:eastAsia="Times New Roman" w:cs="Times New Roman"/>
          <w:b/>
          <w:sz w:val="24"/>
          <w:szCs w:val="24"/>
          <w:lang w:eastAsia="en-US"/>
        </w:rPr>
        <w:t>14.1.4</w:t>
      </w:r>
      <w:r>
        <w:rPr>
          <w:rStyle w:val="128"/>
          <w:rFonts w:hint="default" w:ascii="Times New Roman" w:hAnsi="Times New Roman" w:eastAsia="Times New Roman" w:cs="Times New Roman"/>
          <w:sz w:val="24"/>
          <w:szCs w:val="24"/>
          <w:lang w:eastAsia="en-US"/>
        </w:rPr>
        <w:t>. Não aceitar reduzir o preço registrado, na hipótese de se tornar este superior aos praticados no mercado;</w:t>
      </w:r>
    </w:p>
    <w:p>
      <w:pPr>
        <w:spacing w:line="240" w:lineRule="auto"/>
        <w:jc w:val="both"/>
        <w:rPr>
          <w:rStyle w:val="128"/>
          <w:rFonts w:hint="default" w:ascii="Times New Roman" w:hAnsi="Times New Roman" w:eastAsia="Times New Roman" w:cs="Times New Roman"/>
          <w:b/>
          <w:sz w:val="24"/>
          <w:szCs w:val="24"/>
          <w:lang w:eastAsia="en-US"/>
        </w:rPr>
      </w:pPr>
      <w:r>
        <w:rPr>
          <w:rStyle w:val="128"/>
          <w:rFonts w:hint="default" w:ascii="Times New Roman" w:hAnsi="Times New Roman" w:eastAsia="Times New Roman" w:cs="Times New Roman"/>
          <w:b/>
          <w:sz w:val="24"/>
          <w:szCs w:val="24"/>
          <w:lang w:eastAsia="en-US"/>
        </w:rPr>
        <w:t>14.1.5</w:t>
      </w:r>
      <w:r>
        <w:rPr>
          <w:rStyle w:val="128"/>
          <w:rFonts w:hint="default" w:ascii="Times New Roman" w:hAnsi="Times New Roman" w:eastAsia="Times New Roman" w:cs="Times New Roman"/>
          <w:sz w:val="24"/>
          <w:szCs w:val="24"/>
          <w:lang w:eastAsia="en-US"/>
        </w:rPr>
        <w:t>. Incorrer em inexecução total ou parcial do contrato ou documento equivalente decorrente do registro de preços;</w:t>
      </w:r>
    </w:p>
    <w:p>
      <w:pPr>
        <w:spacing w:line="240" w:lineRule="auto"/>
        <w:jc w:val="both"/>
        <w:rPr>
          <w:rStyle w:val="128"/>
          <w:rFonts w:hint="default" w:ascii="Times New Roman" w:hAnsi="Times New Roman" w:eastAsia="Times New Roman" w:cs="Times New Roman"/>
          <w:b/>
          <w:sz w:val="24"/>
          <w:szCs w:val="24"/>
          <w:lang w:eastAsia="en-US"/>
        </w:rPr>
      </w:pPr>
      <w:r>
        <w:rPr>
          <w:rStyle w:val="128"/>
          <w:rFonts w:hint="default" w:ascii="Times New Roman" w:hAnsi="Times New Roman" w:eastAsia="Times New Roman" w:cs="Times New Roman"/>
          <w:b/>
          <w:sz w:val="24"/>
          <w:szCs w:val="24"/>
          <w:lang w:eastAsia="en-US"/>
        </w:rPr>
        <w:t>14.1.6</w:t>
      </w:r>
      <w:r>
        <w:rPr>
          <w:rStyle w:val="128"/>
          <w:rFonts w:hint="default" w:ascii="Times New Roman" w:hAnsi="Times New Roman" w:eastAsia="Times New Roman" w:cs="Times New Roman"/>
          <w:sz w:val="24"/>
          <w:szCs w:val="24"/>
          <w:lang w:eastAsia="en-US"/>
        </w:rPr>
        <w:t>. O cancelamento do registro de preços por parte da Administração, assegurados a ampla defesa e o contraditório, será formalizado por decisão da autoridade competente.</w:t>
      </w:r>
    </w:p>
    <w:p>
      <w:pPr>
        <w:spacing w:line="240" w:lineRule="auto"/>
        <w:jc w:val="both"/>
        <w:rPr>
          <w:rStyle w:val="128"/>
          <w:rFonts w:hint="default" w:ascii="Times New Roman" w:hAnsi="Times New Roman" w:eastAsia="Times New Roman" w:cs="Times New Roman"/>
          <w:b/>
          <w:sz w:val="24"/>
          <w:szCs w:val="24"/>
          <w:lang w:eastAsia="en-US"/>
        </w:rPr>
      </w:pPr>
      <w:r>
        <w:rPr>
          <w:rStyle w:val="128"/>
          <w:rFonts w:hint="default" w:ascii="Times New Roman" w:hAnsi="Times New Roman" w:eastAsia="Times New Roman" w:cs="Times New Roman"/>
          <w:b/>
          <w:sz w:val="24"/>
          <w:szCs w:val="24"/>
          <w:lang w:eastAsia="en-US"/>
        </w:rPr>
        <w:t>14.1.7</w:t>
      </w:r>
      <w:r>
        <w:rPr>
          <w:rStyle w:val="128"/>
          <w:rFonts w:hint="default" w:ascii="Times New Roman" w:hAnsi="Times New Roman" w:eastAsia="Times New Roman" w:cs="Times New Roman"/>
          <w:sz w:val="24"/>
          <w:szCs w:val="24"/>
          <w:lang w:eastAsia="en-US"/>
        </w:rPr>
        <w:t>. O cancelamento do registro não prejudica a possibilidade de aplicação de sanção administrativa, quando motivada pela ocorrência de infração cometida pelo particular, observados os critérios estabelecidos na cláusula décima primeira deste instrumento.</w:t>
      </w:r>
    </w:p>
    <w:p>
      <w:pPr>
        <w:spacing w:line="240" w:lineRule="auto"/>
        <w:jc w:val="both"/>
        <w:rPr>
          <w:rStyle w:val="128"/>
          <w:rFonts w:hint="default" w:ascii="Times New Roman" w:hAnsi="Times New Roman" w:eastAsia="Times New Roman" w:cs="Times New Roman"/>
          <w:b/>
          <w:sz w:val="24"/>
          <w:szCs w:val="24"/>
          <w:lang w:eastAsia="en-US"/>
        </w:rPr>
      </w:pPr>
      <w:r>
        <w:rPr>
          <w:rStyle w:val="128"/>
          <w:rFonts w:hint="default" w:ascii="Times New Roman" w:hAnsi="Times New Roman" w:eastAsia="Times New Roman" w:cs="Times New Roman"/>
          <w:b/>
          <w:sz w:val="24"/>
          <w:szCs w:val="24"/>
          <w:lang w:eastAsia="en-US"/>
        </w:rPr>
        <w:t>14.1.8</w:t>
      </w:r>
      <w:r>
        <w:rPr>
          <w:rStyle w:val="128"/>
          <w:rFonts w:hint="default" w:ascii="Times New Roman" w:hAnsi="Times New Roman" w:eastAsia="Times New Roman" w:cs="Times New Roman"/>
          <w:sz w:val="24"/>
          <w:szCs w:val="24"/>
          <w:lang w:eastAsia="en-US"/>
        </w:rPr>
        <w:t>. Da decisão da autoridade competente se dará conhecimento aos licitantes, mediante o envio de correspondência, com aviso de recebimento</w:t>
      </w:r>
    </w:p>
    <w:p>
      <w:pPr>
        <w:spacing w:line="240" w:lineRule="auto"/>
        <w:jc w:val="both"/>
        <w:rPr>
          <w:rStyle w:val="128"/>
          <w:rFonts w:hint="default" w:ascii="Times New Roman" w:hAnsi="Times New Roman" w:eastAsia="Times New Roman" w:cs="Times New Roman"/>
          <w:b/>
          <w:sz w:val="24"/>
          <w:szCs w:val="24"/>
          <w:lang w:eastAsia="en-US"/>
        </w:rPr>
      </w:pPr>
      <w:r>
        <w:rPr>
          <w:rStyle w:val="128"/>
          <w:rFonts w:hint="default" w:ascii="Times New Roman" w:hAnsi="Times New Roman" w:eastAsia="Times New Roman" w:cs="Times New Roman"/>
          <w:b/>
          <w:sz w:val="24"/>
          <w:szCs w:val="24"/>
          <w:lang w:eastAsia="en-US"/>
        </w:rPr>
        <w:t>14.1.9</w:t>
      </w:r>
      <w:r>
        <w:rPr>
          <w:rStyle w:val="128"/>
          <w:rFonts w:hint="default" w:ascii="Times New Roman" w:hAnsi="Times New Roman" w:eastAsia="Times New Roman" w:cs="Times New Roman"/>
          <w:sz w:val="24"/>
          <w:szCs w:val="24"/>
          <w:lang w:eastAsia="en-US"/>
        </w:rPr>
        <w:t>. No caso de ser ignorado, incerto ou inacessível o endereço do contratado, a comunicação será efetivada através de publicação na imprensa oficial, considerando-se cancelado o preço registrado, a contar do terceiro dia subsequente ao da publicação.</w:t>
      </w:r>
    </w:p>
    <w:p>
      <w:pPr>
        <w:spacing w:line="240" w:lineRule="auto"/>
        <w:jc w:val="both"/>
        <w:rPr>
          <w:rFonts w:hint="default" w:ascii="Times New Roman" w:hAnsi="Times New Roman" w:eastAsia="Times New Roman" w:cs="Times New Roman"/>
          <w:b/>
          <w:sz w:val="24"/>
          <w:szCs w:val="24"/>
          <w:lang w:eastAsia="en-US"/>
        </w:rPr>
      </w:pPr>
      <w:r>
        <w:rPr>
          <w:rStyle w:val="128"/>
          <w:rFonts w:hint="default" w:ascii="Times New Roman" w:hAnsi="Times New Roman" w:eastAsia="Times New Roman" w:cs="Times New Roman"/>
          <w:b/>
          <w:sz w:val="24"/>
          <w:szCs w:val="24"/>
          <w:lang w:eastAsia="en-US"/>
        </w:rPr>
        <w:t>14.2</w:t>
      </w:r>
      <w:r>
        <w:rPr>
          <w:rStyle w:val="128"/>
          <w:rFonts w:hint="default" w:ascii="Times New Roman" w:hAnsi="Times New Roman" w:eastAsia="Times New Roman" w:cs="Times New Roman"/>
          <w:sz w:val="24"/>
          <w:szCs w:val="24"/>
          <w:lang w:eastAsia="en-US"/>
        </w:rPr>
        <w:t>. A solicitação, pelo contratado, de cancelamento do preço registrado deverá ser formulada com antecedência mínima de 30 (trinta) dias, instruída com a comprovação dos fatos que justificam o pedido, para apreciação, avaliação e decisão da Administração.</w:t>
      </w:r>
    </w:p>
    <w:p>
      <w:pPr>
        <w:spacing w:line="240" w:lineRule="auto"/>
        <w:jc w:val="both"/>
        <w:rPr>
          <w:rStyle w:val="128"/>
          <w:rFonts w:hint="default" w:ascii="Times New Roman" w:hAnsi="Times New Roman" w:eastAsia="Times New Roman" w:cs="Times New Roman"/>
          <w:b/>
          <w:sz w:val="24"/>
          <w:szCs w:val="24"/>
          <w:lang w:eastAsia="en-US"/>
        </w:rPr>
      </w:pPr>
      <w:r>
        <w:rPr>
          <w:rFonts w:hint="default" w:ascii="Times New Roman" w:hAnsi="Times New Roman" w:eastAsia="Times New Roman" w:cs="Times New Roman"/>
          <w:b/>
          <w:sz w:val="24"/>
          <w:szCs w:val="24"/>
          <w:lang w:eastAsia="en-US"/>
        </w:rPr>
        <w:t>15. Das Sanções:</w:t>
      </w:r>
    </w:p>
    <w:p>
      <w:pPr>
        <w:spacing w:line="240" w:lineRule="auto"/>
        <w:jc w:val="both"/>
        <w:rPr>
          <w:rStyle w:val="128"/>
          <w:rFonts w:hint="default" w:ascii="Times New Roman" w:hAnsi="Times New Roman" w:eastAsia="Times New Roman" w:cs="Times New Roman"/>
          <w:b/>
          <w:sz w:val="24"/>
          <w:szCs w:val="24"/>
          <w:lang w:eastAsia="en-US"/>
        </w:rPr>
      </w:pPr>
      <w:r>
        <w:rPr>
          <w:rStyle w:val="128"/>
          <w:rFonts w:hint="default" w:ascii="Times New Roman" w:hAnsi="Times New Roman" w:eastAsia="Times New Roman" w:cs="Times New Roman"/>
          <w:b/>
          <w:sz w:val="24"/>
          <w:szCs w:val="24"/>
          <w:lang w:eastAsia="en-US"/>
        </w:rPr>
        <w:t>15.1</w:t>
      </w:r>
      <w:r>
        <w:rPr>
          <w:rStyle w:val="128"/>
          <w:rFonts w:hint="default" w:ascii="Times New Roman" w:hAnsi="Times New Roman" w:eastAsia="Times New Roman" w:cs="Times New Roman"/>
          <w:sz w:val="24"/>
          <w:szCs w:val="24"/>
          <w:lang w:eastAsia="en-US"/>
        </w:rPr>
        <w:t>. O descumprimento injustificado das obrigações assumidas neste Termo de Referência sujeita a adjudicada a multas, consoante o paragrafo único do art. 162 da Lei no 14.133/2021, incidentes sobre o valor da Nota de Empenho, na forma seguinte:</w:t>
      </w:r>
    </w:p>
    <w:p>
      <w:pPr>
        <w:spacing w:line="240" w:lineRule="auto"/>
        <w:jc w:val="both"/>
        <w:rPr>
          <w:rStyle w:val="128"/>
          <w:rFonts w:hint="default" w:ascii="Times New Roman" w:hAnsi="Times New Roman" w:eastAsia="Times New Roman" w:cs="Times New Roman"/>
          <w:b/>
          <w:sz w:val="24"/>
          <w:szCs w:val="24"/>
          <w:lang w:eastAsia="en-US"/>
        </w:rPr>
      </w:pPr>
      <w:r>
        <w:rPr>
          <w:rStyle w:val="128"/>
          <w:rFonts w:hint="default" w:ascii="Times New Roman" w:hAnsi="Times New Roman" w:eastAsia="Times New Roman" w:cs="Times New Roman"/>
          <w:b/>
          <w:sz w:val="24"/>
          <w:szCs w:val="24"/>
          <w:lang w:eastAsia="en-US"/>
        </w:rPr>
        <w:t>15.1.1</w:t>
      </w:r>
      <w:r>
        <w:rPr>
          <w:rStyle w:val="128"/>
          <w:rFonts w:hint="default" w:ascii="Times New Roman" w:hAnsi="Times New Roman" w:eastAsia="Times New Roman" w:cs="Times New Roman"/>
          <w:sz w:val="24"/>
          <w:szCs w:val="24"/>
          <w:lang w:eastAsia="en-US"/>
        </w:rPr>
        <w:t>. Atraso acima de 3 (três) dias para a entrega, multa de 1% (um por cento);</w:t>
      </w:r>
    </w:p>
    <w:p>
      <w:pPr>
        <w:spacing w:line="240" w:lineRule="auto"/>
        <w:jc w:val="both"/>
        <w:rPr>
          <w:rStyle w:val="128"/>
          <w:rFonts w:hint="default" w:ascii="Times New Roman" w:hAnsi="Times New Roman" w:eastAsia="Times New Roman" w:cs="Times New Roman"/>
          <w:b/>
          <w:sz w:val="24"/>
          <w:szCs w:val="24"/>
          <w:lang w:eastAsia="en-US"/>
        </w:rPr>
      </w:pPr>
      <w:r>
        <w:rPr>
          <w:rStyle w:val="128"/>
          <w:rFonts w:hint="default" w:ascii="Times New Roman" w:hAnsi="Times New Roman" w:eastAsia="Times New Roman" w:cs="Times New Roman"/>
          <w:b/>
          <w:sz w:val="24"/>
          <w:szCs w:val="24"/>
          <w:lang w:eastAsia="en-US"/>
        </w:rPr>
        <w:t>15.1.2</w:t>
      </w:r>
      <w:r>
        <w:rPr>
          <w:rStyle w:val="128"/>
          <w:rFonts w:hint="default" w:ascii="Times New Roman" w:hAnsi="Times New Roman" w:eastAsia="Times New Roman" w:cs="Times New Roman"/>
          <w:sz w:val="24"/>
          <w:szCs w:val="24"/>
          <w:lang w:eastAsia="en-US"/>
        </w:rPr>
        <w:t>. A partir do 6º (sexto) até o limite do 10º (décimo) dia, multa de 4% (quatro por cento), caracterizando-se a inexecução total da obrigação a partir do 11º (décimo primeiro) dia de atraso.</w:t>
      </w:r>
    </w:p>
    <w:p>
      <w:pPr>
        <w:spacing w:line="240" w:lineRule="auto"/>
        <w:jc w:val="both"/>
        <w:rPr>
          <w:rStyle w:val="128"/>
          <w:rFonts w:hint="default" w:ascii="Times New Roman" w:hAnsi="Times New Roman" w:eastAsia="Times New Roman" w:cs="Times New Roman"/>
          <w:b/>
          <w:sz w:val="24"/>
          <w:szCs w:val="24"/>
          <w:lang w:eastAsia="en-US"/>
        </w:rPr>
      </w:pPr>
      <w:r>
        <w:rPr>
          <w:rStyle w:val="128"/>
          <w:rFonts w:hint="default" w:ascii="Times New Roman" w:hAnsi="Times New Roman" w:eastAsia="Times New Roman" w:cs="Times New Roman"/>
          <w:b/>
          <w:sz w:val="24"/>
          <w:szCs w:val="24"/>
          <w:lang w:eastAsia="en-US"/>
        </w:rPr>
        <w:t>15.2</w:t>
      </w:r>
      <w:r>
        <w:rPr>
          <w:rStyle w:val="128"/>
          <w:rFonts w:hint="default" w:ascii="Times New Roman" w:hAnsi="Times New Roman" w:eastAsia="Times New Roman" w:cs="Times New Roman"/>
          <w:sz w:val="24"/>
          <w:szCs w:val="24"/>
          <w:lang w:eastAsia="en-US"/>
        </w:rPr>
        <w:t>. Sem prejuízo das sanções cominadas pela inexecução total ou parcial do objeto adjudicado, a Câmara Municipal Primavera do Leste poderá, garantida a prévia e ampla defesa, aplicar à Adjudicada multa de até 10% (dez por cento) sobre o valor homologado.</w:t>
      </w:r>
    </w:p>
    <w:p>
      <w:pPr>
        <w:spacing w:line="240" w:lineRule="auto"/>
        <w:jc w:val="both"/>
        <w:rPr>
          <w:rStyle w:val="128"/>
          <w:rFonts w:hint="default" w:ascii="Times New Roman" w:hAnsi="Times New Roman" w:eastAsia="Times New Roman" w:cs="Times New Roman"/>
          <w:b/>
          <w:sz w:val="24"/>
          <w:szCs w:val="24"/>
          <w:lang w:eastAsia="en-US"/>
        </w:rPr>
      </w:pPr>
      <w:r>
        <w:rPr>
          <w:rStyle w:val="128"/>
          <w:rFonts w:hint="default" w:ascii="Times New Roman" w:hAnsi="Times New Roman" w:eastAsia="Times New Roman" w:cs="Times New Roman"/>
          <w:b/>
          <w:sz w:val="24"/>
          <w:szCs w:val="24"/>
          <w:lang w:eastAsia="en-US"/>
        </w:rPr>
        <w:t>15.3</w:t>
      </w:r>
      <w:r>
        <w:rPr>
          <w:rStyle w:val="128"/>
          <w:rFonts w:hint="default" w:ascii="Times New Roman" w:hAnsi="Times New Roman" w:eastAsia="Times New Roman" w:cs="Times New Roman"/>
          <w:sz w:val="24"/>
          <w:szCs w:val="24"/>
          <w:lang w:eastAsia="en-US"/>
        </w:rPr>
        <w:t>. Se a adjudicatária recusar-se a retirar a nota de empenho injustificadamente ou se não apresentar situação regular no ato da feitura da mesma, garantida prévia e ampla defesa, sujeita-se às seguintes penalidades:</w:t>
      </w:r>
    </w:p>
    <w:p>
      <w:pPr>
        <w:spacing w:line="240" w:lineRule="auto"/>
        <w:jc w:val="both"/>
        <w:rPr>
          <w:rStyle w:val="128"/>
          <w:rFonts w:hint="default" w:ascii="Times New Roman" w:hAnsi="Times New Roman" w:eastAsia="Times New Roman" w:cs="Times New Roman"/>
          <w:b/>
          <w:sz w:val="24"/>
          <w:szCs w:val="24"/>
          <w:lang w:eastAsia="en-US"/>
        </w:rPr>
      </w:pPr>
      <w:r>
        <w:rPr>
          <w:rStyle w:val="128"/>
          <w:rFonts w:hint="default" w:ascii="Times New Roman" w:hAnsi="Times New Roman" w:eastAsia="Times New Roman" w:cs="Times New Roman"/>
          <w:b/>
          <w:sz w:val="24"/>
          <w:szCs w:val="24"/>
          <w:lang w:eastAsia="en-US"/>
        </w:rPr>
        <w:t>15.3.1</w:t>
      </w:r>
      <w:r>
        <w:rPr>
          <w:rStyle w:val="128"/>
          <w:rFonts w:hint="default" w:ascii="Times New Roman" w:hAnsi="Times New Roman" w:eastAsia="Times New Roman" w:cs="Times New Roman"/>
          <w:sz w:val="24"/>
          <w:szCs w:val="24"/>
          <w:lang w:eastAsia="en-US"/>
        </w:rPr>
        <w:t>. Multa de até 10% sobre o homologado;</w:t>
      </w:r>
    </w:p>
    <w:p>
      <w:pPr>
        <w:spacing w:line="240" w:lineRule="auto"/>
        <w:jc w:val="both"/>
        <w:rPr>
          <w:rStyle w:val="128"/>
          <w:rFonts w:hint="default" w:ascii="Times New Roman" w:hAnsi="Times New Roman" w:eastAsia="Times New Roman" w:cs="Times New Roman"/>
          <w:b/>
          <w:sz w:val="24"/>
          <w:szCs w:val="24"/>
          <w:lang w:eastAsia="en-US"/>
        </w:rPr>
      </w:pPr>
      <w:r>
        <w:rPr>
          <w:rStyle w:val="128"/>
          <w:rFonts w:hint="default" w:ascii="Times New Roman" w:hAnsi="Times New Roman" w:eastAsia="Times New Roman" w:cs="Times New Roman"/>
          <w:b/>
          <w:sz w:val="24"/>
          <w:szCs w:val="24"/>
          <w:lang w:eastAsia="en-US"/>
        </w:rPr>
        <w:t>15.3.2</w:t>
      </w:r>
      <w:r>
        <w:rPr>
          <w:rStyle w:val="128"/>
          <w:rFonts w:hint="default" w:ascii="Times New Roman" w:hAnsi="Times New Roman" w:eastAsia="Times New Roman" w:cs="Times New Roman"/>
          <w:sz w:val="24"/>
          <w:szCs w:val="24"/>
          <w:lang w:eastAsia="en-US"/>
        </w:rPr>
        <w:t>. Suspensão temporária de participar de licitações e impedimento de contratar com a Administração Pública, por prazo de até 2 (dois) anos, e;</w:t>
      </w:r>
    </w:p>
    <w:p>
      <w:pPr>
        <w:spacing w:line="240" w:lineRule="auto"/>
        <w:jc w:val="both"/>
        <w:rPr>
          <w:rStyle w:val="128"/>
          <w:rFonts w:hint="default" w:ascii="Times New Roman" w:hAnsi="Times New Roman" w:eastAsia="Times New Roman" w:cs="Times New Roman"/>
          <w:b/>
          <w:sz w:val="24"/>
          <w:szCs w:val="24"/>
          <w:lang w:eastAsia="en-US"/>
        </w:rPr>
      </w:pPr>
      <w:r>
        <w:rPr>
          <w:rStyle w:val="128"/>
          <w:rFonts w:hint="default" w:ascii="Times New Roman" w:hAnsi="Times New Roman" w:eastAsia="Times New Roman" w:cs="Times New Roman"/>
          <w:b/>
          <w:sz w:val="24"/>
          <w:szCs w:val="24"/>
          <w:lang w:eastAsia="en-US"/>
        </w:rPr>
        <w:t>15.3.3</w:t>
      </w:r>
      <w:r>
        <w:rPr>
          <w:rStyle w:val="128"/>
          <w:rFonts w:hint="default" w:ascii="Times New Roman" w:hAnsi="Times New Roman" w:eastAsia="Times New Roman" w:cs="Times New Roman"/>
          <w:sz w:val="24"/>
          <w:szCs w:val="24"/>
          <w:lang w:eastAsia="en-US"/>
        </w:rPr>
        <w:t>. Declaração de inidoneidade para licitar ou contratar com a Administração Pública.</w:t>
      </w:r>
    </w:p>
    <w:p>
      <w:pPr>
        <w:spacing w:line="240" w:lineRule="auto"/>
        <w:jc w:val="both"/>
        <w:rPr>
          <w:rStyle w:val="128"/>
          <w:rFonts w:hint="default" w:ascii="Times New Roman" w:hAnsi="Times New Roman" w:eastAsia="Times New Roman" w:cs="Times New Roman"/>
          <w:b/>
          <w:sz w:val="24"/>
          <w:szCs w:val="24"/>
          <w:lang w:eastAsia="en-US"/>
        </w:rPr>
      </w:pPr>
      <w:r>
        <w:rPr>
          <w:rStyle w:val="128"/>
          <w:rFonts w:hint="default" w:ascii="Times New Roman" w:hAnsi="Times New Roman" w:eastAsia="Times New Roman" w:cs="Times New Roman"/>
          <w:b/>
          <w:sz w:val="24"/>
          <w:szCs w:val="24"/>
          <w:lang w:eastAsia="en-US"/>
        </w:rPr>
        <w:t>15.4</w:t>
      </w:r>
      <w:r>
        <w:rPr>
          <w:rStyle w:val="128"/>
          <w:rFonts w:hint="default" w:ascii="Times New Roman" w:hAnsi="Times New Roman" w:eastAsia="Times New Roman" w:cs="Times New Roman"/>
          <w:sz w:val="24"/>
          <w:szCs w:val="24"/>
          <w:lang w:eastAsia="en-US"/>
        </w:rPr>
        <w:t>. A multa, eventualmente imposta à contratada, será automaticamente descontada da fatura a que fizer jus, acrescida de juros moratórios de 1% (um por cento) ao mês. Caso a contratada não tenha nenhum valor a receber desta Câmara Municipal, ser-lhe-á concedido o prazo de 5 (cinco) dias úteis, contados de sua intimação, para efetuar o pagamento da multa, defendo ser recolhida aos cofres do Município de Primavera do Leste - MT.</w:t>
      </w:r>
    </w:p>
    <w:p>
      <w:pPr>
        <w:spacing w:line="240" w:lineRule="auto"/>
        <w:jc w:val="both"/>
        <w:rPr>
          <w:rStyle w:val="128"/>
          <w:rFonts w:hint="default" w:ascii="Times New Roman" w:hAnsi="Times New Roman" w:eastAsia="Times New Roman" w:cs="Times New Roman"/>
          <w:b/>
          <w:sz w:val="24"/>
          <w:szCs w:val="24"/>
          <w:lang w:eastAsia="en-US"/>
        </w:rPr>
      </w:pPr>
      <w:r>
        <w:rPr>
          <w:rStyle w:val="128"/>
          <w:rFonts w:hint="default" w:ascii="Times New Roman" w:hAnsi="Times New Roman" w:eastAsia="Times New Roman" w:cs="Times New Roman"/>
          <w:b/>
          <w:sz w:val="24"/>
          <w:szCs w:val="24"/>
          <w:lang w:eastAsia="en-US"/>
        </w:rPr>
        <w:t>15.5</w:t>
      </w:r>
      <w:r>
        <w:rPr>
          <w:rStyle w:val="128"/>
          <w:rFonts w:hint="default" w:ascii="Times New Roman" w:hAnsi="Times New Roman" w:eastAsia="Times New Roman" w:cs="Times New Roman"/>
          <w:sz w:val="24"/>
          <w:szCs w:val="24"/>
          <w:lang w:eastAsia="en-US"/>
        </w:rPr>
        <w:t>. As multas previstas nesta Seção não eximem a adjudicatária da reparação dos eventuais danos, perdas ou prejuízos que seu ato punível venha causar a Câmara Municipal.</w:t>
      </w:r>
    </w:p>
    <w:p>
      <w:pPr>
        <w:spacing w:line="240" w:lineRule="auto"/>
        <w:jc w:val="both"/>
        <w:rPr>
          <w:rStyle w:val="128"/>
          <w:rFonts w:hint="default" w:ascii="Times New Roman" w:hAnsi="Times New Roman" w:eastAsia="Times New Roman" w:cs="Times New Roman"/>
          <w:b/>
          <w:sz w:val="24"/>
          <w:szCs w:val="24"/>
          <w:lang w:eastAsia="en-US"/>
        </w:rPr>
      </w:pPr>
      <w:r>
        <w:rPr>
          <w:rStyle w:val="128"/>
          <w:rFonts w:hint="default" w:ascii="Times New Roman" w:hAnsi="Times New Roman" w:eastAsia="Times New Roman" w:cs="Times New Roman"/>
          <w:b/>
          <w:sz w:val="24"/>
          <w:szCs w:val="24"/>
          <w:lang w:eastAsia="en-US"/>
        </w:rPr>
        <w:t>15.6</w:t>
      </w:r>
      <w:r>
        <w:rPr>
          <w:rStyle w:val="128"/>
          <w:rFonts w:hint="default" w:ascii="Times New Roman" w:hAnsi="Times New Roman" w:eastAsia="Times New Roman" w:cs="Times New Roman"/>
          <w:sz w:val="24"/>
          <w:szCs w:val="24"/>
          <w:lang w:eastAsia="en-US"/>
        </w:rPr>
        <w:t>. O descumprimento injustificado das obrigações assumidas nos termos do presente Termo sujeita a Contratada a multas e alterações, incidentes sobre o valor da Nota de Empenho, na forma seguinte:</w:t>
      </w:r>
    </w:p>
    <w:p>
      <w:pPr>
        <w:spacing w:line="240" w:lineRule="auto"/>
        <w:jc w:val="both"/>
        <w:rPr>
          <w:rStyle w:val="128"/>
          <w:rFonts w:hint="default" w:ascii="Times New Roman" w:hAnsi="Times New Roman" w:eastAsia="Times New Roman" w:cs="Times New Roman"/>
          <w:b/>
          <w:sz w:val="24"/>
          <w:szCs w:val="24"/>
          <w:lang w:eastAsia="en-US"/>
        </w:rPr>
      </w:pPr>
      <w:r>
        <w:rPr>
          <w:rStyle w:val="128"/>
          <w:rFonts w:hint="default" w:ascii="Times New Roman" w:hAnsi="Times New Roman" w:eastAsia="Times New Roman" w:cs="Times New Roman"/>
          <w:b/>
          <w:sz w:val="24"/>
          <w:szCs w:val="24"/>
          <w:lang w:eastAsia="en-US"/>
        </w:rPr>
        <w:t>15.7</w:t>
      </w:r>
      <w:r>
        <w:rPr>
          <w:rStyle w:val="128"/>
          <w:rFonts w:hint="default" w:ascii="Times New Roman" w:hAnsi="Times New Roman" w:eastAsia="Times New Roman" w:cs="Times New Roman"/>
          <w:sz w:val="24"/>
          <w:szCs w:val="24"/>
          <w:lang w:eastAsia="en-US"/>
        </w:rPr>
        <w:t>. A licitante, adjudicatária ou contratada que deixar de entregar ou apresentar documentação falsa exigida para o certame, ensejar o retardamento da execução de seu objeto, não mantiver a proposta, falhar ou fraudar na execução do contrato, comportar-se de modo inidôneo ou cometer fraude fiscal, garantida prévia e ampla defesa, ficará impedida de licitar e contratar com o Estado pelo prazo de até 05 (cinco) anos, sem prejuízo da ação penal correspondente na forma da lei.</w:t>
      </w:r>
    </w:p>
    <w:p>
      <w:pPr>
        <w:spacing w:line="240" w:lineRule="auto"/>
        <w:jc w:val="both"/>
        <w:rPr>
          <w:rFonts w:hint="default" w:ascii="Times New Roman" w:hAnsi="Times New Roman" w:cs="Times New Roman"/>
        </w:rPr>
      </w:pPr>
      <w:r>
        <w:rPr>
          <w:rStyle w:val="128"/>
          <w:rFonts w:hint="default" w:ascii="Times New Roman" w:hAnsi="Times New Roman" w:eastAsia="Times New Roman" w:cs="Times New Roman"/>
          <w:b/>
          <w:sz w:val="24"/>
          <w:szCs w:val="24"/>
          <w:lang w:eastAsia="en-US"/>
        </w:rPr>
        <w:t>15.8</w:t>
      </w:r>
      <w:r>
        <w:rPr>
          <w:rStyle w:val="128"/>
          <w:rFonts w:hint="default" w:ascii="Times New Roman" w:hAnsi="Times New Roman" w:eastAsia="Times New Roman" w:cs="Times New Roman"/>
          <w:sz w:val="24"/>
          <w:szCs w:val="24"/>
          <w:lang w:eastAsia="en-US"/>
        </w:rPr>
        <w:t>. A solicitação de prorrogação, com a indicação do novo prazo para a execução dos contratos, deverá ser encaminhada a esta Instituição, até 20 (vinte) dias do vencimento do prazo inicialmente estabelecido em contratos, ficando a critério da Administração a sua aceitação.</w:t>
      </w:r>
    </w:p>
    <w:p>
      <w:pPr>
        <w:spacing w:line="240" w:lineRule="auto"/>
        <w:jc w:val="right"/>
        <w:rPr>
          <w:rFonts w:hint="default" w:ascii="Times New Roman" w:hAnsi="Times New Roman" w:cs="Times New Roman"/>
        </w:rPr>
      </w:pPr>
    </w:p>
    <w:p>
      <w:pPr>
        <w:spacing w:line="240" w:lineRule="auto"/>
        <w:jc w:val="right"/>
        <w:rPr>
          <w:rFonts w:hint="default" w:ascii="Times New Roman" w:hAnsi="Times New Roman" w:cs="Times New Roman"/>
          <w:sz w:val="24"/>
          <w:szCs w:val="24"/>
          <w:lang w:val="pt-BR"/>
        </w:rPr>
      </w:pPr>
      <w:r>
        <w:rPr>
          <w:rStyle w:val="128"/>
          <w:rFonts w:hint="default" w:ascii="Times New Roman" w:hAnsi="Times New Roman" w:eastAsia="Times New Roman" w:cs="Times New Roman"/>
          <w:sz w:val="24"/>
          <w:szCs w:val="24"/>
          <w:lang w:eastAsia="en-US"/>
        </w:rPr>
        <w:t xml:space="preserve">Primavera do Leste MT, </w:t>
      </w:r>
      <w:r>
        <w:rPr>
          <w:rStyle w:val="128"/>
          <w:rFonts w:hint="default" w:ascii="Times New Roman" w:hAnsi="Times New Roman" w:eastAsia="Times New Roman" w:cs="Times New Roman"/>
          <w:sz w:val="24"/>
          <w:szCs w:val="24"/>
          <w:lang w:val="pt-BR" w:eastAsia="en-US"/>
        </w:rPr>
        <w:t xml:space="preserve">07 </w:t>
      </w:r>
      <w:r>
        <w:rPr>
          <w:rStyle w:val="128"/>
          <w:rFonts w:hint="default" w:ascii="Times New Roman" w:hAnsi="Times New Roman" w:eastAsia="Times New Roman" w:cs="Times New Roman"/>
          <w:sz w:val="24"/>
          <w:szCs w:val="24"/>
          <w:lang w:eastAsia="en-US"/>
        </w:rPr>
        <w:t xml:space="preserve"> de março de 202</w:t>
      </w:r>
      <w:r>
        <w:rPr>
          <w:rStyle w:val="128"/>
          <w:rFonts w:hint="default" w:ascii="Times New Roman" w:hAnsi="Times New Roman" w:eastAsia="Times New Roman" w:cs="Times New Roman"/>
          <w:sz w:val="24"/>
          <w:szCs w:val="24"/>
          <w:lang w:val="pt-BR" w:eastAsia="en-US"/>
        </w:rPr>
        <w:t>4</w:t>
      </w:r>
    </w:p>
    <w:p>
      <w:pPr>
        <w:spacing w:line="240" w:lineRule="auto"/>
        <w:jc w:val="both"/>
        <w:rPr>
          <w:rFonts w:hint="default" w:ascii="Times New Roman" w:hAnsi="Times New Roman" w:eastAsia="Times New Roman" w:cs="Times New Roman"/>
          <w:b/>
          <w:bCs/>
          <w:color w:val="000000"/>
          <w:sz w:val="24"/>
          <w:szCs w:val="24"/>
          <w:lang w:eastAsia="en-US"/>
        </w:rPr>
      </w:pPr>
    </w:p>
    <w:p>
      <w:pPr>
        <w:spacing w:line="240" w:lineRule="auto"/>
        <w:jc w:val="both"/>
        <w:rPr>
          <w:rFonts w:hint="default" w:ascii="Times New Roman" w:hAnsi="Times New Roman" w:eastAsia="Times New Roman" w:cs="Times New Roman"/>
          <w:b/>
          <w:bCs/>
          <w:color w:val="000000"/>
          <w:sz w:val="24"/>
          <w:szCs w:val="24"/>
          <w:lang w:eastAsia="en-US"/>
        </w:rPr>
      </w:pPr>
    </w:p>
    <w:p>
      <w:pPr>
        <w:spacing w:line="240" w:lineRule="auto"/>
        <w:jc w:val="both"/>
        <w:rPr>
          <w:rFonts w:hint="default" w:ascii="Times New Roman" w:hAnsi="Times New Roman" w:eastAsia="Times New Roman" w:cs="Times New Roman"/>
          <w:b/>
          <w:bCs/>
          <w:color w:val="000000"/>
          <w:sz w:val="24"/>
          <w:szCs w:val="24"/>
          <w:lang w:eastAsia="en-US"/>
        </w:rPr>
      </w:pPr>
    </w:p>
    <w:p>
      <w:pPr>
        <w:spacing w:line="240" w:lineRule="auto"/>
        <w:jc w:val="both"/>
        <w:rPr>
          <w:rFonts w:hint="default" w:ascii="Times New Roman" w:hAnsi="Times New Roman" w:eastAsia="Times New Roman" w:cs="Times New Roman"/>
          <w:b/>
          <w:bCs/>
          <w:color w:val="000000"/>
          <w:sz w:val="24"/>
          <w:szCs w:val="24"/>
          <w:lang w:eastAsia="en-US"/>
        </w:rPr>
      </w:pPr>
    </w:p>
    <w:p>
      <w:pPr>
        <w:spacing w:line="240" w:lineRule="auto"/>
        <w:jc w:val="both"/>
        <w:rPr>
          <w:rFonts w:hint="default" w:ascii="Times New Roman" w:hAnsi="Times New Roman" w:eastAsia="Times New Roman" w:cs="Times New Roman"/>
          <w:b/>
          <w:bCs/>
          <w:color w:val="000000"/>
          <w:sz w:val="24"/>
          <w:szCs w:val="24"/>
          <w:lang w:eastAsia="en-US"/>
        </w:rPr>
      </w:pPr>
    </w:p>
    <w:p>
      <w:pPr>
        <w:spacing w:line="240" w:lineRule="auto"/>
        <w:jc w:val="both"/>
        <w:rPr>
          <w:rFonts w:hint="default" w:ascii="Times New Roman" w:hAnsi="Times New Roman" w:eastAsia="Times New Roman" w:cs="Times New Roman"/>
          <w:b/>
          <w:bCs/>
          <w:color w:val="000000"/>
          <w:sz w:val="24"/>
          <w:szCs w:val="24"/>
          <w:lang w:eastAsia="en-US"/>
        </w:rPr>
      </w:pPr>
    </w:p>
    <w:p>
      <w:pPr>
        <w:pStyle w:val="174"/>
        <w:spacing w:line="240" w:lineRule="auto"/>
        <w:jc w:val="center"/>
        <w:rPr>
          <w:rFonts w:hint="default" w:ascii="Times New Roman" w:hAnsi="Times New Roman" w:eastAsia="Times New Roman" w:cs="Times New Roman"/>
          <w:color w:val="000000"/>
          <w:sz w:val="24"/>
          <w:szCs w:val="24"/>
          <w:lang w:eastAsia="en-US"/>
        </w:rPr>
      </w:pPr>
      <w:r>
        <w:rPr>
          <w:rFonts w:hint="default" w:ascii="Times New Roman" w:hAnsi="Times New Roman" w:eastAsia="Times New Roman" w:cs="Times New Roman"/>
          <w:b/>
          <w:bCs/>
          <w:color w:val="000000"/>
          <w:sz w:val="24"/>
          <w:szCs w:val="24"/>
          <w:lang w:eastAsia="en-US"/>
        </w:rPr>
        <w:t>FLÁVIA APARECIDA DA SILVA</w:t>
      </w:r>
    </w:p>
    <w:p>
      <w:pPr>
        <w:pStyle w:val="174"/>
        <w:spacing w:line="240" w:lineRule="auto"/>
        <w:jc w:val="center"/>
        <w:rPr>
          <w:rFonts w:hint="default" w:ascii="Times New Roman" w:hAnsi="Times New Roman" w:eastAsia="Garamond" w:cs="Times New Roman"/>
          <w:sz w:val="20"/>
          <w:szCs w:val="20"/>
        </w:rPr>
      </w:pPr>
      <w:r>
        <w:rPr>
          <w:rFonts w:hint="default" w:ascii="Times New Roman" w:hAnsi="Times New Roman" w:eastAsia="Times New Roman" w:cs="Times New Roman"/>
          <w:color w:val="000000"/>
          <w:sz w:val="24"/>
          <w:szCs w:val="24"/>
          <w:lang w:eastAsia="en-US"/>
        </w:rPr>
        <w:t>Controle de Estoque</w:t>
      </w:r>
    </w:p>
    <w:p>
      <w:pPr>
        <w:spacing w:line="240" w:lineRule="auto"/>
        <w:jc w:val="center"/>
        <w:rPr>
          <w:rFonts w:hint="default" w:ascii="Times New Roman" w:hAnsi="Times New Roman" w:cs="Times New Roman"/>
          <w:sz w:val="22"/>
          <w:szCs w:val="22"/>
        </w:rPr>
      </w:pPr>
      <w:r>
        <w:rPr>
          <w:rFonts w:hint="default" w:ascii="Times New Roman" w:hAnsi="Times New Roman" w:cs="Times New Roman"/>
        </w:rPr>
        <w:br w:type="page"/>
      </w:r>
    </w:p>
    <w:p>
      <w:pPr>
        <w:pStyle w:val="2"/>
        <w:numPr>
          <w:ilvl w:val="0"/>
          <w:numId w:val="0"/>
        </w:numPr>
        <w:spacing w:before="0" w:after="120"/>
        <w:ind w:left="0" w:firstLine="0"/>
        <w:jc w:val="center"/>
        <w:rPr>
          <w:rFonts w:ascii="Times New Roman" w:hAnsi="Times New Roman"/>
        </w:rPr>
      </w:pPr>
      <w:bookmarkStart w:id="61" w:name="_Toc149517467"/>
      <w:r>
        <w:t>ANEXO II - MODELO DE DECLARAÇÕES</w:t>
      </w:r>
      <w:bookmarkEnd w:id="61"/>
    </w:p>
    <w:p>
      <w:pPr>
        <w:pStyle w:val="130"/>
        <w:tabs>
          <w:tab w:val="left" w:pos="1134"/>
        </w:tabs>
        <w:spacing w:before="120" w:beforeAutospacing="0" w:after="120" w:afterAutospacing="0"/>
        <w:jc w:val="center"/>
        <w:textAlignment w:val="baseline"/>
        <w:rPr>
          <w:rFonts w:ascii="Times New Roman" w:hAnsi="Times New Roman"/>
        </w:rPr>
      </w:pPr>
    </w:p>
    <w:p>
      <w:pPr>
        <w:pStyle w:val="130"/>
        <w:tabs>
          <w:tab w:val="left" w:pos="1134"/>
        </w:tabs>
        <w:spacing w:before="120" w:beforeAutospacing="0" w:after="120" w:afterAutospacing="0"/>
        <w:jc w:val="center"/>
        <w:textAlignment w:val="baseline"/>
        <w:rPr>
          <w:rFonts w:ascii="Times New Roman" w:hAnsi="Times New Roman"/>
        </w:rPr>
      </w:pPr>
      <w:r>
        <w:t>(UTILIZAR PAPEL TIMBRADO DA EMPRESA)</w:t>
      </w:r>
    </w:p>
    <w:p>
      <w:pPr>
        <w:pStyle w:val="130"/>
        <w:tabs>
          <w:tab w:val="left" w:pos="1134"/>
        </w:tabs>
        <w:spacing w:before="120" w:beforeAutospacing="0" w:after="120" w:afterAutospacing="0"/>
        <w:ind w:firstLine="567"/>
        <w:jc w:val="both"/>
        <w:textAlignment w:val="baseline"/>
        <w:rPr>
          <w:rFonts w:ascii="Times New Roman" w:hAnsi="Times New Roman"/>
        </w:rPr>
      </w:pPr>
    </w:p>
    <w:p>
      <w:pPr>
        <w:pStyle w:val="130"/>
        <w:tabs>
          <w:tab w:val="left" w:pos="1134"/>
        </w:tabs>
        <w:spacing w:before="120" w:beforeAutospacing="0" w:after="120" w:afterAutospacing="0"/>
        <w:ind w:firstLine="567"/>
        <w:jc w:val="both"/>
        <w:textAlignment w:val="baseline"/>
        <w:rPr>
          <w:rStyle w:val="45"/>
          <w:rFonts w:hint="default"/>
          <w:color w:val="000000" w:themeColor="text1"/>
          <w:lang w:val="pt-BR"/>
        </w:rPr>
      </w:pPr>
      <w:r>
        <w:t xml:space="preserve">A __________________________ (razão social da empresa), CNPJ nº ______________________, localizada à __________________, por seu representante legal abaixo assinado, em cumprimento ao solicitado no Edital de </w:t>
      </w:r>
      <w:r>
        <w:rPr>
          <w:lang w:val="pt-BR"/>
        </w:rPr>
        <w:t>Pregão nº 006/2024</w:t>
      </w:r>
    </w:p>
    <w:p>
      <w:pPr>
        <w:pStyle w:val="130"/>
        <w:numPr>
          <w:ilvl w:val="2"/>
          <w:numId w:val="1"/>
        </w:numPr>
        <w:tabs>
          <w:tab w:val="left" w:pos="1134"/>
        </w:tabs>
        <w:spacing w:before="120" w:beforeAutospacing="0" w:after="0" w:afterAutospacing="0"/>
        <w:jc w:val="both"/>
        <w:textAlignment w:val="baseline"/>
        <w:rPr>
          <w:rFonts w:ascii="Times New Roman" w:hAnsi="Times New Roman"/>
        </w:rPr>
      </w:pPr>
      <w:r>
        <w:rPr>
          <w:color w:val="000000"/>
        </w:rPr>
        <w:t>está ciente e concorda com as condições contidas no Edital e seus anexos, bem como de que cumpre plenamente os requisitos de habilitação definidos no Edital;</w:t>
      </w:r>
    </w:p>
    <w:p>
      <w:pPr>
        <w:pStyle w:val="130"/>
        <w:numPr>
          <w:ilvl w:val="2"/>
          <w:numId w:val="1"/>
        </w:numPr>
        <w:tabs>
          <w:tab w:val="left" w:pos="1134"/>
        </w:tabs>
        <w:spacing w:before="0" w:after="0"/>
        <w:jc w:val="both"/>
        <w:textAlignment w:val="baseline"/>
        <w:rPr>
          <w:rFonts w:ascii="Times New Roman" w:hAnsi="Times New Roman"/>
        </w:rPr>
      </w:pPr>
      <w:r>
        <w:rPr>
          <w:color w:val="000000"/>
        </w:rPr>
        <w:t>inexistem fatos impeditivos para sua habilitação no certame, ciente da obrigatoriedade de declarar ocorrências posteriores;</w:t>
      </w:r>
    </w:p>
    <w:p>
      <w:pPr>
        <w:pStyle w:val="130"/>
        <w:numPr>
          <w:ilvl w:val="2"/>
          <w:numId w:val="1"/>
        </w:numPr>
        <w:tabs>
          <w:tab w:val="left" w:pos="1134"/>
        </w:tabs>
        <w:spacing w:before="0" w:beforeAutospacing="0" w:after="0" w:afterAutospacing="0"/>
        <w:jc w:val="both"/>
        <w:textAlignment w:val="baseline"/>
      </w:pPr>
      <w:r>
        <w:rPr>
          <w:color w:val="000000"/>
        </w:rPr>
        <w:t xml:space="preserve">não emprega menor de 18 anos em trabalho noturno, perigoso ou insalubre e não emprega menor de 16 anos, salvo menor, a partir de 14 anos, na condição de aprendiz, nos termos do </w:t>
      </w:r>
      <w:r>
        <w:fldChar w:fldCharType="begin"/>
      </w:r>
      <w:r>
        <w:rPr>
          <w:rStyle w:val="54"/>
        </w:rPr>
        <w:instrText xml:space="preserve"> HYPERLINK "https://www.planalto.gov.br/ccivil_03/constituicao/constituicao.htm" \l "art7"</w:instrText>
      </w:r>
      <w:r>
        <w:rPr>
          <w:rStyle w:val="54"/>
        </w:rPr>
        <w:fldChar w:fldCharType="separate"/>
      </w:r>
      <w:r>
        <w:rPr>
          <w:rStyle w:val="54"/>
        </w:rPr>
        <w:t>art. 7°, XXXIII, da Constituição Federal de 1988</w:t>
      </w:r>
      <w:r>
        <w:rPr>
          <w:rStyle w:val="54"/>
        </w:rPr>
        <w:fldChar w:fldCharType="end"/>
      </w:r>
      <w:r>
        <w:rPr>
          <w:color w:val="000000"/>
        </w:rPr>
        <w:t>;</w:t>
      </w:r>
    </w:p>
    <w:p>
      <w:pPr>
        <w:pStyle w:val="130"/>
        <w:numPr>
          <w:ilvl w:val="2"/>
          <w:numId w:val="1"/>
        </w:numPr>
        <w:tabs>
          <w:tab w:val="left" w:pos="1134"/>
        </w:tabs>
        <w:spacing w:before="0" w:beforeAutospacing="0" w:after="0" w:afterAutospacing="0"/>
        <w:jc w:val="both"/>
        <w:textAlignment w:val="baseline"/>
      </w:pPr>
      <w:r>
        <w:rPr>
          <w:color w:val="000000"/>
        </w:rPr>
        <w:t>não mantém vínculo de natureza técnica, comercial, econômica, financeira, trabalhista ou civil com dirigente da Câmara Municipal de Primavera do Leste - MT</w:t>
      </w:r>
      <w:r>
        <w:t xml:space="preserve"> </w:t>
      </w:r>
      <w:r>
        <w:rPr>
          <w:color w:val="000000"/>
        </w:rPr>
        <w:t>ou que deles seja cônjuge, companheiro ou parente em linha reta, colateral ou por afinidade, até o terceiro grau (</w:t>
      </w:r>
      <w:r>
        <w:fldChar w:fldCharType="begin"/>
      </w:r>
      <w:r>
        <w:rPr>
          <w:rStyle w:val="54"/>
        </w:rPr>
        <w:instrText xml:space="preserve"> HYPERLINK "https://www.planalto.gov.br/ccivil_03/_ato2019-2022/2021/lei/l14133.htm" \l "art14"</w:instrText>
      </w:r>
      <w:r>
        <w:rPr>
          <w:rStyle w:val="54"/>
        </w:rPr>
        <w:fldChar w:fldCharType="separate"/>
      </w:r>
      <w:r>
        <w:rPr>
          <w:rStyle w:val="54"/>
        </w:rPr>
        <w:t>art. 14, IV, da Lei Federal nº 14.133, de 2021</w:t>
      </w:r>
      <w:r>
        <w:rPr>
          <w:rStyle w:val="54"/>
        </w:rPr>
        <w:fldChar w:fldCharType="end"/>
      </w:r>
      <w:r>
        <w:rPr>
          <w:color w:val="000000"/>
        </w:rPr>
        <w:t>);</w:t>
      </w:r>
    </w:p>
    <w:p>
      <w:pPr>
        <w:pStyle w:val="130"/>
        <w:numPr>
          <w:ilvl w:val="2"/>
          <w:numId w:val="1"/>
        </w:numPr>
        <w:tabs>
          <w:tab w:val="left" w:pos="1134"/>
        </w:tabs>
        <w:spacing w:before="0" w:beforeAutospacing="0" w:after="120" w:afterAutospacing="0"/>
        <w:jc w:val="both"/>
        <w:textAlignment w:val="baseline"/>
      </w:pPr>
      <w:r>
        <w:rPr>
          <w:color w:val="000000"/>
        </w:rPr>
        <w:t xml:space="preserve">cumpre as exigências de reserva de cargos para pessoa com deficiência e para reabilitado da Previdência Social, previstas em lei e em outras normas específicas, em especial no </w:t>
      </w:r>
      <w:r>
        <w:fldChar w:fldCharType="begin"/>
      </w:r>
      <w:r>
        <w:rPr>
          <w:rStyle w:val="54"/>
        </w:rPr>
        <w:instrText xml:space="preserve"> HYPERLINK "https://www.planalto.gov.br/ccivil_03/leis/l8213cons.htm" \l "art93"</w:instrText>
      </w:r>
      <w:r>
        <w:rPr>
          <w:rStyle w:val="54"/>
        </w:rPr>
        <w:fldChar w:fldCharType="separate"/>
      </w:r>
      <w:r>
        <w:rPr>
          <w:rStyle w:val="54"/>
        </w:rPr>
        <w:t>art. 93 da Lei Federal nº 8.213, de 1991</w:t>
      </w:r>
      <w:r>
        <w:rPr>
          <w:rStyle w:val="54"/>
        </w:rPr>
        <w:fldChar w:fldCharType="end"/>
      </w:r>
      <w:r>
        <w:rPr>
          <w:color w:val="000000"/>
        </w:rPr>
        <w:t xml:space="preserve"> (</w:t>
      </w:r>
      <w:r>
        <w:fldChar w:fldCharType="begin"/>
      </w:r>
      <w:r>
        <w:rPr>
          <w:rStyle w:val="54"/>
        </w:rPr>
        <w:instrText xml:space="preserve"> HYPERLINK "https://www.planalto.gov.br/ccivil_03/_ato2019-2022/2021/lei/l14133.htm" \l "art63"</w:instrText>
      </w:r>
      <w:r>
        <w:rPr>
          <w:rStyle w:val="54"/>
        </w:rPr>
        <w:fldChar w:fldCharType="separate"/>
      </w:r>
      <w:r>
        <w:rPr>
          <w:rStyle w:val="54"/>
        </w:rPr>
        <w:t>art. 63, IV, da Lei Federal nº 14.133, de 2021</w:t>
      </w:r>
      <w:r>
        <w:rPr>
          <w:rStyle w:val="54"/>
        </w:rPr>
        <w:fldChar w:fldCharType="end"/>
      </w:r>
      <w:r>
        <w:rPr>
          <w:color w:val="000000"/>
        </w:rPr>
        <w:t>).</w:t>
      </w:r>
    </w:p>
    <w:p>
      <w:pPr>
        <w:pStyle w:val="130"/>
        <w:tabs>
          <w:tab w:val="left" w:pos="1134"/>
        </w:tabs>
        <w:spacing w:before="120" w:beforeAutospacing="0" w:after="120" w:afterAutospacing="0"/>
        <w:ind w:firstLine="567"/>
        <w:jc w:val="both"/>
        <w:textAlignment w:val="baseline"/>
        <w:rPr>
          <w:rFonts w:ascii="Times New Roman" w:hAnsi="Times New Roman"/>
        </w:rPr>
      </w:pPr>
    </w:p>
    <w:p>
      <w:pPr>
        <w:pStyle w:val="130"/>
        <w:tabs>
          <w:tab w:val="left" w:pos="1134"/>
        </w:tabs>
        <w:spacing w:before="120" w:beforeAutospacing="0" w:after="120" w:afterAutospacing="0"/>
        <w:ind w:firstLine="567"/>
        <w:jc w:val="both"/>
        <w:textAlignment w:val="baseline"/>
        <w:rPr>
          <w:rFonts w:ascii="Times New Roman" w:hAnsi="Times New Roman"/>
        </w:rPr>
      </w:pPr>
      <w:r>
        <w:t>Local e data.</w:t>
      </w:r>
    </w:p>
    <w:p>
      <w:pPr>
        <w:pStyle w:val="130"/>
        <w:tabs>
          <w:tab w:val="left" w:pos="1134"/>
        </w:tabs>
        <w:spacing w:before="120" w:beforeAutospacing="0" w:after="120" w:afterAutospacing="0"/>
        <w:ind w:firstLine="567"/>
        <w:jc w:val="both"/>
        <w:textAlignment w:val="baseline"/>
        <w:rPr>
          <w:rFonts w:ascii="Times New Roman" w:hAnsi="Times New Roman"/>
        </w:rPr>
      </w:pPr>
    </w:p>
    <w:p>
      <w:pPr>
        <w:pStyle w:val="130"/>
        <w:tabs>
          <w:tab w:val="left" w:pos="1134"/>
        </w:tabs>
        <w:spacing w:before="120" w:beforeAutospacing="0" w:after="120" w:afterAutospacing="0"/>
        <w:jc w:val="center"/>
        <w:textAlignment w:val="baseline"/>
        <w:rPr>
          <w:rFonts w:ascii="Times New Roman" w:hAnsi="Times New Roman"/>
        </w:rPr>
      </w:pPr>
      <w:r>
        <w:t>___________________________________________________</w:t>
      </w:r>
    </w:p>
    <w:p>
      <w:pPr>
        <w:pStyle w:val="130"/>
        <w:tabs>
          <w:tab w:val="left" w:pos="1134"/>
        </w:tabs>
        <w:spacing w:before="120" w:beforeAutospacing="0" w:after="120" w:afterAutospacing="0"/>
        <w:jc w:val="center"/>
        <w:textAlignment w:val="baseline"/>
        <w:rPr>
          <w:rFonts w:ascii="Times New Roman" w:hAnsi="Times New Roman"/>
        </w:rPr>
      </w:pPr>
      <w:r>
        <w:t>(assinatura e identificação do responsável pela empresa)</w:t>
      </w:r>
    </w:p>
    <w:p>
      <w:pPr>
        <w:rPr>
          <w:rFonts w:ascii="Times New Roman" w:hAnsi="Times New Roman" w:eastAsia="Times New Roman" w:cs="Times New Roman"/>
          <w:sz w:val="24"/>
          <w:szCs w:val="24"/>
          <w:lang w:eastAsia="pt-BR"/>
        </w:rPr>
      </w:pPr>
      <w:r>
        <w:br w:type="page"/>
      </w:r>
    </w:p>
    <w:p>
      <w:pPr>
        <w:pStyle w:val="2"/>
        <w:bidi w:val="0"/>
        <w:jc w:val="center"/>
        <w:rPr>
          <w:rFonts w:hint="default" w:ascii="Times New Roman" w:hAnsi="Times New Roman" w:cs="Times New Roman"/>
        </w:rPr>
      </w:pPr>
      <w:bookmarkStart w:id="62" w:name="_Toc149517468"/>
      <w:r>
        <w:rPr>
          <w:rFonts w:hint="default" w:ascii="Times New Roman" w:hAnsi="Times New Roman" w:cs="Times New Roman"/>
        </w:rPr>
        <w:t>ANEXO III - MODELO DE PROPOSTA</w:t>
      </w:r>
      <w:bookmarkEnd w:id="62"/>
    </w:p>
    <w:p>
      <w:pPr>
        <w:pStyle w:val="130"/>
        <w:tabs>
          <w:tab w:val="left" w:pos="1134"/>
        </w:tabs>
        <w:spacing w:before="120" w:beforeAutospacing="0" w:after="120" w:afterAutospacing="0"/>
        <w:jc w:val="center"/>
        <w:textAlignment w:val="baseline"/>
        <w:rPr>
          <w:rFonts w:ascii="Times New Roman" w:hAnsi="Times New Roman"/>
        </w:rPr>
      </w:pPr>
    </w:p>
    <w:p>
      <w:pPr>
        <w:pStyle w:val="130"/>
        <w:tabs>
          <w:tab w:val="left" w:pos="1134"/>
        </w:tabs>
        <w:spacing w:before="120" w:beforeAutospacing="0" w:after="120" w:afterAutospacing="0"/>
        <w:jc w:val="center"/>
        <w:textAlignment w:val="baseline"/>
        <w:rPr>
          <w:rFonts w:ascii="Times New Roman" w:hAnsi="Times New Roman"/>
        </w:rPr>
      </w:pPr>
      <w:r>
        <w:t>(UTILIZAR PAPEL TIMBRADO DA EMPRESA)</w:t>
      </w:r>
    </w:p>
    <w:p>
      <w:pPr>
        <w:spacing w:before="0" w:after="0" w:line="240" w:lineRule="auto"/>
        <w:jc w:val="both"/>
        <w:rPr>
          <w:rFonts w:ascii="Times New Roman" w:hAnsi="Times New Roman"/>
        </w:rPr>
      </w:pPr>
      <w:r>
        <w:rPr>
          <w:rFonts w:ascii="Times New Roman" w:hAnsi="Times New Roman" w:cs="Times New Roman"/>
          <w:sz w:val="24"/>
          <w:szCs w:val="24"/>
        </w:rPr>
        <w:t>À</w:t>
      </w:r>
    </w:p>
    <w:p>
      <w:pPr>
        <w:spacing w:before="0" w:after="0" w:line="240" w:lineRule="auto"/>
        <w:jc w:val="both"/>
        <w:rPr>
          <w:rFonts w:ascii="Times New Roman" w:hAnsi="Times New Roman"/>
        </w:rPr>
      </w:pPr>
      <w:r>
        <w:rPr>
          <w:rFonts w:ascii="Times New Roman" w:hAnsi="Times New Roman" w:cs="Times New Roman"/>
          <w:b/>
          <w:bCs/>
          <w:sz w:val="24"/>
          <w:szCs w:val="24"/>
        </w:rPr>
        <w:t>Câmara Municipal de Primavera do Leste - MT</w:t>
      </w:r>
    </w:p>
    <w:p>
      <w:pPr>
        <w:spacing w:before="0" w:after="0" w:line="240" w:lineRule="auto"/>
        <w:jc w:val="both"/>
        <w:rPr>
          <w:rFonts w:hint="default" w:ascii="Times New Roman" w:hAnsi="Times New Roman"/>
          <w:lang w:val="pt-BR"/>
        </w:rPr>
      </w:pPr>
      <w:r>
        <w:rPr>
          <w:rFonts w:ascii="Times New Roman" w:hAnsi="Times New Roman" w:cs="Times New Roman"/>
          <w:sz w:val="24"/>
          <w:szCs w:val="24"/>
        </w:rPr>
        <w:t xml:space="preserve">A/C Pregoeiro do </w:t>
      </w:r>
      <w:r>
        <w:rPr>
          <w:rFonts w:ascii="Times New Roman" w:hAnsi="Times New Roman" w:cs="Times New Roman"/>
          <w:sz w:val="24"/>
          <w:szCs w:val="24"/>
          <w:lang w:val="pt-BR"/>
        </w:rPr>
        <w:t>Pregão nº 006/2024</w:t>
      </w:r>
    </w:p>
    <w:p>
      <w:pPr>
        <w:spacing w:before="0" w:after="0" w:line="240" w:lineRule="auto"/>
        <w:jc w:val="both"/>
        <w:rPr>
          <w:rFonts w:ascii="Times New Roman" w:hAnsi="Times New Roman"/>
        </w:rPr>
      </w:pPr>
      <w:r>
        <w:rPr>
          <w:rFonts w:ascii="Times New Roman" w:hAnsi="Times New Roman" w:cs="Times New Roman"/>
          <w:sz w:val="24"/>
          <w:szCs w:val="24"/>
        </w:rPr>
        <w:t>Primavera do Leste - Mato Grosso</w:t>
      </w:r>
    </w:p>
    <w:p>
      <w:pPr>
        <w:spacing w:before="0" w:after="0" w:line="240" w:lineRule="auto"/>
        <w:jc w:val="both"/>
        <w:rPr>
          <w:rFonts w:ascii="Times New Roman" w:hAnsi="Times New Roman" w:cs="Times New Roman"/>
          <w:sz w:val="24"/>
          <w:szCs w:val="24"/>
        </w:rPr>
      </w:pPr>
    </w:p>
    <w:p>
      <w:pPr>
        <w:jc w:val="center"/>
        <w:rPr>
          <w:rFonts w:ascii="Times New Roman" w:hAnsi="Times New Roman"/>
        </w:rPr>
      </w:pPr>
      <w:r>
        <w:rPr>
          <w:rFonts w:ascii="Times New Roman" w:hAnsi="Times New Roman" w:cs="Times New Roman"/>
          <w:b/>
          <w:bCs/>
          <w:sz w:val="24"/>
          <w:szCs w:val="24"/>
          <w:u w:val="single"/>
        </w:rPr>
        <w:t>PROPOSTA</w:t>
      </w:r>
    </w:p>
    <w:p>
      <w:pPr>
        <w:spacing w:before="0" w:after="0" w:line="240" w:lineRule="auto"/>
        <w:ind w:firstLine="2268"/>
        <w:jc w:val="both"/>
        <w:rPr>
          <w:rFonts w:ascii="Times New Roman" w:hAnsi="Times New Roman"/>
        </w:rPr>
      </w:pPr>
      <w:r>
        <w:rPr>
          <w:rFonts w:ascii="Times New Roman" w:hAnsi="Times New Roman" w:cs="Times New Roman"/>
          <w:sz w:val="24"/>
          <w:szCs w:val="24"/>
        </w:rPr>
        <w:t>O proponente a seguir identificado:</w:t>
      </w:r>
    </w:p>
    <w:tbl>
      <w:tblPr>
        <w:tblStyle w:val="42"/>
        <w:tblW w:w="89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6"/>
        <w:gridCol w:w="1488"/>
        <w:gridCol w:w="1485"/>
        <w:gridCol w:w="2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1" w:type="dxa"/>
            <w:gridSpan w:val="4"/>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Razão Social:</w:t>
            </w:r>
          </w:p>
          <w:p>
            <w:pPr>
              <w:widowControl/>
              <w:suppressAutoHyphens/>
              <w:spacing w:before="0" w:after="0" w:line="240" w:lineRule="auto"/>
              <w:jc w:val="both"/>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dxa"/>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CNPJ:</w:t>
            </w:r>
          </w:p>
          <w:p>
            <w:pPr>
              <w:widowControl/>
              <w:suppressAutoHyphens/>
              <w:spacing w:before="0" w:after="0" w:line="240" w:lineRule="auto"/>
              <w:jc w:val="both"/>
              <w:rPr>
                <w:rFonts w:ascii="Times New Roman" w:hAnsi="Times New Roman" w:cs="Times New Roman"/>
                <w:sz w:val="16"/>
                <w:szCs w:val="16"/>
              </w:rPr>
            </w:pPr>
          </w:p>
        </w:tc>
        <w:tc>
          <w:tcPr>
            <w:tcW w:w="5945" w:type="dxa"/>
            <w:gridSpan w:val="3"/>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Nome Fantasia:</w:t>
            </w:r>
          </w:p>
          <w:p>
            <w:pPr>
              <w:widowControl/>
              <w:suppressAutoHyphens/>
              <w:spacing w:before="0" w:after="0" w:line="240" w:lineRule="auto"/>
              <w:jc w:val="both"/>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gridSpan w:val="3"/>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Logradouro:</w:t>
            </w:r>
          </w:p>
          <w:p>
            <w:pPr>
              <w:widowControl/>
              <w:suppressAutoHyphens/>
              <w:spacing w:before="0" w:after="0" w:line="240" w:lineRule="auto"/>
              <w:jc w:val="both"/>
              <w:rPr>
                <w:rFonts w:ascii="Times New Roman" w:hAnsi="Times New Roman" w:cs="Times New Roman"/>
                <w:sz w:val="16"/>
                <w:szCs w:val="16"/>
              </w:rPr>
            </w:pPr>
          </w:p>
        </w:tc>
        <w:tc>
          <w:tcPr>
            <w:tcW w:w="2972" w:type="dxa"/>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Número:</w:t>
            </w:r>
          </w:p>
          <w:p>
            <w:pPr>
              <w:widowControl/>
              <w:suppressAutoHyphens/>
              <w:spacing w:before="0" w:after="0" w:line="240" w:lineRule="auto"/>
              <w:jc w:val="both"/>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4" w:type="dxa"/>
            <w:gridSpan w:val="2"/>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Complemento:</w:t>
            </w:r>
          </w:p>
          <w:p>
            <w:pPr>
              <w:widowControl/>
              <w:suppressAutoHyphens/>
              <w:spacing w:before="0" w:after="0" w:line="240" w:lineRule="auto"/>
              <w:jc w:val="both"/>
              <w:rPr>
                <w:rFonts w:ascii="Times New Roman" w:hAnsi="Times New Roman" w:cs="Times New Roman"/>
                <w:sz w:val="16"/>
                <w:szCs w:val="16"/>
              </w:rPr>
            </w:pPr>
          </w:p>
        </w:tc>
        <w:tc>
          <w:tcPr>
            <w:tcW w:w="4457" w:type="dxa"/>
            <w:gridSpan w:val="2"/>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Bairro:</w:t>
            </w:r>
          </w:p>
          <w:p>
            <w:pPr>
              <w:widowControl/>
              <w:suppressAutoHyphens/>
              <w:spacing w:before="0" w:after="0" w:line="240" w:lineRule="auto"/>
              <w:jc w:val="both"/>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gridSpan w:val="3"/>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Cidade:</w:t>
            </w:r>
          </w:p>
          <w:p>
            <w:pPr>
              <w:widowControl/>
              <w:suppressAutoHyphens/>
              <w:spacing w:before="0" w:after="0" w:line="240" w:lineRule="auto"/>
              <w:jc w:val="both"/>
              <w:rPr>
                <w:rFonts w:ascii="Times New Roman" w:hAnsi="Times New Roman" w:cs="Times New Roman"/>
                <w:sz w:val="16"/>
                <w:szCs w:val="16"/>
              </w:rPr>
            </w:pPr>
          </w:p>
        </w:tc>
        <w:tc>
          <w:tcPr>
            <w:tcW w:w="2972" w:type="dxa"/>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CEP:</w:t>
            </w:r>
          </w:p>
          <w:p>
            <w:pPr>
              <w:widowControl/>
              <w:suppressAutoHyphens/>
              <w:spacing w:before="0" w:after="0" w:line="240" w:lineRule="auto"/>
              <w:jc w:val="both"/>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dxa"/>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Telefone Fixo:</w:t>
            </w:r>
          </w:p>
          <w:p>
            <w:pPr>
              <w:widowControl/>
              <w:suppressAutoHyphens/>
              <w:spacing w:before="0" w:after="0" w:line="240" w:lineRule="auto"/>
              <w:jc w:val="both"/>
              <w:rPr>
                <w:rFonts w:ascii="Times New Roman" w:hAnsi="Times New Roman" w:cs="Times New Roman"/>
                <w:sz w:val="16"/>
                <w:szCs w:val="16"/>
              </w:rPr>
            </w:pPr>
          </w:p>
        </w:tc>
        <w:tc>
          <w:tcPr>
            <w:tcW w:w="5945" w:type="dxa"/>
            <w:gridSpan w:val="3"/>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Email:</w:t>
            </w:r>
          </w:p>
          <w:p>
            <w:pPr>
              <w:widowControl/>
              <w:suppressAutoHyphens/>
              <w:spacing w:before="0" w:after="0" w:line="240" w:lineRule="auto"/>
              <w:jc w:val="both"/>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dxa"/>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Banco:</w:t>
            </w:r>
          </w:p>
          <w:p>
            <w:pPr>
              <w:widowControl/>
              <w:suppressAutoHyphens/>
              <w:spacing w:before="0" w:after="0" w:line="240" w:lineRule="auto"/>
              <w:jc w:val="both"/>
              <w:rPr>
                <w:rFonts w:ascii="Times New Roman" w:hAnsi="Times New Roman" w:cs="Times New Roman"/>
                <w:sz w:val="16"/>
                <w:szCs w:val="16"/>
              </w:rPr>
            </w:pPr>
          </w:p>
        </w:tc>
        <w:tc>
          <w:tcPr>
            <w:tcW w:w="2973" w:type="dxa"/>
            <w:gridSpan w:val="2"/>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Agência:</w:t>
            </w:r>
          </w:p>
          <w:p>
            <w:pPr>
              <w:widowControl/>
              <w:suppressAutoHyphens/>
              <w:spacing w:before="0" w:after="0" w:line="240" w:lineRule="auto"/>
              <w:jc w:val="both"/>
              <w:rPr>
                <w:rFonts w:ascii="Times New Roman" w:hAnsi="Times New Roman" w:cs="Times New Roman"/>
                <w:sz w:val="16"/>
                <w:szCs w:val="16"/>
              </w:rPr>
            </w:pPr>
          </w:p>
        </w:tc>
        <w:tc>
          <w:tcPr>
            <w:tcW w:w="2972" w:type="dxa"/>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Conta:</w:t>
            </w:r>
          </w:p>
          <w:p>
            <w:pPr>
              <w:widowControl/>
              <w:suppressAutoHyphens/>
              <w:spacing w:before="0" w:after="0" w:line="240" w:lineRule="auto"/>
              <w:jc w:val="both"/>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gridSpan w:val="3"/>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Representante:</w:t>
            </w:r>
          </w:p>
          <w:p>
            <w:pPr>
              <w:widowControl/>
              <w:suppressAutoHyphens/>
              <w:spacing w:before="0" w:after="0" w:line="240" w:lineRule="auto"/>
              <w:jc w:val="both"/>
              <w:rPr>
                <w:rFonts w:ascii="Times New Roman" w:hAnsi="Times New Roman" w:cs="Times New Roman"/>
                <w:sz w:val="16"/>
                <w:szCs w:val="16"/>
              </w:rPr>
            </w:pPr>
          </w:p>
        </w:tc>
        <w:tc>
          <w:tcPr>
            <w:tcW w:w="2972" w:type="dxa"/>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Telefone Celular:</w:t>
            </w:r>
          </w:p>
          <w:p>
            <w:pPr>
              <w:widowControl/>
              <w:suppressAutoHyphens/>
              <w:spacing w:before="0" w:after="0" w:line="240" w:lineRule="auto"/>
              <w:jc w:val="both"/>
              <w:rPr>
                <w:rFonts w:ascii="Times New Roman" w:hAnsi="Times New Roman" w:cs="Times New Roman"/>
                <w:sz w:val="16"/>
                <w:szCs w:val="16"/>
              </w:rPr>
            </w:pPr>
          </w:p>
        </w:tc>
      </w:tr>
    </w:tbl>
    <w:p>
      <w:pPr>
        <w:spacing w:before="0" w:after="0" w:line="240" w:lineRule="auto"/>
        <w:jc w:val="both"/>
        <w:rPr>
          <w:rFonts w:ascii="Times New Roman" w:hAnsi="Times New Roman" w:cs="Times New Roman"/>
          <w:sz w:val="24"/>
          <w:szCs w:val="24"/>
        </w:rPr>
      </w:pPr>
    </w:p>
    <w:p>
      <w:pPr>
        <w:spacing w:before="0" w:after="0" w:line="240" w:lineRule="auto"/>
        <w:ind w:firstLine="2268"/>
        <w:jc w:val="both"/>
        <w:rPr>
          <w:rFonts w:ascii="Times New Roman" w:hAnsi="Times New Roman"/>
        </w:rPr>
      </w:pPr>
      <w:r>
        <w:rPr>
          <w:rFonts w:ascii="Times New Roman" w:hAnsi="Times New Roman" w:cs="Times New Roman"/>
          <w:sz w:val="24"/>
          <w:szCs w:val="24"/>
        </w:rPr>
        <w:t xml:space="preserve">Em atendimento ao disposto no </w:t>
      </w:r>
      <w:r>
        <w:rPr>
          <w:rFonts w:ascii="Times New Roman" w:hAnsi="Times New Roman" w:cs="Times New Roman"/>
          <w:sz w:val="24"/>
          <w:szCs w:val="24"/>
          <w:lang w:val="pt-BR"/>
        </w:rPr>
        <w:t xml:space="preserve">Pregão </w:t>
      </w:r>
      <w:r>
        <w:rPr>
          <w:rFonts w:hint="default" w:ascii="Times New Roman" w:hAnsi="Times New Roman" w:cs="Times New Roman"/>
          <w:sz w:val="24"/>
          <w:szCs w:val="24"/>
          <w:lang w:val="pt-BR"/>
        </w:rPr>
        <w:t xml:space="preserve">Eletronico </w:t>
      </w:r>
      <w:r>
        <w:rPr>
          <w:rFonts w:ascii="Times New Roman" w:hAnsi="Times New Roman" w:cs="Times New Roman"/>
          <w:sz w:val="24"/>
          <w:szCs w:val="24"/>
          <w:lang w:val="pt-BR"/>
        </w:rPr>
        <w:t>nº 006/2024</w:t>
      </w:r>
      <w:r>
        <w:rPr>
          <w:rFonts w:ascii="Times New Roman" w:hAnsi="Times New Roman" w:cs="Times New Roman"/>
          <w:sz w:val="24"/>
          <w:szCs w:val="24"/>
          <w:shd w:val="clear" w:fill="auto"/>
        </w:rPr>
        <w:t xml:space="preserve">, </w:t>
      </w:r>
      <w:r>
        <w:rPr>
          <w:rFonts w:ascii="Times New Roman" w:hAnsi="Times New Roman" w:cs="Times New Roman"/>
          <w:sz w:val="24"/>
          <w:szCs w:val="24"/>
        </w:rPr>
        <w:t>após análise do referido edital e tendo pleno conhecimento do seu conteúdo, se propõe a fornecer as mercadorias objeto da licitação, sob sua inteira responsabilidade, nas condições a seguir:</w:t>
      </w:r>
    </w:p>
    <w:p>
      <w:pPr>
        <w:spacing w:before="0" w:after="0" w:line="240" w:lineRule="auto"/>
        <w:ind w:firstLine="2268"/>
        <w:jc w:val="both"/>
        <w:rPr>
          <w:rFonts w:ascii="Times New Roman" w:hAnsi="Times New Roman" w:cs="Times New Roman"/>
          <w:sz w:val="24"/>
          <w:szCs w:val="24"/>
        </w:rPr>
      </w:pPr>
    </w:p>
    <w:tbl>
      <w:tblPr>
        <w:tblStyle w:val="10"/>
        <w:tblW w:w="5000" w:type="pct"/>
        <w:tblInd w:w="0" w:type="dxa"/>
        <w:tblLayout w:type="fixed"/>
        <w:tblCellMar>
          <w:top w:w="0" w:type="dxa"/>
          <w:left w:w="28" w:type="dxa"/>
          <w:bottom w:w="0" w:type="dxa"/>
          <w:right w:w="28" w:type="dxa"/>
        </w:tblCellMar>
      </w:tblPr>
      <w:tblGrid>
        <w:gridCol w:w="646"/>
        <w:gridCol w:w="4448"/>
        <w:gridCol w:w="884"/>
        <w:gridCol w:w="708"/>
        <w:gridCol w:w="1048"/>
        <w:gridCol w:w="1253"/>
      </w:tblGrid>
      <w:tr>
        <w:tblPrEx>
          <w:tblCellMar>
            <w:top w:w="0" w:type="dxa"/>
            <w:left w:w="28" w:type="dxa"/>
            <w:bottom w:w="0" w:type="dxa"/>
            <w:right w:w="28" w:type="dxa"/>
          </w:tblCellMar>
        </w:tblPrEx>
        <w:tc>
          <w:tcPr>
            <w:tcW w:w="64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highlight w:val="none"/>
              </w:rPr>
            </w:pPr>
            <w:r>
              <w:rPr>
                <w:rFonts w:ascii="Times New Roman" w:hAnsi="Times New Roman" w:cs="Times New Roman"/>
                <w:b/>
                <w:bCs/>
                <w:sz w:val="20"/>
                <w:szCs w:val="20"/>
                <w:highlight w:val="none"/>
              </w:rPr>
              <w:t>Item</w:t>
            </w:r>
          </w:p>
        </w:tc>
        <w:tc>
          <w:tcPr>
            <w:tcW w:w="442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highlight w:val="none"/>
              </w:rPr>
            </w:pPr>
            <w:r>
              <w:rPr>
                <w:rFonts w:ascii="Times New Roman" w:hAnsi="Times New Roman" w:cs="Times New Roman"/>
                <w:b/>
                <w:bCs/>
                <w:sz w:val="20"/>
                <w:szCs w:val="20"/>
                <w:highlight w:val="none"/>
              </w:rPr>
              <w:t>Descrição</w:t>
            </w:r>
          </w:p>
        </w:tc>
        <w:tc>
          <w:tcPr>
            <w:tcW w:w="878"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highlight w:val="none"/>
              </w:rPr>
            </w:pPr>
            <w:r>
              <w:rPr>
                <w:rFonts w:ascii="Times New Roman" w:hAnsi="Times New Roman" w:cs="Times New Roman"/>
                <w:b/>
                <w:bCs/>
                <w:sz w:val="20"/>
                <w:szCs w:val="20"/>
                <w:highlight w:val="none"/>
              </w:rPr>
              <w:t>Unidade</w:t>
            </w:r>
          </w:p>
        </w:tc>
        <w:tc>
          <w:tcPr>
            <w:tcW w:w="70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highlight w:val="none"/>
              </w:rPr>
            </w:pPr>
            <w:r>
              <w:rPr>
                <w:rFonts w:ascii="Times New Roman" w:hAnsi="Times New Roman" w:cs="Times New Roman"/>
                <w:b/>
                <w:bCs/>
                <w:sz w:val="20"/>
                <w:szCs w:val="20"/>
                <w:highlight w:val="none"/>
              </w:rPr>
              <w:t>Qtde</w:t>
            </w:r>
          </w:p>
        </w:tc>
        <w:tc>
          <w:tcPr>
            <w:tcW w:w="104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highlight w:val="none"/>
              </w:rPr>
            </w:pPr>
            <w:r>
              <w:rPr>
                <w:rFonts w:ascii="Times New Roman" w:hAnsi="Times New Roman" w:cs="Times New Roman"/>
                <w:b/>
                <w:bCs/>
                <w:sz w:val="20"/>
                <w:szCs w:val="20"/>
                <w:highlight w:val="none"/>
              </w:rPr>
              <w:t>Preço</w:t>
            </w:r>
          </w:p>
          <w:p>
            <w:pPr>
              <w:spacing w:before="0" w:after="0" w:line="240" w:lineRule="auto"/>
              <w:jc w:val="center"/>
              <w:rPr>
                <w:rFonts w:ascii="Times New Roman" w:hAnsi="Times New Roman"/>
                <w:highlight w:val="none"/>
              </w:rPr>
            </w:pPr>
            <w:r>
              <w:rPr>
                <w:rFonts w:ascii="Times New Roman" w:hAnsi="Times New Roman" w:cs="Times New Roman"/>
                <w:b/>
                <w:bCs/>
                <w:sz w:val="20"/>
                <w:szCs w:val="20"/>
                <w:highlight w:val="none"/>
              </w:rPr>
              <w:t>Unitário</w:t>
            </w:r>
          </w:p>
        </w:tc>
        <w:tc>
          <w:tcPr>
            <w:tcW w:w="124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highlight w:val="none"/>
              </w:rPr>
            </w:pPr>
            <w:r>
              <w:rPr>
                <w:rFonts w:ascii="Times New Roman" w:hAnsi="Times New Roman" w:cs="Times New Roman"/>
                <w:b/>
                <w:sz w:val="20"/>
                <w:szCs w:val="20"/>
                <w:highlight w:val="none"/>
              </w:rPr>
              <w:t>Preço</w:t>
            </w:r>
          </w:p>
          <w:p>
            <w:pPr>
              <w:spacing w:before="0" w:after="0" w:line="240" w:lineRule="auto"/>
              <w:jc w:val="center"/>
              <w:rPr>
                <w:rFonts w:ascii="Times New Roman" w:hAnsi="Times New Roman"/>
                <w:highlight w:val="none"/>
              </w:rPr>
            </w:pPr>
            <w:r>
              <w:rPr>
                <w:rFonts w:ascii="Times New Roman" w:hAnsi="Times New Roman" w:cs="Times New Roman"/>
                <w:b/>
                <w:sz w:val="20"/>
                <w:szCs w:val="20"/>
                <w:highlight w:val="none"/>
              </w:rPr>
              <w:t>Total</w:t>
            </w:r>
            <w:r>
              <w:rPr>
                <w:rStyle w:val="16"/>
                <w:rFonts w:ascii="Times New Roman" w:hAnsi="Times New Roman" w:cs="Times New Roman"/>
                <w:b/>
                <w:sz w:val="20"/>
                <w:szCs w:val="20"/>
                <w:highlight w:val="none"/>
              </w:rPr>
              <w:footnoteReference w:id="0"/>
            </w:r>
          </w:p>
        </w:tc>
      </w:tr>
      <w:tr>
        <w:tblPrEx>
          <w:tblCellMar>
            <w:top w:w="0" w:type="dxa"/>
            <w:left w:w="28" w:type="dxa"/>
            <w:bottom w:w="0" w:type="dxa"/>
            <w:right w:w="28" w:type="dxa"/>
          </w:tblCellMar>
        </w:tblPrEx>
        <w:tc>
          <w:tcPr>
            <w:tcW w:w="642" w:type="dxa"/>
            <w:tcBorders>
              <w:top w:val="single" w:color="000000" w:sz="4" w:space="0"/>
              <w:left w:val="single" w:color="000000" w:sz="4" w:space="0"/>
              <w:bottom w:val="single" w:color="000000" w:sz="4" w:space="0"/>
              <w:right w:val="single" w:color="000000" w:sz="4" w:space="0"/>
            </w:tcBorders>
          </w:tcPr>
          <w:p>
            <w:pPr>
              <w:spacing w:before="0" w:after="0" w:line="240" w:lineRule="auto"/>
              <w:rPr>
                <w:rFonts w:ascii="Times New Roman" w:hAnsi="Times New Roman"/>
                <w:highlight w:val="none"/>
              </w:rPr>
            </w:pPr>
            <w:r>
              <w:rPr>
                <w:rFonts w:ascii="Times New Roman" w:hAnsi="Times New Roman" w:cs="Times New Roman"/>
                <w:color w:val="000000"/>
                <w:sz w:val="20"/>
                <w:szCs w:val="20"/>
                <w:highlight w:val="none"/>
              </w:rPr>
              <w:t>Único</w:t>
            </w:r>
          </w:p>
        </w:tc>
        <w:tc>
          <w:tcPr>
            <w:tcW w:w="4420"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both"/>
              <w:rPr>
                <w:rFonts w:ascii="Times New Roman" w:hAnsi="Times New Roman"/>
                <w:highlight w:val="none"/>
              </w:rPr>
            </w:pPr>
            <w:r>
              <w:rPr>
                <w:rFonts w:ascii="Times New Roman" w:hAnsi="Times New Roman" w:eastAsia="Times New Roman" w:cs="Times New Roman"/>
                <w:color w:val="000000"/>
                <w:sz w:val="20"/>
                <w:szCs w:val="20"/>
                <w:highlight w:val="none"/>
                <w:lang w:eastAsia="pt-BR"/>
              </w:rPr>
              <w:t>XXX</w:t>
            </w:r>
          </w:p>
        </w:tc>
        <w:tc>
          <w:tcPr>
            <w:tcW w:w="878" w:type="dxa"/>
            <w:tcBorders>
              <w:top w:val="single" w:color="000000" w:sz="4" w:space="0"/>
              <w:left w:val="single" w:color="000000" w:sz="4" w:space="0"/>
              <w:bottom w:val="single" w:color="000000" w:sz="4" w:space="0"/>
              <w:right w:val="single" w:color="000000" w:sz="4" w:space="0"/>
            </w:tcBorders>
          </w:tcPr>
          <w:p>
            <w:pPr>
              <w:spacing w:before="0" w:after="0" w:line="240" w:lineRule="auto"/>
              <w:jc w:val="both"/>
              <w:rPr>
                <w:rFonts w:ascii="Times New Roman" w:hAnsi="Times New Roman"/>
                <w:highlight w:val="none"/>
              </w:rPr>
            </w:pPr>
            <w:r>
              <w:rPr>
                <w:rFonts w:ascii="Times New Roman" w:hAnsi="Times New Roman" w:eastAsia="Times New Roman" w:cs="Times New Roman"/>
                <w:color w:val="000000"/>
                <w:sz w:val="20"/>
                <w:szCs w:val="20"/>
                <w:highlight w:val="none"/>
                <w:lang w:eastAsia="pt-BR"/>
              </w:rPr>
              <w:t>XXX</w:t>
            </w:r>
          </w:p>
        </w:tc>
        <w:tc>
          <w:tcPr>
            <w:tcW w:w="704" w:type="dxa"/>
            <w:tcBorders>
              <w:top w:val="single" w:color="000000" w:sz="4" w:space="0"/>
              <w:left w:val="single" w:color="000000" w:sz="4" w:space="0"/>
              <w:bottom w:val="single" w:color="000000" w:sz="4" w:space="0"/>
              <w:right w:val="single" w:color="000000" w:sz="4" w:space="0"/>
            </w:tcBorders>
          </w:tcPr>
          <w:p>
            <w:pPr>
              <w:spacing w:before="0" w:after="0" w:line="240" w:lineRule="auto"/>
              <w:rPr>
                <w:rFonts w:ascii="Times New Roman" w:hAnsi="Times New Roman"/>
                <w:highlight w:val="none"/>
              </w:rPr>
            </w:pPr>
            <w:r>
              <w:rPr>
                <w:rFonts w:ascii="Times New Roman" w:hAnsi="Times New Roman" w:cs="Times New Roman"/>
                <w:bCs/>
                <w:sz w:val="20"/>
                <w:szCs w:val="20"/>
                <w:highlight w:val="none"/>
              </w:rPr>
              <w:t>XXX</w:t>
            </w:r>
          </w:p>
        </w:tc>
        <w:tc>
          <w:tcPr>
            <w:tcW w:w="1041" w:type="dxa"/>
            <w:tcBorders>
              <w:top w:val="single" w:color="000000" w:sz="4" w:space="0"/>
              <w:left w:val="single" w:color="000000" w:sz="4" w:space="0"/>
              <w:bottom w:val="single" w:color="000000" w:sz="4" w:space="0"/>
              <w:right w:val="single" w:color="000000" w:sz="4" w:space="0"/>
            </w:tcBorders>
          </w:tcPr>
          <w:p>
            <w:pPr>
              <w:spacing w:before="0" w:after="0" w:line="240" w:lineRule="auto"/>
              <w:jc w:val="both"/>
              <w:rPr>
                <w:rFonts w:ascii="Times New Roman" w:hAnsi="Times New Roman"/>
                <w:highlight w:val="none"/>
              </w:rPr>
            </w:pPr>
            <w:r>
              <w:rPr>
                <w:rFonts w:ascii="Times New Roman" w:hAnsi="Times New Roman" w:eastAsia="Arial" w:cs="Times New Roman"/>
                <w:color w:val="000000"/>
                <w:sz w:val="20"/>
                <w:szCs w:val="20"/>
                <w:highlight w:val="none"/>
              </w:rPr>
              <w:t>R$ ??,??</w:t>
            </w:r>
          </w:p>
        </w:tc>
        <w:tc>
          <w:tcPr>
            <w:tcW w:w="1245" w:type="dxa"/>
            <w:tcBorders>
              <w:top w:val="single" w:color="000000" w:sz="4" w:space="0"/>
              <w:left w:val="single" w:color="000000" w:sz="4" w:space="0"/>
              <w:bottom w:val="single" w:color="000000" w:sz="4" w:space="0"/>
              <w:right w:val="single" w:color="000000" w:sz="4" w:space="0"/>
            </w:tcBorders>
          </w:tcPr>
          <w:p>
            <w:pPr>
              <w:spacing w:before="0" w:after="0" w:line="240" w:lineRule="auto"/>
              <w:jc w:val="both"/>
              <w:rPr>
                <w:rFonts w:ascii="Times New Roman" w:hAnsi="Times New Roman"/>
                <w:highlight w:val="none"/>
              </w:rPr>
            </w:pPr>
            <w:r>
              <w:rPr>
                <w:rFonts w:ascii="Times New Roman" w:hAnsi="Times New Roman" w:eastAsia="Arial" w:cs="Times New Roman"/>
                <w:color w:val="000000"/>
                <w:sz w:val="20"/>
                <w:szCs w:val="20"/>
                <w:highlight w:val="none"/>
              </w:rPr>
              <w:t>R$ ???.???,??</w:t>
            </w:r>
          </w:p>
        </w:tc>
      </w:tr>
    </w:tbl>
    <w:p>
      <w:pPr>
        <w:rPr>
          <w:rFonts w:ascii="Times New Roman" w:hAnsi="Times New Roman" w:cs="Times New Roman"/>
          <w:b/>
          <w:sz w:val="24"/>
          <w:szCs w:val="24"/>
          <w:highlight w:val="none"/>
        </w:rPr>
      </w:pPr>
    </w:p>
    <w:p>
      <w:pPr>
        <w:spacing w:before="0" w:after="0" w:line="240" w:lineRule="auto"/>
        <w:ind w:firstLine="2268"/>
        <w:jc w:val="both"/>
        <w:rPr>
          <w:rFonts w:ascii="Times New Roman" w:hAnsi="Times New Roman"/>
        </w:rPr>
      </w:pPr>
      <w:r>
        <w:rPr>
          <w:rFonts w:ascii="Times New Roman" w:hAnsi="Times New Roman" w:cs="Times New Roman"/>
          <w:sz w:val="24"/>
          <w:szCs w:val="24"/>
          <w:highlight w:val="none"/>
        </w:rPr>
        <w:t>E, para tanto, declaro que no preço estão incluídos todos os custos diretos ou indiretos com o fornecimento dos materiai</w:t>
      </w:r>
      <w:r>
        <w:rPr>
          <w:rFonts w:ascii="Times New Roman" w:hAnsi="Times New Roman" w:cs="Times New Roman"/>
          <w:sz w:val="24"/>
          <w:szCs w:val="24"/>
        </w:rPr>
        <w:t>s, inclusive tributos, equipamentos, pessoal, taxas, transportes, alimentação etc., e que a presente proposta tem validade de 60 (sessenta) dias.</w:t>
      </w:r>
    </w:p>
    <w:p>
      <w:pPr>
        <w:spacing w:before="0" w:after="0" w:line="240" w:lineRule="auto"/>
        <w:ind w:firstLine="2268"/>
        <w:jc w:val="both"/>
        <w:rPr>
          <w:rFonts w:ascii="Times New Roman" w:hAnsi="Times New Roman" w:cs="Times New Roman"/>
          <w:sz w:val="24"/>
          <w:szCs w:val="24"/>
        </w:rPr>
      </w:pPr>
    </w:p>
    <w:p>
      <w:pPr>
        <w:spacing w:before="0" w:after="0" w:line="240" w:lineRule="auto"/>
        <w:ind w:firstLine="2268"/>
        <w:jc w:val="both"/>
        <w:rPr>
          <w:rFonts w:ascii="Times New Roman" w:hAnsi="Times New Roman"/>
        </w:rPr>
      </w:pPr>
      <w:r>
        <w:rPr>
          <w:rFonts w:ascii="Times New Roman" w:hAnsi="Times New Roman" w:cs="Times New Roman"/>
          <w:sz w:val="24"/>
          <w:szCs w:val="24"/>
        </w:rPr>
        <w:t>Data e Local.</w:t>
      </w: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spacing w:before="0" w:after="0" w:line="240" w:lineRule="auto"/>
        <w:jc w:val="center"/>
        <w:rPr>
          <w:rFonts w:ascii="Times New Roman" w:hAnsi="Times New Roman"/>
        </w:rPr>
      </w:pPr>
      <w:r>
        <w:rPr>
          <w:rFonts w:ascii="Times New Roman" w:hAnsi="Times New Roman" w:cs="Times New Roman"/>
          <w:sz w:val="24"/>
          <w:szCs w:val="24"/>
        </w:rPr>
        <w:t>_______________________________________</w:t>
      </w:r>
    </w:p>
    <w:p>
      <w:pPr>
        <w:pStyle w:val="130"/>
        <w:tabs>
          <w:tab w:val="left" w:pos="1134"/>
        </w:tabs>
        <w:spacing w:before="0" w:beforeAutospacing="0" w:after="0" w:afterAutospacing="0"/>
        <w:jc w:val="center"/>
        <w:textAlignment w:val="baseline"/>
        <w:rPr>
          <w:rFonts w:ascii="Times New Roman" w:hAnsi="Times New Roman"/>
        </w:rPr>
      </w:pPr>
      <w:r>
        <w:t>Nome completo e Assinatura do proponente</w:t>
      </w:r>
    </w:p>
    <w:p>
      <w:pPr>
        <w:rPr>
          <w:rFonts w:ascii="Times New Roman" w:hAnsi="Times New Roman"/>
          <w:lang w:eastAsia="pt-BR"/>
        </w:rPr>
      </w:pPr>
      <w:r>
        <w:br w:type="page"/>
      </w:r>
    </w:p>
    <w:p>
      <w:pPr>
        <w:pStyle w:val="2"/>
        <w:numPr>
          <w:ilvl w:val="0"/>
          <w:numId w:val="0"/>
        </w:numPr>
        <w:spacing w:before="0" w:after="120"/>
        <w:ind w:left="0" w:firstLine="0"/>
        <w:jc w:val="center"/>
        <w:rPr>
          <w:rFonts w:hint="default" w:ascii="Times New Roman" w:hAnsi="Times New Roman" w:cs="Times New Roman"/>
        </w:rPr>
      </w:pPr>
      <w:bookmarkStart w:id="63" w:name="_ANEXO_V_-"/>
      <w:bookmarkEnd w:id="63"/>
      <w:bookmarkStart w:id="64" w:name="_ANEXO_IV_-"/>
      <w:bookmarkEnd w:id="64"/>
      <w:bookmarkStart w:id="65" w:name="_ANEXO_VII_-"/>
      <w:bookmarkEnd w:id="65"/>
      <w:bookmarkStart w:id="66" w:name="_Toc149517469"/>
      <w:r>
        <w:rPr>
          <w:rFonts w:hint="default" w:ascii="Times New Roman" w:hAnsi="Times New Roman" w:cs="Times New Roman"/>
        </w:rPr>
        <w:t>ANEXO IV – MINUTA DA ATA DE REGISTRO DE PREÇOS</w:t>
      </w:r>
      <w:bookmarkEnd w:id="66"/>
    </w:p>
    <w:p>
      <w:pPr>
        <w:tabs>
          <w:tab w:val="left" w:pos="1134"/>
          <w:tab w:val="left" w:pos="3001"/>
        </w:tabs>
        <w:spacing w:before="360" w:after="120" w:line="240" w:lineRule="auto"/>
        <w:ind w:firstLine="567"/>
        <w:jc w:val="both"/>
      </w:pPr>
      <w:r>
        <w:rPr>
          <w:rFonts w:ascii="Times New Roman" w:hAnsi="Times New Roman" w:cs="Times New Roman"/>
          <w:b/>
          <w:bCs/>
          <w:sz w:val="22"/>
          <w:szCs w:val="22"/>
          <w:lang w:eastAsia="pt-BR"/>
        </w:rPr>
        <w:t>O MUNICÍPIO DE PRIMAVERA DO LESTE - MT</w:t>
      </w:r>
      <w:r>
        <w:rPr>
          <w:rFonts w:ascii="Times New Roman" w:hAnsi="Times New Roman" w:cs="Times New Roman"/>
          <w:b w:val="0"/>
          <w:bCs w:val="0"/>
          <w:sz w:val="22"/>
          <w:szCs w:val="22"/>
          <w:lang w:eastAsia="pt-BR"/>
        </w:rPr>
        <w:t>, por intermédio da</w:t>
      </w:r>
      <w:r>
        <w:rPr>
          <w:rFonts w:ascii="Times New Roman" w:hAnsi="Times New Roman" w:cs="Times New Roman"/>
          <w:b/>
          <w:bCs/>
          <w:sz w:val="22"/>
          <w:szCs w:val="22"/>
          <w:lang w:eastAsia="pt-BR"/>
        </w:rPr>
        <w:t xml:space="preserve"> CÂMARA MUNICIPAL</w:t>
      </w:r>
      <w:r>
        <w:rPr>
          <w:rFonts w:ascii="Times New Roman" w:hAnsi="Times New Roman" w:cs="Arial"/>
          <w:sz w:val="22"/>
          <w:szCs w:val="22"/>
          <w:lang w:eastAsia="pt-BR"/>
        </w:rPr>
        <w:t xml:space="preserve">, inscrita no CGC/CNPJ MF com o n. 24.672.727/0001-83, com sede na Avenida Primavera nº. 300 CEP: 78.850-000 Primavera do Leste - MT, neste ato representado pelo Vereador </w:t>
      </w:r>
      <w:r>
        <w:rPr>
          <w:rFonts w:ascii="Times New Roman" w:hAnsi="Times New Roman" w:cs="Arial"/>
          <w:b/>
          <w:bCs/>
          <w:sz w:val="22"/>
          <w:szCs w:val="22"/>
          <w:lang w:eastAsia="pt-BR"/>
        </w:rPr>
        <w:t xml:space="preserve">Presidente </w:t>
      </w:r>
      <w:r>
        <w:rPr>
          <w:rFonts w:ascii="Times New Roman" w:hAnsi="Times New Roman" w:eastAsia="Calibri" w:cs="Arial"/>
          <w:b/>
          <w:bCs/>
          <w:sz w:val="22"/>
          <w:szCs w:val="22"/>
          <w:lang w:eastAsia="en-US"/>
        </w:rPr>
        <w:t>Valdecir Alventino da Silva</w:t>
      </w:r>
      <w:r>
        <w:rPr>
          <w:rFonts w:ascii="Times New Roman" w:hAnsi="Times New Roman" w:eastAsia="Calibri" w:cs="Arial"/>
          <w:sz w:val="22"/>
          <w:szCs w:val="22"/>
          <w:lang w:eastAsia="en-US"/>
        </w:rPr>
        <w:t>,</w:t>
      </w:r>
      <w:r>
        <w:rPr>
          <w:rFonts w:ascii="Times New Roman" w:hAnsi="Times New Roman" w:cs="Times New Roman"/>
          <w:sz w:val="22"/>
          <w:szCs w:val="22"/>
          <w:lang w:eastAsia="pt-BR"/>
        </w:rPr>
        <w:t xml:space="preserve"> doravante denominada ÓRGÃO GERENCIADOR, institui a presente ARP - ATA DE REGISTRO DE PREÇOS, decorrente da licitação na modalidade de Pregão, em sua forma eletrônica, sob o n</w:t>
      </w:r>
      <w:r>
        <w:rPr>
          <w:rFonts w:hint="default" w:ascii="Times New Roman" w:hAnsi="Times New Roman" w:cs="Times New Roman"/>
          <w:sz w:val="22"/>
          <w:szCs w:val="22"/>
          <w:lang w:val="en-US" w:eastAsia="pt-BR"/>
        </w:rPr>
        <w:t xml:space="preserve">º </w:t>
      </w:r>
      <w:r>
        <w:rPr>
          <w:rFonts w:ascii="Times New Roman" w:hAnsi="Times New Roman" w:cs="Times New Roman"/>
          <w:sz w:val="22"/>
          <w:szCs w:val="22"/>
          <w:shd w:val="clear" w:fill="auto"/>
          <w:lang w:eastAsia="pt-BR"/>
        </w:rPr>
        <w:t>00</w:t>
      </w:r>
      <w:r>
        <w:rPr>
          <w:rFonts w:hint="default" w:ascii="Times New Roman" w:hAnsi="Times New Roman" w:cs="Times New Roman"/>
          <w:sz w:val="22"/>
          <w:szCs w:val="22"/>
          <w:shd w:val="clear" w:fill="auto"/>
          <w:lang w:val="en-US" w:eastAsia="pt-BR"/>
        </w:rPr>
        <w:t>6</w:t>
      </w:r>
      <w:r>
        <w:rPr>
          <w:rFonts w:ascii="Times New Roman" w:hAnsi="Times New Roman" w:cs="Times New Roman"/>
          <w:sz w:val="22"/>
          <w:szCs w:val="22"/>
          <w:shd w:val="clear" w:fill="auto"/>
          <w:lang w:eastAsia="pt-BR"/>
        </w:rPr>
        <w:t xml:space="preserve">/2024, </w:t>
      </w:r>
      <w:r>
        <w:rPr>
          <w:rStyle w:val="45"/>
          <w:color w:val="000000" w:themeColor="text1"/>
          <w:sz w:val="22"/>
          <w:szCs w:val="22"/>
        </w:rPr>
        <w:t>com participação Exclusiva de ME/EPP</w:t>
      </w:r>
      <w:r>
        <w:rPr>
          <w:rStyle w:val="45"/>
          <w:rFonts w:hint="default" w:ascii="Times New Roman"/>
          <w:color w:val="000000" w:themeColor="text1"/>
          <w:sz w:val="22"/>
          <w:szCs w:val="22"/>
          <w:lang w:val="pt-BR"/>
        </w:rPr>
        <w:t xml:space="preserve">, </w:t>
      </w:r>
      <w:r>
        <w:rPr>
          <w:rFonts w:ascii="Times New Roman" w:hAnsi="Times New Roman" w:cs="Times New Roman"/>
          <w:sz w:val="22"/>
          <w:szCs w:val="22"/>
          <w:lang w:eastAsia="pt-BR"/>
        </w:rPr>
        <w:t xml:space="preserve">com critério de julgamento </w:t>
      </w:r>
      <w:r>
        <w:rPr>
          <w:rFonts w:ascii="Times New Roman" w:hAnsi="Times New Roman" w:cs="Times New Roman"/>
          <w:b/>
          <w:bCs/>
          <w:sz w:val="22"/>
          <w:szCs w:val="22"/>
          <w:lang w:eastAsia="pt-BR"/>
        </w:rPr>
        <w:t>MENOR PREÇO POR LOTE</w:t>
      </w:r>
      <w:r>
        <w:rPr>
          <w:rFonts w:ascii="Times New Roman" w:hAnsi="Times New Roman" w:cs="Times New Roman"/>
          <w:sz w:val="22"/>
          <w:szCs w:val="22"/>
          <w:lang w:eastAsia="pt-BR"/>
        </w:rPr>
        <w:t xml:space="preserve">, cujo objeto é a </w:t>
      </w:r>
      <w:r>
        <w:rPr>
          <w:rFonts w:ascii="Times New Roman" w:hAnsi="Times New Roman" w:cs="Times New Roman"/>
          <w:b/>
          <w:bCs/>
          <w:color w:val="000000"/>
          <w:kern w:val="0"/>
          <w:sz w:val="22"/>
          <w:szCs w:val="22"/>
          <w:shd w:val="clear" w:fill="auto"/>
          <w:lang w:val="pt-BR" w:eastAsia="pt-BR" w:bidi="ar-SA"/>
        </w:rPr>
        <w:t>Aquisição de Gêneros Alimentícios, para atender as Sessões Ordinárias, Extraordinárias e Eventos da Câmara Municipal de Primavera do Leste-MT</w:t>
      </w:r>
      <w:r>
        <w:rPr>
          <w:rFonts w:ascii="Times New Roman" w:hAnsi="Times New Roman" w:cs="Times New Roman"/>
          <w:sz w:val="22"/>
          <w:szCs w:val="22"/>
          <w:shd w:val="clear" w:fill="auto"/>
          <w:lang w:eastAsia="pt-BR"/>
        </w:rPr>
        <w:t>,</w:t>
      </w:r>
      <w:r>
        <w:rPr>
          <w:rFonts w:ascii="Times New Roman" w:hAnsi="Times New Roman" w:cs="Times New Roman"/>
          <w:sz w:val="22"/>
          <w:szCs w:val="22"/>
          <w:lang w:eastAsia="pt-BR"/>
        </w:rPr>
        <w:t xml:space="preserve"> processada nos termos do Processo Administrativo nº 013/2024</w:t>
      </w:r>
      <w:r>
        <w:rPr>
          <w:rFonts w:ascii="Times New Roman" w:hAnsi="Times New Roman" w:cs="Times New Roman"/>
          <w:sz w:val="22"/>
          <w:szCs w:val="22"/>
          <w:shd w:val="clear" w:fill="auto"/>
          <w:lang w:eastAsia="pt-BR"/>
        </w:rPr>
        <w:t>,</w:t>
      </w:r>
      <w:r>
        <w:rPr>
          <w:rFonts w:ascii="Times New Roman" w:hAnsi="Times New Roman" w:cs="Times New Roman"/>
          <w:sz w:val="22"/>
          <w:szCs w:val="22"/>
          <w:lang w:eastAsia="pt-BR"/>
        </w:rPr>
        <w:t xml:space="preserve"> o qual se constitui em documento vinculativo e obrigacional às partes, à luz da permissão inserta no </w:t>
      </w:r>
      <w:r>
        <w:fldChar w:fldCharType="begin"/>
      </w:r>
      <w:r>
        <w:rPr>
          <w:rStyle w:val="54"/>
          <w:rFonts w:ascii="Times New Roman" w:hAnsi="Times New Roman"/>
          <w:sz w:val="22"/>
          <w:szCs w:val="22"/>
          <w:lang w:eastAsia="pt-BR"/>
        </w:rPr>
        <w:instrText xml:space="preserve"> HYPERLINK "https://www.planalto.gov.br/ccivil_03/_ato2019-2022/2021/lei/l14133.htm" \l "art40"</w:instrText>
      </w:r>
      <w:r>
        <w:rPr>
          <w:rStyle w:val="54"/>
          <w:rFonts w:ascii="Times New Roman" w:hAnsi="Times New Roman"/>
          <w:sz w:val="22"/>
          <w:szCs w:val="22"/>
          <w:lang w:eastAsia="pt-BR"/>
        </w:rPr>
        <w:fldChar w:fldCharType="separate"/>
      </w:r>
      <w:r>
        <w:rPr>
          <w:rStyle w:val="54"/>
          <w:rFonts w:ascii="Times New Roman" w:hAnsi="Times New Roman"/>
          <w:sz w:val="22"/>
          <w:szCs w:val="22"/>
          <w:lang w:eastAsia="pt-BR"/>
        </w:rPr>
        <w:t>art. 40, II</w:t>
      </w:r>
      <w:r>
        <w:rPr>
          <w:rStyle w:val="54"/>
          <w:rFonts w:ascii="Times New Roman" w:hAnsi="Times New Roman"/>
          <w:sz w:val="22"/>
          <w:szCs w:val="22"/>
          <w:lang w:eastAsia="pt-BR"/>
        </w:rPr>
        <w:fldChar w:fldCharType="end"/>
      </w:r>
      <w:r>
        <w:rPr>
          <w:rFonts w:ascii="Times New Roman" w:hAnsi="Times New Roman" w:cs="Times New Roman"/>
          <w:sz w:val="22"/>
          <w:szCs w:val="22"/>
          <w:lang w:eastAsia="pt-BR"/>
        </w:rPr>
        <w:t xml:space="preserve">, </w:t>
      </w:r>
      <w:r>
        <w:fldChar w:fldCharType="begin"/>
      </w:r>
      <w:r>
        <w:rPr>
          <w:rStyle w:val="54"/>
          <w:rFonts w:ascii="Times New Roman" w:hAnsi="Times New Roman"/>
          <w:sz w:val="22"/>
          <w:szCs w:val="22"/>
          <w:lang w:eastAsia="pt-BR"/>
        </w:rPr>
        <w:instrText xml:space="preserve"> HYPERLINK "https://www.planalto.gov.br/ccivil_03/_ato2019-2022/2021/lei/l14133.htm" \l "art78"</w:instrText>
      </w:r>
      <w:r>
        <w:rPr>
          <w:rStyle w:val="54"/>
          <w:rFonts w:ascii="Times New Roman" w:hAnsi="Times New Roman"/>
          <w:sz w:val="22"/>
          <w:szCs w:val="22"/>
          <w:lang w:eastAsia="pt-BR"/>
        </w:rPr>
        <w:fldChar w:fldCharType="separate"/>
      </w:r>
      <w:r>
        <w:rPr>
          <w:rStyle w:val="54"/>
          <w:rFonts w:ascii="Times New Roman" w:hAnsi="Times New Roman"/>
          <w:sz w:val="22"/>
          <w:szCs w:val="22"/>
          <w:lang w:eastAsia="pt-BR"/>
        </w:rPr>
        <w:t>78, IV</w:t>
      </w:r>
      <w:r>
        <w:rPr>
          <w:rStyle w:val="54"/>
          <w:rFonts w:ascii="Times New Roman" w:hAnsi="Times New Roman"/>
          <w:sz w:val="22"/>
          <w:szCs w:val="22"/>
          <w:lang w:eastAsia="pt-BR"/>
        </w:rPr>
        <w:fldChar w:fldCharType="end"/>
      </w:r>
      <w:r>
        <w:rPr>
          <w:rFonts w:ascii="Times New Roman" w:hAnsi="Times New Roman" w:cs="Times New Roman"/>
          <w:sz w:val="22"/>
          <w:szCs w:val="22"/>
          <w:lang w:eastAsia="pt-BR"/>
        </w:rPr>
        <w:t xml:space="preserve">, e </w:t>
      </w:r>
      <w:r>
        <w:fldChar w:fldCharType="begin"/>
      </w:r>
      <w:r>
        <w:rPr>
          <w:rStyle w:val="54"/>
          <w:rFonts w:ascii="Times New Roman" w:hAnsi="Times New Roman"/>
          <w:sz w:val="22"/>
          <w:szCs w:val="22"/>
          <w:lang w:eastAsia="pt-BR"/>
        </w:rPr>
        <w:instrText xml:space="preserve"> HYPERLINK "https://www.planalto.gov.br/ccivil_03/_ato2019-2022/2021/lei/l14133.htm" \l "art82"</w:instrText>
      </w:r>
      <w:r>
        <w:rPr>
          <w:rStyle w:val="54"/>
          <w:rFonts w:ascii="Times New Roman" w:hAnsi="Times New Roman"/>
          <w:sz w:val="22"/>
          <w:szCs w:val="22"/>
          <w:lang w:eastAsia="pt-BR"/>
        </w:rPr>
        <w:fldChar w:fldCharType="separate"/>
      </w:r>
      <w:r>
        <w:rPr>
          <w:rStyle w:val="54"/>
          <w:rFonts w:ascii="Times New Roman" w:hAnsi="Times New Roman"/>
          <w:sz w:val="22"/>
          <w:szCs w:val="22"/>
          <w:lang w:eastAsia="pt-BR"/>
        </w:rPr>
        <w:t>82</w:t>
      </w:r>
      <w:r>
        <w:rPr>
          <w:rStyle w:val="54"/>
          <w:rFonts w:ascii="Times New Roman" w:hAnsi="Times New Roman"/>
          <w:sz w:val="22"/>
          <w:szCs w:val="22"/>
          <w:lang w:eastAsia="pt-BR"/>
        </w:rPr>
        <w:fldChar w:fldCharType="end"/>
      </w:r>
      <w:r>
        <w:rPr>
          <w:rFonts w:ascii="Times New Roman" w:hAnsi="Times New Roman" w:cs="Times New Roman"/>
          <w:sz w:val="22"/>
          <w:szCs w:val="22"/>
          <w:lang w:eastAsia="pt-BR"/>
        </w:rPr>
        <w:t xml:space="preserve"> a </w:t>
      </w:r>
      <w:r>
        <w:fldChar w:fldCharType="begin"/>
      </w:r>
      <w:r>
        <w:rPr>
          <w:rStyle w:val="54"/>
          <w:rFonts w:ascii="Times New Roman" w:hAnsi="Times New Roman"/>
          <w:sz w:val="22"/>
          <w:szCs w:val="22"/>
          <w:lang w:eastAsia="pt-BR"/>
        </w:rPr>
        <w:instrText xml:space="preserve"> HYPERLINK "https://www.planalto.gov.br/ccivil_03/_ato2019-2022/2021/lei/l14133.htm" \l "art86"</w:instrText>
      </w:r>
      <w:r>
        <w:rPr>
          <w:rStyle w:val="54"/>
          <w:rFonts w:ascii="Times New Roman" w:hAnsi="Times New Roman"/>
          <w:sz w:val="22"/>
          <w:szCs w:val="22"/>
          <w:lang w:eastAsia="pt-BR"/>
        </w:rPr>
        <w:fldChar w:fldCharType="separate"/>
      </w:r>
      <w:r>
        <w:rPr>
          <w:rStyle w:val="54"/>
          <w:rFonts w:ascii="Times New Roman" w:hAnsi="Times New Roman"/>
          <w:sz w:val="22"/>
          <w:szCs w:val="22"/>
          <w:lang w:eastAsia="pt-BR"/>
        </w:rPr>
        <w:t>86 da Lei Federal nº 14.133, de 2021</w:t>
      </w:r>
      <w:r>
        <w:rPr>
          <w:rStyle w:val="54"/>
          <w:rFonts w:ascii="Times New Roman" w:hAnsi="Times New Roman"/>
          <w:sz w:val="22"/>
          <w:szCs w:val="22"/>
          <w:lang w:eastAsia="pt-BR"/>
        </w:rPr>
        <w:fldChar w:fldCharType="end"/>
      </w:r>
      <w:r>
        <w:rPr>
          <w:rFonts w:ascii="Times New Roman" w:hAnsi="Times New Roman" w:cs="Times New Roman"/>
          <w:sz w:val="22"/>
          <w:szCs w:val="22"/>
          <w:lang w:eastAsia="pt-BR"/>
        </w:rPr>
        <w:t xml:space="preserve">, regulamentado </w:t>
      </w:r>
      <w:r>
        <w:rPr>
          <w:rFonts w:ascii="Times New Roman" w:hAnsi="Times New Roman" w:cs="Times New Roman"/>
          <w:color w:val="000000"/>
          <w:sz w:val="22"/>
          <w:szCs w:val="22"/>
          <w:lang w:eastAsia="pt-BR"/>
        </w:rPr>
        <w:t>Decreto Estadual n</w:t>
      </w:r>
      <w:r>
        <w:rPr>
          <w:rFonts w:ascii="Times New Roman" w:hAnsi="Times New Roman" w:cs="Times New Roman"/>
          <w:b/>
          <w:bCs/>
          <w:color w:val="000000"/>
          <w:sz w:val="22"/>
          <w:szCs w:val="22"/>
          <w:lang w:eastAsia="pt-BR"/>
        </w:rPr>
        <w:t xml:space="preserve">º </w:t>
      </w:r>
      <w:r>
        <w:rPr>
          <w:rFonts w:ascii="Times New Roman" w:hAnsi="Times New Roman" w:cs="Times New Roman"/>
          <w:color w:val="000000"/>
          <w:sz w:val="22"/>
          <w:szCs w:val="22"/>
          <w:lang w:eastAsia="pt-BR"/>
        </w:rPr>
        <w:t>7.217/2006, e em conformidade com as disposições a seguir:</w:t>
      </w:r>
    </w:p>
    <w:p>
      <w:pPr>
        <w:pStyle w:val="60"/>
        <w:numPr>
          <w:ilvl w:val="0"/>
          <w:numId w:val="12"/>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OBJETO</w:t>
      </w:r>
    </w:p>
    <w:p>
      <w:pPr>
        <w:pStyle w:val="60"/>
        <w:numPr>
          <w:ilvl w:val="1"/>
          <w:numId w:val="12"/>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A presente Ata tem por objeto o REGISTRO DE PREÇOS para a eventual </w:t>
      </w:r>
      <w:r>
        <w:rPr>
          <w:rFonts w:ascii="Times New Roman" w:hAnsi="Times New Roman" w:cs="Times New Roman"/>
          <w:b/>
          <w:bCs/>
          <w:color w:val="000000"/>
          <w:kern w:val="0"/>
          <w:sz w:val="22"/>
          <w:szCs w:val="22"/>
          <w:shd w:val="clear" w:fill="auto"/>
          <w:lang w:val="pt-BR" w:eastAsia="pt-BR" w:bidi="ar-SA"/>
        </w:rPr>
        <w:t>Aquisição de Gêneros Alimentícios, para atender as Sessões Ordinárias, Extraordinárias e Eventos da Câmara Municipal de Primavera do Leste-MT</w:t>
      </w:r>
      <w:r>
        <w:rPr>
          <w:rFonts w:ascii="Times New Roman" w:hAnsi="Times New Roman" w:cs="Times New Roman"/>
          <w:sz w:val="22"/>
          <w:szCs w:val="22"/>
          <w:shd w:val="clear" w:fill="auto"/>
          <w:lang w:eastAsia="pt-BR"/>
        </w:rPr>
        <w:t>, especificado no item único do Termo de Referência, Anexo I do Edital do Pregão Eletrônico</w:t>
      </w:r>
      <w:r>
        <w:rPr>
          <w:rFonts w:hint="default" w:ascii="Times New Roman" w:hAnsi="Times New Roman" w:cs="Times New Roman"/>
          <w:sz w:val="22"/>
          <w:szCs w:val="22"/>
          <w:shd w:val="clear" w:fill="auto"/>
          <w:lang w:val="en-US" w:eastAsia="pt-BR"/>
        </w:rPr>
        <w:t xml:space="preserve"> </w:t>
      </w:r>
      <w:r>
        <w:rPr>
          <w:rFonts w:ascii="Times New Roman" w:hAnsi="Times New Roman" w:cs="Times New Roman"/>
          <w:sz w:val="22"/>
          <w:szCs w:val="22"/>
          <w:shd w:val="clear" w:fill="auto"/>
          <w:lang w:eastAsia="pt-BR"/>
        </w:rPr>
        <w:t>nº 00</w:t>
      </w:r>
      <w:r>
        <w:rPr>
          <w:rFonts w:hint="default" w:ascii="Times New Roman" w:hAnsi="Times New Roman" w:cs="Times New Roman"/>
          <w:sz w:val="22"/>
          <w:szCs w:val="22"/>
          <w:shd w:val="clear" w:fill="auto"/>
          <w:lang w:val="en-US" w:eastAsia="pt-BR"/>
        </w:rPr>
        <w:t>6</w:t>
      </w:r>
      <w:r>
        <w:rPr>
          <w:rFonts w:ascii="Times New Roman" w:hAnsi="Times New Roman" w:cs="Times New Roman"/>
          <w:sz w:val="22"/>
          <w:szCs w:val="22"/>
          <w:shd w:val="clear" w:fill="auto"/>
          <w:lang w:eastAsia="pt-BR"/>
        </w:rPr>
        <w:t>,</w:t>
      </w:r>
      <w:r>
        <w:rPr>
          <w:rFonts w:ascii="Times New Roman" w:hAnsi="Times New Roman" w:cs="Times New Roman"/>
          <w:sz w:val="22"/>
          <w:szCs w:val="22"/>
          <w:lang w:eastAsia="pt-BR"/>
        </w:rPr>
        <w:t xml:space="preserve"> de 2024, que é parte integrante desta Ata, assim como as propostas cujos preços tenham sido registrados, independentemente de transcrição, cujas especificações, preço(s), marca(s)/modelo(s), quantitativo(s) e fornecedor(es) foram previamente definidos por meio do procedimento licitatório supracitado.</w:t>
      </w:r>
    </w:p>
    <w:p>
      <w:pPr>
        <w:pStyle w:val="60"/>
        <w:numPr>
          <w:ilvl w:val="0"/>
          <w:numId w:val="12"/>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 xml:space="preserve">ÓRGÃOS GERENCIADOR E PARTICIPANTES </w:t>
      </w:r>
    </w:p>
    <w:p>
      <w:pPr>
        <w:pStyle w:val="60"/>
        <w:numPr>
          <w:ilvl w:val="1"/>
          <w:numId w:val="12"/>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O ÓRGÃO GERENCIADOR da presente Ata de Registro de Preço - ARP será a Câmara Municipal de Primavera do Leste - MT, já identificado no preâmbulo. </w:t>
      </w:r>
    </w:p>
    <w:p>
      <w:pPr>
        <w:pStyle w:val="60"/>
        <w:numPr>
          <w:ilvl w:val="1"/>
          <w:numId w:val="12"/>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Além do gerenciador, são órgãos e entidades públicas participantes do presente registro de preços:</w:t>
      </w:r>
    </w:p>
    <w:tbl>
      <w:tblPr>
        <w:tblStyle w:val="10"/>
        <w:tblW w:w="6847" w:type="dxa"/>
        <w:jc w:val="center"/>
        <w:tblLayout w:type="fixed"/>
        <w:tblCellMar>
          <w:top w:w="0" w:type="dxa"/>
          <w:left w:w="108" w:type="dxa"/>
          <w:bottom w:w="0" w:type="dxa"/>
          <w:right w:w="108" w:type="dxa"/>
        </w:tblCellMar>
      </w:tblPr>
      <w:tblGrid>
        <w:gridCol w:w="2223"/>
        <w:gridCol w:w="2389"/>
        <w:gridCol w:w="2235"/>
      </w:tblGrid>
      <w:tr>
        <w:tblPrEx>
          <w:tblCellMar>
            <w:top w:w="0" w:type="dxa"/>
            <w:left w:w="108" w:type="dxa"/>
            <w:bottom w:w="0" w:type="dxa"/>
            <w:right w:w="108" w:type="dxa"/>
          </w:tblCellMar>
        </w:tblPrEx>
        <w:trPr>
          <w:jc w:val="center"/>
        </w:trPr>
        <w:tc>
          <w:tcPr>
            <w:tcW w:w="222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tabs>
                <w:tab w:val="left" w:pos="3001"/>
              </w:tabs>
              <w:spacing w:before="0" w:after="0" w:line="240" w:lineRule="auto"/>
              <w:jc w:val="center"/>
              <w:rPr>
                <w:rFonts w:ascii="Times New Roman" w:hAnsi="Times New Roman"/>
                <w:sz w:val="22"/>
                <w:szCs w:val="22"/>
              </w:rPr>
            </w:pPr>
            <w:r>
              <w:rPr>
                <w:rFonts w:ascii="Times New Roman" w:hAnsi="Times New Roman" w:cs="Times New Roman"/>
                <w:b/>
                <w:bCs/>
                <w:sz w:val="22"/>
                <w:szCs w:val="22"/>
                <w:lang w:eastAsia="pt-BR"/>
              </w:rPr>
              <w:t>Item nº</w:t>
            </w:r>
          </w:p>
        </w:tc>
        <w:tc>
          <w:tcPr>
            <w:tcW w:w="2389"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tabs>
                <w:tab w:val="left" w:pos="3001"/>
              </w:tabs>
              <w:spacing w:before="0" w:after="0" w:line="240" w:lineRule="auto"/>
              <w:jc w:val="center"/>
              <w:rPr>
                <w:rFonts w:ascii="Times New Roman" w:hAnsi="Times New Roman"/>
                <w:sz w:val="22"/>
                <w:szCs w:val="22"/>
              </w:rPr>
            </w:pPr>
            <w:r>
              <w:rPr>
                <w:rFonts w:ascii="Times New Roman" w:hAnsi="Times New Roman" w:cs="Times New Roman"/>
                <w:b/>
                <w:bCs/>
                <w:sz w:val="22"/>
                <w:szCs w:val="22"/>
                <w:lang w:eastAsia="pt-BR"/>
              </w:rPr>
              <w:t>Órgão(s) Participante(s)</w:t>
            </w:r>
          </w:p>
        </w:tc>
        <w:tc>
          <w:tcPr>
            <w:tcW w:w="223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tabs>
                <w:tab w:val="left" w:pos="3001"/>
              </w:tabs>
              <w:spacing w:before="0" w:after="0" w:line="240" w:lineRule="auto"/>
              <w:jc w:val="center"/>
              <w:rPr>
                <w:rFonts w:ascii="Times New Roman" w:hAnsi="Times New Roman"/>
                <w:sz w:val="22"/>
                <w:szCs w:val="22"/>
              </w:rPr>
            </w:pPr>
            <w:r>
              <w:rPr>
                <w:rFonts w:ascii="Times New Roman" w:hAnsi="Times New Roman" w:cs="Times New Roman"/>
                <w:b/>
                <w:bCs/>
                <w:sz w:val="22"/>
                <w:szCs w:val="22"/>
                <w:lang w:eastAsia="pt-BR"/>
              </w:rPr>
              <w:t>Quantidade</w:t>
            </w:r>
          </w:p>
        </w:tc>
      </w:tr>
      <w:tr>
        <w:tblPrEx>
          <w:tblCellMar>
            <w:top w:w="0" w:type="dxa"/>
            <w:left w:w="108" w:type="dxa"/>
            <w:bottom w:w="0" w:type="dxa"/>
            <w:right w:w="108" w:type="dxa"/>
          </w:tblCellMar>
        </w:tblPrEx>
        <w:trPr>
          <w:jc w:val="center"/>
        </w:trPr>
        <w:tc>
          <w:tcPr>
            <w:tcW w:w="2223" w:type="dxa"/>
            <w:tcBorders>
              <w:top w:val="single" w:color="000000" w:sz="4" w:space="0"/>
              <w:left w:val="single" w:color="000000" w:sz="4" w:space="0"/>
              <w:bottom w:val="single" w:color="000000" w:sz="4" w:space="0"/>
              <w:right w:val="single" w:color="000000" w:sz="4" w:space="0"/>
            </w:tcBorders>
          </w:tcPr>
          <w:p>
            <w:pPr>
              <w:tabs>
                <w:tab w:val="left" w:pos="3001"/>
              </w:tabs>
              <w:spacing w:before="0" w:after="0" w:line="240" w:lineRule="auto"/>
              <w:rPr>
                <w:rFonts w:ascii="Times New Roman" w:hAnsi="Times New Roman"/>
                <w:sz w:val="22"/>
                <w:szCs w:val="22"/>
              </w:rPr>
            </w:pPr>
            <w:r>
              <w:rPr>
                <w:rFonts w:ascii="Times New Roman" w:hAnsi="Times New Roman" w:cs="Times New Roman"/>
                <w:sz w:val="22"/>
                <w:szCs w:val="22"/>
                <w:lang w:eastAsia="pt-BR"/>
              </w:rPr>
              <w:t>Único</w:t>
            </w:r>
          </w:p>
        </w:tc>
        <w:tc>
          <w:tcPr>
            <w:tcW w:w="2389" w:type="dxa"/>
            <w:tcBorders>
              <w:top w:val="single" w:color="000000" w:sz="4" w:space="0"/>
              <w:left w:val="single" w:color="000000" w:sz="4" w:space="0"/>
              <w:bottom w:val="single" w:color="000000" w:sz="4" w:space="0"/>
              <w:right w:val="single" w:color="000000" w:sz="4" w:space="0"/>
            </w:tcBorders>
          </w:tcPr>
          <w:p>
            <w:pPr>
              <w:tabs>
                <w:tab w:val="left" w:pos="3001"/>
              </w:tabs>
              <w:spacing w:before="0" w:after="0" w:line="240" w:lineRule="auto"/>
              <w:rPr>
                <w:rFonts w:ascii="Times New Roman" w:hAnsi="Times New Roman" w:cs="Times New Roman"/>
                <w:sz w:val="22"/>
                <w:szCs w:val="22"/>
                <w:lang w:eastAsia="pt-BR"/>
              </w:rPr>
            </w:pPr>
          </w:p>
        </w:tc>
        <w:tc>
          <w:tcPr>
            <w:tcW w:w="2235" w:type="dxa"/>
            <w:tcBorders>
              <w:top w:val="single" w:color="000000" w:sz="4" w:space="0"/>
              <w:left w:val="single" w:color="000000" w:sz="4" w:space="0"/>
              <w:bottom w:val="single" w:color="000000" w:sz="4" w:space="0"/>
              <w:right w:val="single" w:color="000000" w:sz="4" w:space="0"/>
            </w:tcBorders>
          </w:tcPr>
          <w:p>
            <w:pPr>
              <w:tabs>
                <w:tab w:val="left" w:pos="3001"/>
              </w:tabs>
              <w:spacing w:before="0" w:after="0" w:line="240" w:lineRule="auto"/>
              <w:rPr>
                <w:rFonts w:ascii="Times New Roman" w:hAnsi="Times New Roman" w:cs="Times New Roman"/>
                <w:sz w:val="22"/>
                <w:szCs w:val="22"/>
                <w:lang w:eastAsia="pt-BR"/>
              </w:rPr>
            </w:pPr>
          </w:p>
        </w:tc>
      </w:tr>
      <w:tr>
        <w:tblPrEx>
          <w:tblCellMar>
            <w:top w:w="0" w:type="dxa"/>
            <w:left w:w="108" w:type="dxa"/>
            <w:bottom w:w="0" w:type="dxa"/>
            <w:right w:w="108" w:type="dxa"/>
          </w:tblCellMar>
        </w:tblPrEx>
        <w:trPr>
          <w:jc w:val="center"/>
        </w:trPr>
        <w:tc>
          <w:tcPr>
            <w:tcW w:w="2223" w:type="dxa"/>
            <w:tcBorders>
              <w:top w:val="single" w:color="000000" w:sz="4" w:space="0"/>
              <w:left w:val="single" w:color="000000" w:sz="4" w:space="0"/>
              <w:bottom w:val="single" w:color="000000" w:sz="4" w:space="0"/>
              <w:right w:val="single" w:color="000000" w:sz="4" w:space="0"/>
            </w:tcBorders>
          </w:tcPr>
          <w:p>
            <w:pPr>
              <w:tabs>
                <w:tab w:val="left" w:pos="3001"/>
              </w:tabs>
              <w:spacing w:before="0" w:after="0" w:line="240" w:lineRule="auto"/>
              <w:rPr>
                <w:rFonts w:ascii="Times New Roman" w:hAnsi="Times New Roman"/>
                <w:sz w:val="22"/>
                <w:szCs w:val="22"/>
              </w:rPr>
            </w:pPr>
            <w:r>
              <w:rPr>
                <w:rFonts w:ascii="Times New Roman" w:hAnsi="Times New Roman" w:cs="Times New Roman"/>
                <w:sz w:val="22"/>
                <w:szCs w:val="22"/>
                <w:lang w:eastAsia="pt-BR"/>
              </w:rPr>
              <w:t>Único</w:t>
            </w:r>
          </w:p>
        </w:tc>
        <w:tc>
          <w:tcPr>
            <w:tcW w:w="2389" w:type="dxa"/>
            <w:tcBorders>
              <w:top w:val="single" w:color="000000" w:sz="4" w:space="0"/>
              <w:left w:val="single" w:color="000000" w:sz="4" w:space="0"/>
              <w:bottom w:val="single" w:color="000000" w:sz="4" w:space="0"/>
              <w:right w:val="single" w:color="000000" w:sz="4" w:space="0"/>
            </w:tcBorders>
          </w:tcPr>
          <w:p>
            <w:pPr>
              <w:tabs>
                <w:tab w:val="left" w:pos="3001"/>
              </w:tabs>
              <w:spacing w:before="0" w:after="0" w:line="240" w:lineRule="auto"/>
              <w:rPr>
                <w:rFonts w:ascii="Times New Roman" w:hAnsi="Times New Roman" w:cs="Times New Roman"/>
                <w:sz w:val="22"/>
                <w:szCs w:val="22"/>
                <w:lang w:eastAsia="pt-BR"/>
              </w:rPr>
            </w:pPr>
          </w:p>
        </w:tc>
        <w:tc>
          <w:tcPr>
            <w:tcW w:w="2235" w:type="dxa"/>
            <w:tcBorders>
              <w:top w:val="single" w:color="000000" w:sz="4" w:space="0"/>
              <w:left w:val="single" w:color="000000" w:sz="4" w:space="0"/>
              <w:bottom w:val="single" w:color="000000" w:sz="4" w:space="0"/>
              <w:right w:val="single" w:color="000000" w:sz="4" w:space="0"/>
            </w:tcBorders>
          </w:tcPr>
          <w:p>
            <w:pPr>
              <w:tabs>
                <w:tab w:val="left" w:pos="3001"/>
              </w:tabs>
              <w:spacing w:before="0" w:after="0" w:line="240" w:lineRule="auto"/>
              <w:rPr>
                <w:rFonts w:ascii="Times New Roman" w:hAnsi="Times New Roman" w:cs="Times New Roman"/>
                <w:sz w:val="22"/>
                <w:szCs w:val="22"/>
                <w:lang w:eastAsia="pt-BR"/>
              </w:rPr>
            </w:pPr>
          </w:p>
        </w:tc>
      </w:tr>
    </w:tbl>
    <w:p>
      <w:pPr>
        <w:pStyle w:val="60"/>
        <w:numPr>
          <w:ilvl w:val="0"/>
          <w:numId w:val="12"/>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REGISTROS FORMALIZADOS</w:t>
      </w:r>
    </w:p>
    <w:p>
      <w:pPr>
        <w:pStyle w:val="60"/>
        <w:numPr>
          <w:ilvl w:val="1"/>
          <w:numId w:val="12"/>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A presente ARP estabelece as cláusulas e condições gerais para o REGISTRO DE PREÇOS com vistas à </w:t>
      </w:r>
      <w:r>
        <w:rPr>
          <w:rFonts w:ascii="Times New Roman" w:hAnsi="Times New Roman" w:cs="Times New Roman"/>
          <w:b/>
          <w:bCs/>
          <w:sz w:val="22"/>
          <w:szCs w:val="22"/>
          <w:lang w:eastAsia="pt-BR"/>
        </w:rPr>
        <w:t xml:space="preserve">futura e eventual </w:t>
      </w:r>
      <w:r>
        <w:rPr>
          <w:rFonts w:ascii="Times New Roman" w:hAnsi="Times New Roman" w:cs="Times New Roman"/>
          <w:b/>
          <w:bCs/>
          <w:color w:val="000000"/>
          <w:kern w:val="0"/>
          <w:sz w:val="22"/>
          <w:szCs w:val="22"/>
          <w:shd w:val="clear" w:fill="auto"/>
          <w:lang w:val="pt-BR" w:eastAsia="pt-BR" w:bidi="ar-SA"/>
        </w:rPr>
        <w:t>Aquisição de Gêneros Alimentícios, para atender as Sessões Ordinárias, Extraordinárias e Eventos da Câmara Municipal de Primavera do Leste-MT</w:t>
      </w:r>
      <w:r>
        <w:rPr>
          <w:rFonts w:hint="default" w:ascii="Times New Roman" w:hAnsi="Times New Roman" w:cs="Times New Roman"/>
          <w:b/>
          <w:bCs/>
          <w:color w:val="000000"/>
          <w:kern w:val="0"/>
          <w:sz w:val="22"/>
          <w:szCs w:val="22"/>
          <w:shd w:val="clear" w:fill="auto"/>
          <w:lang w:val="en-US" w:eastAsia="pt-BR" w:bidi="ar-SA"/>
        </w:rPr>
        <w:t>,</w:t>
      </w:r>
      <w:r>
        <w:rPr>
          <w:rFonts w:ascii="Times New Roman" w:hAnsi="Times New Roman" w:cs="Times New Roman"/>
          <w:sz w:val="22"/>
          <w:szCs w:val="22"/>
          <w:lang w:eastAsia="pt-BR"/>
        </w:rPr>
        <w:t xml:space="preserve"> cujas especificações, preço(s), marca(s)/modelo(s), quantitativo(s) e fornecedor(es) foram previamente definidos por meio do procedimento licitatório supracitado.</w:t>
      </w:r>
    </w:p>
    <w:p>
      <w:pPr>
        <w:pStyle w:val="60"/>
        <w:numPr>
          <w:ilvl w:val="0"/>
          <w:numId w:val="12"/>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DOS PREÇOS, ESPECIFICAÇÕES E QUANTITATIVOS</w:t>
      </w:r>
    </w:p>
    <w:p>
      <w:pPr>
        <w:pStyle w:val="60"/>
        <w:numPr>
          <w:ilvl w:val="1"/>
          <w:numId w:val="12"/>
        </w:numPr>
        <w:tabs>
          <w:tab w:val="left" w:pos="1134"/>
          <w:tab w:val="left" w:pos="3001"/>
        </w:tabs>
        <w:spacing w:before="120" w:after="120" w:line="240" w:lineRule="auto"/>
        <w:ind w:left="0" w:firstLine="567"/>
        <w:contextualSpacing w:val="0"/>
        <w:jc w:val="both"/>
        <w:rPr>
          <w:rFonts w:ascii="Times New Roman" w:hAnsi="Times New Roman"/>
          <w:sz w:val="22"/>
          <w:szCs w:val="22"/>
          <w:highlight w:val="none"/>
        </w:rPr>
      </w:pPr>
      <w:r>
        <w:rPr>
          <w:rFonts w:ascii="Times New Roman" w:hAnsi="Times New Roman" w:cs="Times New Roman"/>
          <w:sz w:val="22"/>
          <w:szCs w:val="22"/>
          <w:lang w:eastAsia="pt-BR"/>
        </w:rPr>
        <w:t>O preço registrado, as especificações do objeto, as quantidades mínimas e máximas de cada item, fornecedor(es)</w:t>
      </w:r>
      <w:r>
        <w:rPr>
          <w:rFonts w:ascii="Times New Roman" w:hAnsi="Times New Roman" w:cs="Times New Roman"/>
          <w:sz w:val="22"/>
          <w:szCs w:val="22"/>
          <w:highlight w:val="none"/>
          <w:lang w:eastAsia="pt-BR"/>
        </w:rPr>
        <w:t xml:space="preserve"> e as demais condições ofertadas na(s) proposta(s) são as que seguem: </w:t>
      </w:r>
    </w:p>
    <w:tbl>
      <w:tblPr>
        <w:tblStyle w:val="10"/>
        <w:tblW w:w="5000" w:type="pct"/>
        <w:tblInd w:w="0" w:type="dxa"/>
        <w:tblLayout w:type="fixed"/>
        <w:tblCellMar>
          <w:top w:w="0" w:type="dxa"/>
          <w:left w:w="28" w:type="dxa"/>
          <w:bottom w:w="0" w:type="dxa"/>
          <w:right w:w="28" w:type="dxa"/>
        </w:tblCellMar>
      </w:tblPr>
      <w:tblGrid>
        <w:gridCol w:w="646"/>
        <w:gridCol w:w="4448"/>
        <w:gridCol w:w="883"/>
        <w:gridCol w:w="708"/>
        <w:gridCol w:w="1049"/>
        <w:gridCol w:w="1253"/>
      </w:tblGrid>
      <w:tr>
        <w:tblPrEx>
          <w:tblCellMar>
            <w:top w:w="0" w:type="dxa"/>
            <w:left w:w="28" w:type="dxa"/>
            <w:bottom w:w="0" w:type="dxa"/>
            <w:right w:w="28" w:type="dxa"/>
          </w:tblCellMar>
        </w:tblPrEx>
        <w:tc>
          <w:tcPr>
            <w:tcW w:w="8930" w:type="dxa"/>
            <w:gridSpan w:val="6"/>
            <w:tcBorders>
              <w:top w:val="single" w:color="000000" w:sz="4" w:space="0"/>
              <w:left w:val="single" w:color="000000" w:sz="4" w:space="0"/>
              <w:bottom w:val="single" w:color="000000" w:sz="4" w:space="0"/>
              <w:right w:val="single" w:color="000000" w:sz="4" w:space="0"/>
            </w:tcBorders>
            <w:shd w:val="clear" w:color="auto" w:fill="A5A5A5" w:themeFill="background1" w:themeFillShade="A6"/>
            <w:vAlign w:val="center"/>
          </w:tcPr>
          <w:p>
            <w:pPr>
              <w:tabs>
                <w:tab w:val="left" w:pos="3001"/>
              </w:tabs>
              <w:spacing w:before="0" w:after="0" w:line="240" w:lineRule="auto"/>
              <w:rPr>
                <w:rFonts w:ascii="Times New Roman" w:hAnsi="Times New Roman"/>
                <w:sz w:val="22"/>
                <w:szCs w:val="22"/>
                <w:highlight w:val="none"/>
              </w:rPr>
            </w:pPr>
            <w:r>
              <w:rPr>
                <w:rFonts w:ascii="Times New Roman" w:hAnsi="Times New Roman" w:cs="Times New Roman"/>
                <w:sz w:val="22"/>
                <w:szCs w:val="22"/>
                <w:highlight w:val="none"/>
                <w:lang w:eastAsia="pt-BR"/>
              </w:rPr>
              <w:t>Empresa: XXXXXXXXXXXX - CNPJ: XXXXXXXXXXX</w:t>
            </w:r>
          </w:p>
          <w:p>
            <w:pPr>
              <w:tabs>
                <w:tab w:val="left" w:pos="3001"/>
              </w:tabs>
              <w:spacing w:before="0" w:after="0" w:line="240" w:lineRule="auto"/>
              <w:rPr>
                <w:rFonts w:ascii="Times New Roman" w:hAnsi="Times New Roman"/>
                <w:sz w:val="22"/>
                <w:szCs w:val="22"/>
                <w:highlight w:val="none"/>
              </w:rPr>
            </w:pPr>
            <w:r>
              <w:rPr>
                <w:rFonts w:ascii="Times New Roman" w:hAnsi="Times New Roman" w:cs="Times New Roman"/>
                <w:sz w:val="22"/>
                <w:szCs w:val="22"/>
                <w:highlight w:val="none"/>
                <w:lang w:eastAsia="pt-BR"/>
              </w:rPr>
              <w:t>Representante Legal: XXXXXXXXX</w:t>
            </w:r>
          </w:p>
          <w:p>
            <w:pPr>
              <w:tabs>
                <w:tab w:val="left" w:pos="3001"/>
              </w:tabs>
              <w:spacing w:before="0" w:after="0" w:line="240" w:lineRule="auto"/>
              <w:rPr>
                <w:rFonts w:ascii="Times New Roman" w:hAnsi="Times New Roman"/>
                <w:sz w:val="22"/>
                <w:szCs w:val="22"/>
                <w:highlight w:val="none"/>
              </w:rPr>
            </w:pPr>
            <w:r>
              <w:rPr>
                <w:rFonts w:ascii="Times New Roman" w:hAnsi="Times New Roman" w:cs="Times New Roman"/>
                <w:sz w:val="22"/>
                <w:szCs w:val="22"/>
                <w:highlight w:val="none"/>
                <w:lang w:eastAsia="pt-BR"/>
              </w:rPr>
              <w:t>Telefone: (XX) XXXX-XXXX - E-mail: XXX</w:t>
            </w:r>
          </w:p>
          <w:p>
            <w:pPr>
              <w:spacing w:before="0" w:after="0" w:line="240" w:lineRule="auto"/>
              <w:rPr>
                <w:rFonts w:ascii="Times New Roman" w:hAnsi="Times New Roman"/>
                <w:sz w:val="22"/>
                <w:szCs w:val="22"/>
                <w:highlight w:val="none"/>
              </w:rPr>
            </w:pPr>
            <w:r>
              <w:rPr>
                <w:rFonts w:ascii="Times New Roman" w:hAnsi="Times New Roman" w:cs="Times New Roman"/>
                <w:sz w:val="22"/>
                <w:szCs w:val="22"/>
                <w:highlight w:val="none"/>
                <w:lang w:eastAsia="pt-BR"/>
              </w:rPr>
              <w:t>Endereço: XXX</w:t>
            </w:r>
          </w:p>
        </w:tc>
      </w:tr>
      <w:tr>
        <w:tblPrEx>
          <w:tblCellMar>
            <w:top w:w="0" w:type="dxa"/>
            <w:left w:w="28" w:type="dxa"/>
            <w:bottom w:w="0" w:type="dxa"/>
            <w:right w:w="28" w:type="dxa"/>
          </w:tblCellMar>
        </w:tblPrEx>
        <w:tc>
          <w:tcPr>
            <w:tcW w:w="64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sz w:val="22"/>
                <w:szCs w:val="22"/>
                <w:highlight w:val="none"/>
              </w:rPr>
            </w:pPr>
            <w:r>
              <w:rPr>
                <w:rFonts w:ascii="Times New Roman" w:hAnsi="Times New Roman" w:cs="Times New Roman"/>
                <w:b/>
                <w:bCs/>
                <w:sz w:val="22"/>
                <w:szCs w:val="22"/>
                <w:highlight w:val="none"/>
              </w:rPr>
              <w:t>Item</w:t>
            </w:r>
          </w:p>
        </w:tc>
        <w:tc>
          <w:tcPr>
            <w:tcW w:w="442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sz w:val="22"/>
                <w:szCs w:val="22"/>
                <w:highlight w:val="none"/>
              </w:rPr>
            </w:pPr>
            <w:r>
              <w:rPr>
                <w:rFonts w:ascii="Times New Roman" w:hAnsi="Times New Roman" w:cs="Times New Roman"/>
                <w:b/>
                <w:bCs/>
                <w:sz w:val="22"/>
                <w:szCs w:val="22"/>
                <w:highlight w:val="none"/>
              </w:rPr>
              <w:t>Descrição</w:t>
            </w:r>
          </w:p>
        </w:tc>
        <w:tc>
          <w:tcPr>
            <w:tcW w:w="87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sz w:val="22"/>
                <w:szCs w:val="22"/>
                <w:highlight w:val="none"/>
              </w:rPr>
            </w:pPr>
            <w:r>
              <w:rPr>
                <w:rFonts w:ascii="Times New Roman" w:hAnsi="Times New Roman" w:cs="Times New Roman"/>
                <w:b/>
                <w:bCs/>
                <w:sz w:val="22"/>
                <w:szCs w:val="22"/>
                <w:highlight w:val="none"/>
              </w:rPr>
              <w:t>Unidade</w:t>
            </w:r>
          </w:p>
        </w:tc>
        <w:tc>
          <w:tcPr>
            <w:tcW w:w="70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sz w:val="22"/>
                <w:szCs w:val="22"/>
                <w:highlight w:val="none"/>
              </w:rPr>
            </w:pPr>
            <w:r>
              <w:rPr>
                <w:rFonts w:ascii="Times New Roman" w:hAnsi="Times New Roman" w:cs="Times New Roman"/>
                <w:b/>
                <w:bCs/>
                <w:sz w:val="22"/>
                <w:szCs w:val="22"/>
                <w:highlight w:val="none"/>
              </w:rPr>
              <w:t>Qtde</w:t>
            </w:r>
          </w:p>
        </w:tc>
        <w:tc>
          <w:tcPr>
            <w:tcW w:w="104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sz w:val="22"/>
                <w:szCs w:val="22"/>
                <w:highlight w:val="none"/>
              </w:rPr>
            </w:pPr>
            <w:r>
              <w:rPr>
                <w:rFonts w:ascii="Times New Roman" w:hAnsi="Times New Roman" w:cs="Times New Roman"/>
                <w:b/>
                <w:bCs/>
                <w:sz w:val="22"/>
                <w:szCs w:val="22"/>
                <w:highlight w:val="none"/>
              </w:rPr>
              <w:t>Preço</w:t>
            </w:r>
          </w:p>
          <w:p>
            <w:pPr>
              <w:spacing w:before="0" w:after="0" w:line="240" w:lineRule="auto"/>
              <w:jc w:val="center"/>
              <w:rPr>
                <w:rFonts w:ascii="Times New Roman" w:hAnsi="Times New Roman"/>
                <w:sz w:val="22"/>
                <w:szCs w:val="22"/>
                <w:highlight w:val="none"/>
              </w:rPr>
            </w:pPr>
            <w:r>
              <w:rPr>
                <w:rFonts w:ascii="Times New Roman" w:hAnsi="Times New Roman" w:cs="Times New Roman"/>
                <w:b/>
                <w:bCs/>
                <w:sz w:val="22"/>
                <w:szCs w:val="22"/>
                <w:highlight w:val="none"/>
              </w:rPr>
              <w:t>Unitário</w:t>
            </w:r>
          </w:p>
        </w:tc>
        <w:tc>
          <w:tcPr>
            <w:tcW w:w="124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sz w:val="22"/>
                <w:szCs w:val="22"/>
                <w:highlight w:val="none"/>
              </w:rPr>
            </w:pPr>
            <w:r>
              <w:rPr>
                <w:rFonts w:ascii="Times New Roman" w:hAnsi="Times New Roman" w:cs="Times New Roman"/>
                <w:b/>
                <w:sz w:val="22"/>
                <w:szCs w:val="22"/>
                <w:highlight w:val="none"/>
              </w:rPr>
              <w:t>Preço</w:t>
            </w:r>
          </w:p>
          <w:p>
            <w:pPr>
              <w:spacing w:before="0" w:after="0" w:line="240" w:lineRule="auto"/>
              <w:jc w:val="center"/>
              <w:rPr>
                <w:rFonts w:ascii="Times New Roman" w:hAnsi="Times New Roman"/>
                <w:sz w:val="22"/>
                <w:szCs w:val="22"/>
                <w:highlight w:val="none"/>
              </w:rPr>
            </w:pPr>
            <w:r>
              <w:rPr>
                <w:rFonts w:ascii="Times New Roman" w:hAnsi="Times New Roman" w:cs="Times New Roman"/>
                <w:b/>
                <w:sz w:val="22"/>
                <w:szCs w:val="22"/>
                <w:highlight w:val="none"/>
              </w:rPr>
              <w:t>Total</w:t>
            </w:r>
          </w:p>
        </w:tc>
      </w:tr>
      <w:tr>
        <w:tblPrEx>
          <w:tblCellMar>
            <w:top w:w="0" w:type="dxa"/>
            <w:left w:w="28" w:type="dxa"/>
            <w:bottom w:w="0" w:type="dxa"/>
            <w:right w:w="28" w:type="dxa"/>
          </w:tblCellMar>
        </w:tblPrEx>
        <w:tc>
          <w:tcPr>
            <w:tcW w:w="642" w:type="dxa"/>
            <w:tcBorders>
              <w:top w:val="single" w:color="000000" w:sz="4" w:space="0"/>
              <w:left w:val="single" w:color="000000" w:sz="4" w:space="0"/>
              <w:bottom w:val="single" w:color="000000" w:sz="4" w:space="0"/>
              <w:right w:val="single" w:color="000000" w:sz="4" w:space="0"/>
            </w:tcBorders>
          </w:tcPr>
          <w:p>
            <w:pPr>
              <w:spacing w:before="0" w:after="0" w:line="240" w:lineRule="auto"/>
              <w:rPr>
                <w:rFonts w:ascii="Times New Roman" w:hAnsi="Times New Roman"/>
                <w:sz w:val="22"/>
                <w:szCs w:val="22"/>
                <w:highlight w:val="none"/>
              </w:rPr>
            </w:pPr>
            <w:r>
              <w:rPr>
                <w:rFonts w:ascii="Times New Roman" w:hAnsi="Times New Roman" w:cs="Times New Roman"/>
                <w:color w:val="000000"/>
                <w:sz w:val="22"/>
                <w:szCs w:val="22"/>
                <w:highlight w:val="none"/>
              </w:rPr>
              <w:t>Único</w:t>
            </w:r>
          </w:p>
        </w:tc>
        <w:tc>
          <w:tcPr>
            <w:tcW w:w="4420"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both"/>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XXX</w:t>
            </w:r>
          </w:p>
        </w:tc>
        <w:tc>
          <w:tcPr>
            <w:tcW w:w="877" w:type="dxa"/>
            <w:tcBorders>
              <w:top w:val="single" w:color="000000" w:sz="4" w:space="0"/>
              <w:left w:val="single" w:color="000000" w:sz="4" w:space="0"/>
              <w:bottom w:val="single" w:color="000000" w:sz="4" w:space="0"/>
              <w:right w:val="single" w:color="000000" w:sz="4" w:space="0"/>
            </w:tcBorders>
          </w:tcPr>
          <w:p>
            <w:pPr>
              <w:spacing w:before="0" w:after="0" w:line="240" w:lineRule="auto"/>
              <w:jc w:val="both"/>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XXX</w:t>
            </w:r>
          </w:p>
        </w:tc>
        <w:tc>
          <w:tcPr>
            <w:tcW w:w="704" w:type="dxa"/>
            <w:tcBorders>
              <w:top w:val="single" w:color="000000" w:sz="4" w:space="0"/>
              <w:left w:val="single" w:color="000000" w:sz="4" w:space="0"/>
              <w:bottom w:val="single" w:color="000000" w:sz="4" w:space="0"/>
              <w:right w:val="single" w:color="000000" w:sz="4" w:space="0"/>
            </w:tcBorders>
          </w:tcPr>
          <w:p>
            <w:pPr>
              <w:spacing w:before="0" w:after="0" w:line="240" w:lineRule="auto"/>
              <w:rPr>
                <w:rFonts w:ascii="Times New Roman" w:hAnsi="Times New Roman"/>
                <w:sz w:val="22"/>
                <w:szCs w:val="22"/>
                <w:highlight w:val="none"/>
              </w:rPr>
            </w:pPr>
            <w:r>
              <w:rPr>
                <w:rFonts w:ascii="Times New Roman" w:hAnsi="Times New Roman" w:cs="Times New Roman"/>
                <w:bCs/>
                <w:sz w:val="22"/>
                <w:szCs w:val="22"/>
                <w:highlight w:val="none"/>
              </w:rPr>
              <w:t>XXX</w:t>
            </w:r>
          </w:p>
        </w:tc>
        <w:tc>
          <w:tcPr>
            <w:tcW w:w="1042" w:type="dxa"/>
            <w:tcBorders>
              <w:top w:val="single" w:color="000000" w:sz="4" w:space="0"/>
              <w:left w:val="single" w:color="000000" w:sz="4" w:space="0"/>
              <w:bottom w:val="single" w:color="000000" w:sz="4" w:space="0"/>
              <w:right w:val="single" w:color="000000" w:sz="4" w:space="0"/>
            </w:tcBorders>
          </w:tcPr>
          <w:p>
            <w:pPr>
              <w:spacing w:before="0" w:after="0" w:line="240" w:lineRule="auto"/>
              <w:jc w:val="both"/>
              <w:rPr>
                <w:rFonts w:ascii="Times New Roman" w:hAnsi="Times New Roman"/>
                <w:sz w:val="22"/>
                <w:szCs w:val="22"/>
                <w:highlight w:val="none"/>
              </w:rPr>
            </w:pPr>
            <w:r>
              <w:rPr>
                <w:rFonts w:ascii="Times New Roman" w:hAnsi="Times New Roman" w:eastAsia="Arial" w:cs="Times New Roman"/>
                <w:color w:val="000000"/>
                <w:sz w:val="22"/>
                <w:szCs w:val="22"/>
                <w:highlight w:val="none"/>
              </w:rPr>
              <w:t>R$ XXXX</w:t>
            </w:r>
          </w:p>
        </w:tc>
        <w:tc>
          <w:tcPr>
            <w:tcW w:w="1245" w:type="dxa"/>
            <w:tcBorders>
              <w:top w:val="single" w:color="000000" w:sz="4" w:space="0"/>
              <w:left w:val="single" w:color="000000" w:sz="4" w:space="0"/>
              <w:bottom w:val="single" w:color="000000" w:sz="4" w:space="0"/>
              <w:right w:val="single" w:color="000000" w:sz="4" w:space="0"/>
            </w:tcBorders>
          </w:tcPr>
          <w:p>
            <w:pPr>
              <w:spacing w:before="0" w:after="0" w:line="240" w:lineRule="auto"/>
              <w:jc w:val="both"/>
              <w:rPr>
                <w:rFonts w:ascii="Times New Roman" w:hAnsi="Times New Roman"/>
                <w:sz w:val="22"/>
                <w:szCs w:val="22"/>
                <w:highlight w:val="none"/>
              </w:rPr>
            </w:pPr>
            <w:r>
              <w:rPr>
                <w:rFonts w:ascii="Times New Roman" w:hAnsi="Times New Roman" w:eastAsia="Arial" w:cs="Times New Roman"/>
                <w:color w:val="000000"/>
                <w:sz w:val="22"/>
                <w:szCs w:val="22"/>
                <w:highlight w:val="none"/>
              </w:rPr>
              <w:t>R$ XXXXX</w:t>
            </w:r>
          </w:p>
        </w:tc>
      </w:tr>
    </w:tbl>
    <w:p>
      <w:pPr>
        <w:pStyle w:val="60"/>
        <w:numPr>
          <w:ilvl w:val="1"/>
          <w:numId w:val="12"/>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highlight w:val="none"/>
          <w:lang w:eastAsia="pt-BR"/>
        </w:rPr>
        <w:t>O fornecedor obriga-se ao cumprimento de todos os encargos estabelecidos na presente ARP, nos exatos termos do resultado obtido no procedimento licitatório, quanto ao preço, a quantidade e as especificações do objeto registrado, integrando</w:t>
      </w:r>
      <w:r>
        <w:rPr>
          <w:rFonts w:ascii="Times New Roman" w:hAnsi="Times New Roman" w:cs="Times New Roman"/>
          <w:sz w:val="22"/>
          <w:szCs w:val="22"/>
          <w:lang w:eastAsia="pt-BR"/>
        </w:rPr>
        <w:t xml:space="preserve"> e complementado a presente ARP os seguintes documentos, que são parte integrante da presente ARP, independente de transcrição, e que devem ser totalmente observados e cumpridos e:</w:t>
      </w:r>
    </w:p>
    <w:p>
      <w:pPr>
        <w:pStyle w:val="60"/>
        <w:numPr>
          <w:ilvl w:val="2"/>
          <w:numId w:val="12"/>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Termo de Referência contendo as especificações técnicas completas e todas as condições gerais de execução do objeto;</w:t>
      </w:r>
    </w:p>
    <w:p>
      <w:pPr>
        <w:pStyle w:val="60"/>
        <w:numPr>
          <w:ilvl w:val="2"/>
          <w:numId w:val="12"/>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Proposta(s) comercial(is) do(s) particular(es) cujo(s) preço(s) conta(m) registrado(s);</w:t>
      </w:r>
    </w:p>
    <w:p>
      <w:pPr>
        <w:pStyle w:val="60"/>
        <w:numPr>
          <w:ilvl w:val="2"/>
          <w:numId w:val="12"/>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Edital do Pregão nº 006/2024.</w:t>
      </w:r>
    </w:p>
    <w:p>
      <w:pPr>
        <w:pStyle w:val="60"/>
        <w:numPr>
          <w:ilvl w:val="0"/>
          <w:numId w:val="12"/>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VIGÊNCIA DA ARP</w:t>
      </w:r>
    </w:p>
    <w:p>
      <w:pPr>
        <w:pStyle w:val="60"/>
        <w:numPr>
          <w:ilvl w:val="1"/>
          <w:numId w:val="12"/>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O prazo de vigência da ata de registro de preços será de 1 (um) ano, contado do primeiro dia útil subsequente à data de divulgação no PNCP (</w:t>
      </w:r>
      <w:r>
        <w:fldChar w:fldCharType="begin"/>
      </w:r>
      <w:r>
        <w:instrText xml:space="preserve"> HYPERLINK "https://pncp.gov.br/" \h </w:instrText>
      </w:r>
      <w:r>
        <w:fldChar w:fldCharType="separate"/>
      </w:r>
      <w:r>
        <w:rPr>
          <w:rStyle w:val="54"/>
          <w:rFonts w:ascii="Times New Roman" w:hAnsi="Times New Roman"/>
          <w:sz w:val="22"/>
          <w:szCs w:val="22"/>
          <w:lang w:eastAsia="pt-BR"/>
        </w:rPr>
        <w:t>https://pncp.gov.br/</w:t>
      </w:r>
      <w:r>
        <w:rPr>
          <w:rStyle w:val="54"/>
          <w:rFonts w:ascii="Times New Roman" w:hAnsi="Times New Roman"/>
          <w:sz w:val="22"/>
          <w:szCs w:val="22"/>
          <w:lang w:eastAsia="pt-BR"/>
        </w:rPr>
        <w:fldChar w:fldCharType="end"/>
      </w:r>
      <w:r>
        <w:rPr>
          <w:rFonts w:ascii="Times New Roman" w:hAnsi="Times New Roman" w:cs="Times New Roman"/>
          <w:sz w:val="22"/>
          <w:szCs w:val="22"/>
          <w:lang w:eastAsia="pt-BR"/>
        </w:rPr>
        <w:t>), e poderá ser prorrogado por igual período, desde que comprovado que o preço é vantajoso.</w:t>
      </w:r>
    </w:p>
    <w:p>
      <w:pPr>
        <w:pStyle w:val="60"/>
        <w:numPr>
          <w:ilvl w:val="1"/>
          <w:numId w:val="12"/>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prorrogação da vigência da ARP dependerá da concordância das partes e de comprovação da vantajosidade dos preços.</w:t>
      </w:r>
    </w:p>
    <w:p>
      <w:pPr>
        <w:pStyle w:val="60"/>
        <w:numPr>
          <w:ilvl w:val="1"/>
          <w:numId w:val="12"/>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prorrogação da vigência da ARP será registrada mediante termo de prorrogação pactuado pelas partes nos autos de gestão da ARP.</w:t>
      </w:r>
    </w:p>
    <w:p>
      <w:pPr>
        <w:pStyle w:val="60"/>
        <w:numPr>
          <w:ilvl w:val="1"/>
          <w:numId w:val="12"/>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prorrogação da vigência da ARP deverá ser publicada e divulgada nos meios oficiais de publicação e divulgação.</w:t>
      </w:r>
    </w:p>
    <w:p>
      <w:pPr>
        <w:pStyle w:val="60"/>
        <w:numPr>
          <w:ilvl w:val="0"/>
          <w:numId w:val="12"/>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CONTRATAÇÕES FUTURAS</w:t>
      </w:r>
    </w:p>
    <w:p>
      <w:pPr>
        <w:pStyle w:val="60"/>
        <w:numPr>
          <w:ilvl w:val="1"/>
          <w:numId w:val="12"/>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As contratações decorrentes da presente ARP poderão ser realizadas diretamente pelo órgão gerenciador, ou por cada um dos participantes (se houver), observados os quantitativos respectivamente previstos para cada procedimento de licitação, e as demais exigências e formalidades previstas na legislação e na jurisprudência do TCU.</w:t>
      </w:r>
    </w:p>
    <w:p>
      <w:pPr>
        <w:pStyle w:val="60"/>
        <w:numPr>
          <w:ilvl w:val="1"/>
          <w:numId w:val="12"/>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Poderá haver, a critério do órgão gerenciador, e desde que haja expressa concordância dos interessados envolvidos, REMANEJAMENTO DE QUANTITATIVOS previstos na ARP entre os ÓRGÃOS PARTICIPANTES, ou entre este(s) e o ÓRGÃO GERENCIADOR, o qual será formalizado nos autos de gestão da ARP por intermédio de apostilamento e publicado.</w:t>
      </w:r>
    </w:p>
    <w:p>
      <w:pPr>
        <w:pStyle w:val="60"/>
        <w:numPr>
          <w:ilvl w:val="1"/>
          <w:numId w:val="12"/>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Em caso de licitação com critério de julgamento por GRUPO DE ITENS, as contratações futuras deverão ser realizadas, em regra, de forma proporcional para todos os itens de cada grupo, salvo justificativa técnica e desde que o valor registrado seja igual ou inferior aos preços contidos nas propostas dos demais licitantes e compatíveis com os preços de mercado, nos termos contidos no </w:t>
      </w:r>
      <w:r>
        <w:fldChar w:fldCharType="begin"/>
      </w:r>
      <w:r>
        <w:rPr>
          <w:rStyle w:val="54"/>
          <w:rFonts w:ascii="Times New Roman" w:hAnsi="Times New Roman"/>
          <w:sz w:val="22"/>
          <w:szCs w:val="22"/>
          <w:lang w:eastAsia="pt-BR"/>
        </w:rPr>
        <w:instrText xml:space="preserve"> HYPERLINK "https://www.planalto.gov.br/ccivil_03/_ato2019-2022/2021/lei/l14133.htm" \l "art82"</w:instrText>
      </w:r>
      <w:r>
        <w:rPr>
          <w:rStyle w:val="54"/>
          <w:rFonts w:ascii="Times New Roman" w:hAnsi="Times New Roman"/>
          <w:sz w:val="22"/>
          <w:szCs w:val="22"/>
          <w:lang w:eastAsia="pt-BR"/>
        </w:rPr>
        <w:fldChar w:fldCharType="separate"/>
      </w:r>
      <w:r>
        <w:rPr>
          <w:rStyle w:val="54"/>
          <w:rFonts w:ascii="Times New Roman" w:hAnsi="Times New Roman"/>
          <w:sz w:val="22"/>
          <w:szCs w:val="22"/>
          <w:lang w:eastAsia="pt-BR"/>
        </w:rPr>
        <w:t>art. 82, § 2º, da Lei Federal nº 14.133, de 2021</w:t>
      </w:r>
      <w:r>
        <w:rPr>
          <w:rStyle w:val="54"/>
          <w:rFonts w:ascii="Times New Roman" w:hAnsi="Times New Roman"/>
          <w:sz w:val="22"/>
          <w:szCs w:val="22"/>
          <w:lang w:eastAsia="pt-BR"/>
        </w:rPr>
        <w:fldChar w:fldCharType="end"/>
      </w:r>
      <w:r>
        <w:rPr>
          <w:rFonts w:ascii="Times New Roman" w:hAnsi="Times New Roman" w:cs="Times New Roman"/>
          <w:sz w:val="22"/>
          <w:szCs w:val="22"/>
          <w:lang w:eastAsia="pt-BR"/>
        </w:rPr>
        <w:t>.</w:t>
      </w:r>
    </w:p>
    <w:p>
      <w:pPr>
        <w:pStyle w:val="60"/>
        <w:numPr>
          <w:ilvl w:val="1"/>
          <w:numId w:val="12"/>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contratação decorrente deverá observar as condições fixadas no Edital de Licitação referente ao Pregão nº 006/2024</w:t>
      </w:r>
      <w:r>
        <w:rPr>
          <w:rFonts w:ascii="Times New Roman" w:hAnsi="Times New Roman" w:cs="Times New Roman"/>
          <w:sz w:val="22"/>
          <w:szCs w:val="22"/>
          <w:shd w:val="clear" w:fill="auto"/>
          <w:lang w:eastAsia="pt-BR"/>
        </w:rPr>
        <w:t xml:space="preserve"> </w:t>
      </w:r>
      <w:r>
        <w:rPr>
          <w:rFonts w:ascii="Times New Roman" w:hAnsi="Times New Roman" w:cs="Times New Roman"/>
          <w:sz w:val="22"/>
          <w:szCs w:val="22"/>
          <w:lang w:eastAsia="pt-BR"/>
        </w:rPr>
        <w:t>e seus anexos.</w:t>
      </w:r>
    </w:p>
    <w:p>
      <w:pPr>
        <w:pStyle w:val="60"/>
        <w:numPr>
          <w:ilvl w:val="0"/>
          <w:numId w:val="12"/>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VÍNCULOS DA ARP</w:t>
      </w:r>
    </w:p>
    <w:p>
      <w:pPr>
        <w:pStyle w:val="60"/>
        <w:numPr>
          <w:ilvl w:val="1"/>
          <w:numId w:val="12"/>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existência desta ARP não obriga a Administração a contratar, facultando-se a realização de licitação específica para a aquisição pretendida, assegurada preferência ao fornecedor registrado em igualdade de condições.</w:t>
      </w:r>
    </w:p>
    <w:p>
      <w:pPr>
        <w:pStyle w:val="60"/>
        <w:numPr>
          <w:ilvl w:val="1"/>
          <w:numId w:val="12"/>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titular do registro de preços vincula-se integralmente, durante a vigência da ARP, ao cumprimento das obrigações contidas na ARP, bem como à formalização das contratações dela decorrentes, salvo cancelamento ou rescisão do registro, sob pena de sofrer as sanções administrativas previstas Edital de Licitação do Pregão</w:t>
      </w:r>
      <w:r>
        <w:rPr>
          <w:rFonts w:hint="default" w:ascii="Times New Roman" w:hAnsi="Times New Roman" w:cs="Times New Roman"/>
          <w:sz w:val="22"/>
          <w:szCs w:val="22"/>
          <w:lang w:val="en-US" w:eastAsia="pt-BR"/>
        </w:rPr>
        <w:t xml:space="preserve"> Eletronico</w:t>
      </w:r>
      <w:r>
        <w:rPr>
          <w:rFonts w:ascii="Times New Roman" w:hAnsi="Times New Roman" w:cs="Times New Roman"/>
          <w:sz w:val="22"/>
          <w:szCs w:val="22"/>
          <w:lang w:eastAsia="pt-BR"/>
        </w:rPr>
        <w:t xml:space="preserve"> nº 006/2024</w:t>
      </w:r>
      <w:r>
        <w:rPr>
          <w:rFonts w:ascii="Times New Roman" w:hAnsi="Times New Roman" w:cs="Times New Roman"/>
          <w:sz w:val="22"/>
          <w:szCs w:val="22"/>
          <w:shd w:val="clear" w:fill="auto"/>
          <w:lang w:eastAsia="pt-BR"/>
        </w:rPr>
        <w:t>.</w:t>
      </w:r>
    </w:p>
    <w:p>
      <w:pPr>
        <w:pStyle w:val="60"/>
        <w:numPr>
          <w:ilvl w:val="0"/>
          <w:numId w:val="12"/>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ADESÃO DE ÓRGÃO OU ENTIDADE PÚBLICA NÃO PARTICIPANTE</w:t>
      </w:r>
    </w:p>
    <w:p>
      <w:pPr>
        <w:pStyle w:val="60"/>
        <w:numPr>
          <w:ilvl w:val="1"/>
          <w:numId w:val="12"/>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Desde que devidamente justificada a vantagem, qualquer órgão ou entidade da Administração Pública poderá solicitar a utilização da presente ARP (POR ADESÃO), durante sua vigência, independentemente da participação ou não na licitação sobredita, mediante anuências do órgão gerenciador e do particular titular do registro, nos termos previstos no </w:t>
      </w:r>
      <w:r>
        <w:fldChar w:fldCharType="begin"/>
      </w:r>
      <w:r>
        <w:rPr>
          <w:rStyle w:val="54"/>
          <w:rFonts w:ascii="Times New Roman" w:hAnsi="Times New Roman"/>
          <w:sz w:val="22"/>
          <w:szCs w:val="22"/>
          <w:lang w:eastAsia="pt-BR"/>
        </w:rPr>
        <w:instrText xml:space="preserve"> HYPERLINK "https://www.planalto.gov.br/ccivil_03/_ato2019-2022/2021/lei/l14133.htm" \l "art86"</w:instrText>
      </w:r>
      <w:r>
        <w:rPr>
          <w:rStyle w:val="54"/>
          <w:rFonts w:ascii="Times New Roman" w:hAnsi="Times New Roman"/>
          <w:sz w:val="22"/>
          <w:szCs w:val="22"/>
          <w:lang w:eastAsia="pt-BR"/>
        </w:rPr>
        <w:fldChar w:fldCharType="separate"/>
      </w:r>
      <w:r>
        <w:rPr>
          <w:rStyle w:val="54"/>
          <w:rFonts w:ascii="Times New Roman" w:hAnsi="Times New Roman"/>
          <w:sz w:val="22"/>
          <w:szCs w:val="22"/>
          <w:lang w:eastAsia="pt-BR"/>
        </w:rPr>
        <w:t>art. 86, §§ 2º a 5º, da Lei Federal nº 14.133, de 2021</w:t>
      </w:r>
      <w:r>
        <w:rPr>
          <w:rStyle w:val="54"/>
          <w:rFonts w:ascii="Times New Roman" w:hAnsi="Times New Roman"/>
          <w:sz w:val="22"/>
          <w:szCs w:val="22"/>
          <w:lang w:eastAsia="pt-BR"/>
        </w:rPr>
        <w:fldChar w:fldCharType="end"/>
      </w:r>
      <w:r>
        <w:rPr>
          <w:rFonts w:ascii="Times New Roman" w:hAnsi="Times New Roman" w:cs="Times New Roman"/>
          <w:sz w:val="22"/>
          <w:szCs w:val="22"/>
          <w:lang w:eastAsia="pt-BR"/>
        </w:rPr>
        <w:t>, desde que observadas as disposições abaixo:</w:t>
      </w:r>
    </w:p>
    <w:p>
      <w:pPr>
        <w:pStyle w:val="60"/>
        <w:numPr>
          <w:ilvl w:val="2"/>
          <w:numId w:val="12"/>
        </w:numPr>
        <w:tabs>
          <w:tab w:val="left" w:pos="1134"/>
          <w:tab w:val="left" w:pos="3001"/>
        </w:tabs>
        <w:spacing w:before="120" w:after="120" w:line="240" w:lineRule="auto"/>
        <w:contextualSpacing w:val="0"/>
        <w:jc w:val="both"/>
        <w:rPr>
          <w:sz w:val="22"/>
          <w:szCs w:val="22"/>
        </w:rPr>
      </w:pPr>
      <w:r>
        <w:rPr>
          <w:rFonts w:ascii="Times New Roman" w:hAnsi="Times New Roman" w:cs="Times New Roman"/>
          <w:sz w:val="22"/>
          <w:szCs w:val="22"/>
          <w:lang w:eastAsia="pt-BR"/>
        </w:rPr>
        <w:t>O órgão ou entidade pública interessado na adesão deverá consultar prévia e diretamente o fornecedor titular da ARP, visando obter a concordância formal com a contratação pretendida.</w:t>
      </w:r>
    </w:p>
    <w:p>
      <w:pPr>
        <w:pStyle w:val="60"/>
        <w:numPr>
          <w:ilvl w:val="2"/>
          <w:numId w:val="12"/>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É faculdade do fornecedor titular da ARP, observadas as condições nela estabelecidas, a aceitação ou não da contratação decorrente de adesão, independentemente de qualquer justificativa formal.</w:t>
      </w:r>
    </w:p>
    <w:p>
      <w:pPr>
        <w:pStyle w:val="60"/>
        <w:numPr>
          <w:ilvl w:val="2"/>
          <w:numId w:val="12"/>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Cabe ao órgão ou entidade aderente encaminhar ao GERENCIADOR a concordância do fornecedor.</w:t>
      </w:r>
    </w:p>
    <w:p>
      <w:pPr>
        <w:pStyle w:val="60"/>
        <w:numPr>
          <w:ilvl w:val="2"/>
          <w:numId w:val="12"/>
        </w:numPr>
        <w:tabs>
          <w:tab w:val="left" w:pos="1134"/>
          <w:tab w:val="left" w:pos="3001"/>
        </w:tabs>
        <w:spacing w:before="120" w:after="120" w:line="240" w:lineRule="auto"/>
        <w:contextualSpacing w:val="0"/>
        <w:jc w:val="both"/>
      </w:pPr>
      <w:r>
        <w:rPr>
          <w:rFonts w:ascii="Times New Roman" w:hAnsi="Times New Roman" w:cs="Times New Roman"/>
          <w:sz w:val="22"/>
          <w:szCs w:val="22"/>
          <w:lang w:eastAsia="pt-BR"/>
        </w:rPr>
        <w:t xml:space="preserve">Proceder à consulta formal ao GERENCIADOR, por meio de ofício ou outro expediente competente, encaminhado para o e-mail institucional </w:t>
      </w:r>
      <w:r>
        <w:fldChar w:fldCharType="begin"/>
      </w:r>
      <w:r>
        <w:instrText xml:space="preserve"> HYPERLINK "mailto:compras@primaveradoleste.mt.leg.br" \h </w:instrText>
      </w:r>
      <w:r>
        <w:fldChar w:fldCharType="separate"/>
      </w:r>
      <w:r>
        <w:rPr>
          <w:rStyle w:val="54"/>
          <w:rFonts w:ascii="Times New Roman" w:hAnsi="Times New Roman"/>
          <w:sz w:val="22"/>
          <w:szCs w:val="22"/>
          <w:lang w:eastAsia="pt-BR"/>
        </w:rPr>
        <w:t>compras@primaveradoleste.mt.leg.br</w:t>
      </w:r>
      <w:r>
        <w:rPr>
          <w:rStyle w:val="54"/>
          <w:rFonts w:ascii="Times New Roman" w:hAnsi="Times New Roman"/>
          <w:sz w:val="22"/>
          <w:szCs w:val="22"/>
          <w:lang w:eastAsia="pt-BR"/>
        </w:rPr>
        <w:fldChar w:fldCharType="end"/>
      </w:r>
      <w:r>
        <w:rPr>
          <w:rFonts w:ascii="Times New Roman" w:hAnsi="Times New Roman" w:cs="Times New Roman"/>
          <w:sz w:val="22"/>
          <w:szCs w:val="22"/>
        </w:rPr>
        <w:t xml:space="preserve">, </w:t>
      </w:r>
      <w:r>
        <w:rPr>
          <w:rFonts w:ascii="Times New Roman" w:hAnsi="Times New Roman" w:cs="Times New Roman"/>
          <w:sz w:val="22"/>
          <w:szCs w:val="22"/>
          <w:lang w:eastAsia="pt-BR"/>
        </w:rPr>
        <w:t>no qual deverá constar o objeto que interessa contratar, o respectivo quantitativo pretendido e a concordância do fornecedor para fins de análise e manifestação sobre a possibilidade de adesão.</w:t>
      </w:r>
    </w:p>
    <w:p>
      <w:pPr>
        <w:pStyle w:val="60"/>
        <w:numPr>
          <w:ilvl w:val="1"/>
          <w:numId w:val="12"/>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autorização do órgão gerenciador apenas será realizada após a aceitação da adesão pelo fornecedor, que poderá rejeitar adesões caso elas possam acarretar prejuízo à execução de seus próprios contratos ou à sua capacidade de gerenciamento.</w:t>
      </w:r>
    </w:p>
    <w:p>
      <w:pPr>
        <w:pStyle w:val="60"/>
        <w:numPr>
          <w:ilvl w:val="1"/>
          <w:numId w:val="12"/>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GERENCIADOR poderá recusar a adesão requerida, quer em face do fato de haver a possibilidade de prejuízo ao atendimento de suas próprias contratações ou de participante da ARP, quer por não cumprimento de um dos requisitos fixados nesta ARP, sempre por intermédio de despacho fundamentado.</w:t>
      </w:r>
    </w:p>
    <w:p>
      <w:pPr>
        <w:pStyle w:val="60"/>
        <w:numPr>
          <w:ilvl w:val="1"/>
          <w:numId w:val="12"/>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Após a autorização do órgão gerenciador, o órgão ou entidade não participante deverá efetivar a aquisição ou a contratação solicitada em até 90 (noventa) dias, observado o prazo de vigência da ata, sendo que esse prazo poderá ser prorrogado excepcionalmente, mediante solicitação do órgão ou da entidade não participante aceita pelo órgão gerenciador, desde que respeitado o limite temporal de vigência da ata de registro de preços.</w:t>
      </w:r>
    </w:p>
    <w:p>
      <w:pPr>
        <w:pStyle w:val="60"/>
        <w:numPr>
          <w:ilvl w:val="0"/>
          <w:numId w:val="12"/>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LIMITES PARA ADESÕES</w:t>
      </w:r>
    </w:p>
    <w:p>
      <w:pPr>
        <w:pStyle w:val="60"/>
        <w:numPr>
          <w:ilvl w:val="1"/>
          <w:numId w:val="12"/>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As aquisições ou contratações adicionais não poderão exceder, por órgão ou entidade, a 50% (cinquenta por cento) dos quantitativos dos itens do instrumento convocatório registrados na ata de registro de preços para o gerenciador e para os participantes.</w:t>
      </w:r>
    </w:p>
    <w:p>
      <w:pPr>
        <w:pStyle w:val="60"/>
        <w:numPr>
          <w:ilvl w:val="1"/>
          <w:numId w:val="12"/>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pPr>
        <w:pStyle w:val="60"/>
        <w:numPr>
          <w:ilvl w:val="1"/>
          <w:numId w:val="12"/>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No caso de ITEM(NS)/GRUPO(S) com participação EXCLUSIVA À MEI’S, ME'S E EPP'S na licitação, o total das contratações decorrente da presente ARP (inclusive por adesões) não poderão totalizar mais que R$ 80.000,00 (oitenta mil reais), conforme jurisprudência do TCU.</w:t>
      </w:r>
    </w:p>
    <w:p>
      <w:pPr>
        <w:pStyle w:val="60"/>
        <w:numPr>
          <w:ilvl w:val="1"/>
          <w:numId w:val="12"/>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Em caso de licitação com critério de julgamento por GRUPO DE ITENS, a contratação por adesão será realizada, em regra, de forma proporcional para todos os itens do grupo, salvo justificativa técnica e desde que o valor registrado seja igual ou inferior aos preços contidos nas propostas dos demais licitantes e compatíveis com os preços de mercado, nos termos contidos no </w:t>
      </w:r>
      <w:r>
        <w:fldChar w:fldCharType="begin"/>
      </w:r>
      <w:r>
        <w:rPr>
          <w:rStyle w:val="54"/>
          <w:rFonts w:ascii="Times New Roman" w:hAnsi="Times New Roman"/>
          <w:sz w:val="22"/>
          <w:szCs w:val="22"/>
          <w:lang w:eastAsia="pt-BR"/>
        </w:rPr>
        <w:instrText xml:space="preserve"> HYPERLINK "https://www.planalto.gov.br/ccivil_03/_ato2019-2022/2021/lei/l14133.htm" \l "art82"</w:instrText>
      </w:r>
      <w:r>
        <w:rPr>
          <w:rStyle w:val="54"/>
          <w:rFonts w:ascii="Times New Roman" w:hAnsi="Times New Roman"/>
          <w:sz w:val="22"/>
          <w:szCs w:val="22"/>
          <w:lang w:eastAsia="pt-BR"/>
        </w:rPr>
        <w:fldChar w:fldCharType="separate"/>
      </w:r>
      <w:r>
        <w:rPr>
          <w:rStyle w:val="54"/>
          <w:rFonts w:ascii="Times New Roman" w:hAnsi="Times New Roman"/>
          <w:sz w:val="22"/>
          <w:szCs w:val="22"/>
          <w:lang w:eastAsia="pt-BR"/>
        </w:rPr>
        <w:t>art. 82, § 2º, da Lei Federal nº 14.133, de 2021</w:t>
      </w:r>
      <w:r>
        <w:rPr>
          <w:rStyle w:val="54"/>
          <w:rFonts w:ascii="Times New Roman" w:hAnsi="Times New Roman"/>
          <w:sz w:val="22"/>
          <w:szCs w:val="22"/>
          <w:lang w:eastAsia="pt-BR"/>
        </w:rPr>
        <w:fldChar w:fldCharType="end"/>
      </w:r>
      <w:r>
        <w:rPr>
          <w:rFonts w:ascii="Times New Roman" w:hAnsi="Times New Roman" w:cs="Times New Roman"/>
          <w:sz w:val="22"/>
          <w:szCs w:val="22"/>
          <w:lang w:eastAsia="pt-BR"/>
        </w:rPr>
        <w:t>.</w:t>
      </w:r>
    </w:p>
    <w:p>
      <w:pPr>
        <w:pStyle w:val="60"/>
        <w:numPr>
          <w:ilvl w:val="1"/>
          <w:numId w:val="12"/>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Autorizada a utilização da ARP pelo Órgão Gerenciador, o órgão ou entidade pública não participante (aderente) apenas poderá realizar a contratação autorizada, caso estejam presentes os seguintes requisitos temporais conjuntamente:</w:t>
      </w:r>
    </w:p>
    <w:p>
      <w:pPr>
        <w:pStyle w:val="60"/>
        <w:numPr>
          <w:ilvl w:val="2"/>
          <w:numId w:val="12"/>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Em até 90 (noventa) dias corridos, contados do recebimento da autorização, em razão da caducidade do ato, podendo o prazo ser prorrogado pelo ÓRGÃO GERENCIADOR, desde que solicitado pelo interessado e ainda vigente a ARP; e,</w:t>
      </w:r>
    </w:p>
    <w:p>
      <w:pPr>
        <w:pStyle w:val="60"/>
        <w:numPr>
          <w:ilvl w:val="2"/>
          <w:numId w:val="12"/>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Apenas durante a vigência da presente ARP.</w:t>
      </w:r>
    </w:p>
    <w:p>
      <w:pPr>
        <w:pStyle w:val="60"/>
        <w:numPr>
          <w:ilvl w:val="0"/>
          <w:numId w:val="12"/>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COMUNICAÇÃO AO GERENCIADOR</w:t>
      </w:r>
    </w:p>
    <w:p>
      <w:pPr>
        <w:pStyle w:val="60"/>
        <w:numPr>
          <w:ilvl w:val="1"/>
          <w:numId w:val="12"/>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Quando da realização efetiva da respectiva contratação por adesão, deverá o órgão ou entidade aderente informar ao GERENCIADOR, no prazo máximo de 5 (cinco) dias úteis, contados da contratação, a contratação para fins de registro definitivo.</w:t>
      </w:r>
    </w:p>
    <w:p>
      <w:pPr>
        <w:pStyle w:val="60"/>
        <w:numPr>
          <w:ilvl w:val="0"/>
          <w:numId w:val="12"/>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VEDAÇÃO A ACRÉSCIMO DE QUANTITATIVOS</w:t>
      </w:r>
    </w:p>
    <w:p>
      <w:pPr>
        <w:pStyle w:val="60"/>
        <w:numPr>
          <w:ilvl w:val="1"/>
          <w:numId w:val="12"/>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É vedado efetuar acréscimos nos quantitativos fixados na ata de registro de preços.</w:t>
      </w:r>
    </w:p>
    <w:p>
      <w:pPr>
        <w:pStyle w:val="60"/>
        <w:numPr>
          <w:ilvl w:val="0"/>
          <w:numId w:val="12"/>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CONTRATAÇÃO DECORRENTE DA ARP</w:t>
      </w:r>
    </w:p>
    <w:p>
      <w:pPr>
        <w:pStyle w:val="60"/>
        <w:numPr>
          <w:ilvl w:val="1"/>
          <w:numId w:val="12"/>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A contratação com o(s) fornecedor(es) registrado(s) na ARP deverá ser formalizada no prazo de validade da Ata e será formalizada por intermédio da emissão de Instrumento de Contrato (Anexo V do Edital do Pregão nº 006/2024</w:t>
      </w:r>
      <w:r>
        <w:rPr>
          <w:rFonts w:ascii="Times New Roman" w:hAnsi="Times New Roman" w:cs="Times New Roman"/>
          <w:sz w:val="22"/>
          <w:szCs w:val="22"/>
          <w:shd w:val="clear" w:fill="auto"/>
          <w:lang w:eastAsia="pt-BR"/>
        </w:rPr>
        <w:t>)</w:t>
      </w:r>
      <w:r>
        <w:rPr>
          <w:rFonts w:ascii="Times New Roman" w:hAnsi="Times New Roman" w:cs="Times New Roman"/>
          <w:sz w:val="22"/>
          <w:szCs w:val="22"/>
          <w:lang w:eastAsia="pt-BR"/>
        </w:rPr>
        <w:t xml:space="preserve">, conforme o </w:t>
      </w:r>
      <w:r>
        <w:fldChar w:fldCharType="begin"/>
      </w:r>
      <w:r>
        <w:rPr>
          <w:rStyle w:val="54"/>
          <w:rFonts w:ascii="Times New Roman" w:hAnsi="Times New Roman"/>
          <w:sz w:val="22"/>
          <w:szCs w:val="22"/>
          <w:lang w:eastAsia="pt-BR"/>
        </w:rPr>
        <w:instrText xml:space="preserve"> HYPERLINK "https://www.planalto.gov.br/ccivil_03/_ato2019-2022/2021/lei/l14133.htm" \l "art95"</w:instrText>
      </w:r>
      <w:r>
        <w:rPr>
          <w:rStyle w:val="54"/>
          <w:rFonts w:ascii="Times New Roman" w:hAnsi="Times New Roman"/>
          <w:sz w:val="22"/>
          <w:szCs w:val="22"/>
          <w:lang w:eastAsia="pt-BR"/>
        </w:rPr>
        <w:fldChar w:fldCharType="separate"/>
      </w:r>
      <w:r>
        <w:rPr>
          <w:rStyle w:val="54"/>
          <w:rFonts w:ascii="Times New Roman" w:hAnsi="Times New Roman"/>
          <w:sz w:val="22"/>
          <w:szCs w:val="22"/>
          <w:lang w:eastAsia="pt-BR"/>
        </w:rPr>
        <w:t>art. 95 da Lei Federal nº 14.133, de 2021</w:t>
      </w:r>
      <w:r>
        <w:rPr>
          <w:rStyle w:val="54"/>
          <w:rFonts w:ascii="Times New Roman" w:hAnsi="Times New Roman"/>
          <w:sz w:val="22"/>
          <w:szCs w:val="22"/>
          <w:lang w:eastAsia="pt-BR"/>
        </w:rPr>
        <w:fldChar w:fldCharType="end"/>
      </w:r>
      <w:r>
        <w:rPr>
          <w:rFonts w:ascii="Times New Roman" w:hAnsi="Times New Roman" w:cs="Times New Roman"/>
          <w:sz w:val="22"/>
          <w:szCs w:val="22"/>
          <w:lang w:eastAsia="pt-BR"/>
        </w:rPr>
        <w:t>, não havendo a formalização de Instrumento de Contrato.</w:t>
      </w:r>
    </w:p>
    <w:p>
      <w:pPr>
        <w:pStyle w:val="60"/>
        <w:numPr>
          <w:ilvl w:val="1"/>
          <w:numId w:val="12"/>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Na formalização da contratação deverá haver a indicação da disponibilidade dos créditos orçamentários respectivos.</w:t>
      </w:r>
    </w:p>
    <w:p>
      <w:pPr>
        <w:pStyle w:val="60"/>
        <w:numPr>
          <w:ilvl w:val="1"/>
          <w:numId w:val="12"/>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As contratações decorrentes do sistema de registro de preços poderão ser alteradas, observado o disposto no </w:t>
      </w:r>
      <w:r>
        <w:fldChar w:fldCharType="begin"/>
      </w:r>
      <w:r>
        <w:rPr>
          <w:rStyle w:val="54"/>
          <w:rFonts w:ascii="Times New Roman" w:hAnsi="Times New Roman"/>
          <w:sz w:val="22"/>
          <w:szCs w:val="22"/>
          <w:lang w:eastAsia="pt-BR"/>
        </w:rPr>
        <w:instrText xml:space="preserve"> HYPERLINK "https://www.planalto.gov.br/ccivil_03/_ato2019-2022/2021/lei/l14133.htm" \l "art124"</w:instrText>
      </w:r>
      <w:r>
        <w:rPr>
          <w:rStyle w:val="54"/>
          <w:rFonts w:ascii="Times New Roman" w:hAnsi="Times New Roman"/>
          <w:sz w:val="22"/>
          <w:szCs w:val="22"/>
          <w:lang w:eastAsia="pt-BR"/>
        </w:rPr>
        <w:fldChar w:fldCharType="separate"/>
      </w:r>
      <w:r>
        <w:rPr>
          <w:rStyle w:val="54"/>
          <w:rFonts w:ascii="Times New Roman" w:hAnsi="Times New Roman"/>
          <w:sz w:val="22"/>
          <w:szCs w:val="22"/>
          <w:lang w:eastAsia="pt-BR"/>
        </w:rPr>
        <w:t>arts. 124 a 136 da Lei Federal nº 14.133, de 2021</w:t>
      </w:r>
      <w:r>
        <w:rPr>
          <w:rStyle w:val="54"/>
          <w:rFonts w:ascii="Times New Roman" w:hAnsi="Times New Roman"/>
          <w:sz w:val="22"/>
          <w:szCs w:val="22"/>
          <w:lang w:eastAsia="pt-BR"/>
        </w:rPr>
        <w:fldChar w:fldCharType="end"/>
      </w:r>
      <w:r>
        <w:rPr>
          <w:rFonts w:ascii="Times New Roman" w:hAnsi="Times New Roman" w:cs="Times New Roman"/>
          <w:sz w:val="22"/>
          <w:szCs w:val="22"/>
          <w:lang w:eastAsia="pt-BR"/>
        </w:rPr>
        <w:t>.</w:t>
      </w:r>
    </w:p>
    <w:p>
      <w:pPr>
        <w:pStyle w:val="60"/>
        <w:numPr>
          <w:ilvl w:val="0"/>
          <w:numId w:val="12"/>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ATRIBUIÇÕES DO GERENCIADOR DA ARP</w:t>
      </w:r>
    </w:p>
    <w:p>
      <w:pPr>
        <w:pStyle w:val="60"/>
        <w:numPr>
          <w:ilvl w:val="1"/>
          <w:numId w:val="12"/>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GERENCIADOR promoverá o gerenciamento permanente e formal da presente ARP, inclusive com registro em processo administrativo de gestão de todas as contratações dela decorrentes, como também de todos os demais atos inerentes aos procedimentos de gestão.</w:t>
      </w:r>
    </w:p>
    <w:p>
      <w:pPr>
        <w:pStyle w:val="60"/>
        <w:numPr>
          <w:ilvl w:val="1"/>
          <w:numId w:val="12"/>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Cabe ao setor ou servidor designado do ÓRGÃO GERENCIADOR, conforme regulamento operacional interno, as atribuições inerentes ao gerenciamento da presente ARP, particularmente quanto a(ao):</w:t>
      </w:r>
    </w:p>
    <w:p>
      <w:pPr>
        <w:pStyle w:val="60"/>
        <w:numPr>
          <w:ilvl w:val="2"/>
          <w:numId w:val="12"/>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Providenciar a elaboração e publicação da presente ARP;</w:t>
      </w:r>
    </w:p>
    <w:p>
      <w:pPr>
        <w:pStyle w:val="60"/>
        <w:numPr>
          <w:ilvl w:val="2"/>
          <w:numId w:val="12"/>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Encaminhar ao(s) órgão(s) e/ou entidade(s) participantes a presente ARP, como também suas eventuais e posteriores alterações, devidamente assinadas e publicadas;</w:t>
      </w:r>
    </w:p>
    <w:p>
      <w:pPr>
        <w:pStyle w:val="60"/>
        <w:numPr>
          <w:ilvl w:val="2"/>
          <w:numId w:val="12"/>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Controlar, de forma permanente, a utilização da ARP para fins de contratações, durante toda sua vigência;</w:t>
      </w:r>
    </w:p>
    <w:p>
      <w:pPr>
        <w:pStyle w:val="60"/>
        <w:numPr>
          <w:ilvl w:val="2"/>
          <w:numId w:val="12"/>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Receber, analisar, controlar e pronunciar-se quanto à(s) solicitação(ões) de contratação interna do ÓRGÃO GERENCIADOR com base na presente ARP, ou em relação à(s) solicitação(ões) de ADESÃO(ÕES) realizada(s) por órgão ou entidade não participante desta ARP, inclusive indicando providência(s) complementar(es) necessária(s) ou até recomendando o indeferimento fundamentado, observada a legislação vigente e a jurisprudência do TCU;</w:t>
      </w:r>
    </w:p>
    <w:p>
      <w:pPr>
        <w:pStyle w:val="60"/>
        <w:numPr>
          <w:ilvl w:val="2"/>
          <w:numId w:val="12"/>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Emitir e encaminhar ofício formalizando a autorização para utilização da ARP por órgão ou entidade aderente, inclusive com a indicação do nome do fornecedor, quantitativos autorizados, valores unitários e totais, prazo de validade da autorização e demais condições de adesão;</w:t>
      </w:r>
    </w:p>
    <w:p>
      <w:pPr>
        <w:pStyle w:val="60"/>
        <w:numPr>
          <w:ilvl w:val="2"/>
          <w:numId w:val="12"/>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Conduzir eventuais procedimentos de alterações dos preços registrados para fins de adequação às novas condições de mercado, observada a legislação vigente e jurisprudência do TCU;</w:t>
      </w:r>
    </w:p>
    <w:p>
      <w:pPr>
        <w:pStyle w:val="60"/>
        <w:numPr>
          <w:ilvl w:val="2"/>
          <w:numId w:val="12"/>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Propor, conduzir e pronunciar-se nos procedimentos de eventuais reajustes e revisões de preços, como também de cancelamentos e rescisões de registro contidos na presente ARP, bem como realizar, nesses casos, a publicação das novas condições da ARP e comunicação aos órgãos e às entidades participantes;</w:t>
      </w:r>
    </w:p>
    <w:p>
      <w:pPr>
        <w:pStyle w:val="60"/>
        <w:numPr>
          <w:ilvl w:val="2"/>
          <w:numId w:val="12"/>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Propor aplicação, garantida a ampla defesa e o contraditório, de sanções decorrentes do descumprimento das obrigações assumidas na ARP, ou até em relação ao descumprimento das obrigações contratuais, unicamente referentes às contratações realizadas pelo ÓRGÃO GERENCIADOR;</w:t>
      </w:r>
    </w:p>
    <w:p>
      <w:pPr>
        <w:pStyle w:val="60"/>
        <w:numPr>
          <w:ilvl w:val="2"/>
          <w:numId w:val="12"/>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Receber e registrar as contratações efetivamente realizadas pelos órgãos ou entidades aderentes, bem como eventuais sanções por estes aplicadas ao(s) particular(es) contratado(s) por descumprimento das obrigações assumidas na presente ARP;</w:t>
      </w:r>
    </w:p>
    <w:p>
      <w:pPr>
        <w:pStyle w:val="60"/>
        <w:numPr>
          <w:ilvl w:val="2"/>
          <w:numId w:val="12"/>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Instruir os autos de gestão da presente ARP.</w:t>
      </w:r>
    </w:p>
    <w:p>
      <w:pPr>
        <w:pStyle w:val="60"/>
        <w:numPr>
          <w:ilvl w:val="0"/>
          <w:numId w:val="12"/>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ATRIBUIÇÕES DO PARTICIPANTE</w:t>
      </w:r>
    </w:p>
    <w:p>
      <w:pPr>
        <w:pStyle w:val="60"/>
        <w:numPr>
          <w:ilvl w:val="1"/>
          <w:numId w:val="12"/>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Ao órgão ou entidade PARTICIPANTE compete:</w:t>
      </w:r>
    </w:p>
    <w:p>
      <w:pPr>
        <w:pStyle w:val="60"/>
        <w:numPr>
          <w:ilvl w:val="2"/>
          <w:numId w:val="12"/>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Tomar conhecimento da ARP, incluindo eventuais alterações, cancelamentos e revogações, a fim de utilizá-la de forma correta;</w:t>
      </w:r>
    </w:p>
    <w:p>
      <w:pPr>
        <w:pStyle w:val="60"/>
        <w:numPr>
          <w:ilvl w:val="2"/>
          <w:numId w:val="12"/>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Verificar a conformidade das condições registradas na ARP junto ao mercado local, informando ao ÓRGÃO GERENCIADOR eventuais desvantagens verificadas para fins de renegociação ou cancelamento;</w:t>
      </w:r>
    </w:p>
    <w:p>
      <w:pPr>
        <w:pStyle w:val="60"/>
        <w:numPr>
          <w:ilvl w:val="2"/>
          <w:numId w:val="12"/>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Observar e controlar o quantitativo máximo dos itens registrados em seu interesse, evitando contratações acima do limite permitido, bem como a utilização de itens diversos daqueles para os quais solicitou participação no certame;</w:t>
      </w:r>
    </w:p>
    <w:p>
      <w:pPr>
        <w:pStyle w:val="60"/>
        <w:numPr>
          <w:ilvl w:val="2"/>
          <w:numId w:val="12"/>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Acompanhar e fiscalizar o fiel cumprimento das obrigações contidas no edital da licitação e na ARP, informando ao ÓRGÃO GERENCIADOR qualquer irregularidade ou inadimplemento do particular;</w:t>
      </w:r>
    </w:p>
    <w:p>
      <w:pPr>
        <w:pStyle w:val="60"/>
        <w:numPr>
          <w:ilvl w:val="2"/>
          <w:numId w:val="12"/>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Aplicar, garantida a ampla defesa e o contraditório, as penalidades decorrentes do descumprimento das obrigações contratuais em relação às suas próprias contratações, informando as ocorrências ao ÓRGÃO GERENCIADOR.</w:t>
      </w:r>
    </w:p>
    <w:p>
      <w:pPr>
        <w:pStyle w:val="60"/>
        <w:numPr>
          <w:ilvl w:val="0"/>
          <w:numId w:val="12"/>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OBRIGAÇÕES DO FORNECEDOR</w:t>
      </w:r>
    </w:p>
    <w:p>
      <w:pPr>
        <w:pStyle w:val="60"/>
        <w:numPr>
          <w:ilvl w:val="1"/>
          <w:numId w:val="12"/>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FORNECEDOR cujo preço conste registrado na presente ARP obriga-se a:</w:t>
      </w:r>
    </w:p>
    <w:p>
      <w:pPr>
        <w:pStyle w:val="60"/>
        <w:numPr>
          <w:ilvl w:val="2"/>
          <w:numId w:val="12"/>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Retirar a respectiva nota de empenho no prazo máximo de 5 (cinco) dias úteis, contados da convocação;</w:t>
      </w:r>
    </w:p>
    <w:p>
      <w:pPr>
        <w:pStyle w:val="60"/>
        <w:numPr>
          <w:ilvl w:val="2"/>
          <w:numId w:val="12"/>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Indicar, no prazo máximo de 5 (cinco) dias úteis, a concordância ou não em relação à(s) solicitação(ões) de adesão por órgão ou entidade da Administração Pública não participante, indicando expressamente que tal contratação não prejudicaria as obrigações presentes e futuras assumidas para com o ÓRGÃO GERENCIADOR e os participantes;</w:t>
      </w:r>
    </w:p>
    <w:p>
      <w:pPr>
        <w:pStyle w:val="60"/>
        <w:numPr>
          <w:ilvl w:val="2"/>
          <w:numId w:val="12"/>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Observar rigorosamente todos as especificações técnicas, marcas, modelos, condições e prazos fixados no Termo de Referência integrante da presente ARP, como também na sua respectiva proposta de preços, ressalvado prova idônea da ocorrência superveniente de fato impeditivo ou dificultador do cumprimento da obrigação, devidamente aceito pelo ÓRGÃO GERENCIADOR, que justifique o fornecimento de bem de qualidade semelhante ou superior, ou a execução de forma diversa que resulte em igual ou superior resultado à contratante;</w:t>
      </w:r>
    </w:p>
    <w:p>
      <w:pPr>
        <w:pStyle w:val="60"/>
        <w:numPr>
          <w:ilvl w:val="2"/>
          <w:numId w:val="12"/>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Respeitar as demais condições e obrigações contidas nesta ARP e no Edital e Anexos do Pregão nº 006/2024</w:t>
      </w:r>
      <w:r>
        <w:rPr>
          <w:rFonts w:ascii="Times New Roman" w:hAnsi="Times New Roman" w:cs="Times New Roman"/>
          <w:sz w:val="22"/>
          <w:szCs w:val="22"/>
          <w:shd w:val="clear" w:fill="auto"/>
          <w:lang w:eastAsia="pt-BR"/>
        </w:rPr>
        <w:t>,</w:t>
      </w:r>
      <w:r>
        <w:rPr>
          <w:rFonts w:ascii="Times New Roman" w:hAnsi="Times New Roman" w:cs="Times New Roman"/>
          <w:sz w:val="22"/>
          <w:szCs w:val="22"/>
          <w:lang w:eastAsia="pt-BR"/>
        </w:rPr>
        <w:t xml:space="preserve"> ressalvada a ocorrência de fato(s) superveniente(s), comprovados(s) e aceito(s) pelo ÓRGÃO GERENCIADOR;</w:t>
      </w:r>
    </w:p>
    <w:p>
      <w:pPr>
        <w:pStyle w:val="60"/>
        <w:numPr>
          <w:ilvl w:val="2"/>
          <w:numId w:val="12"/>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Providenciar a imediata correção de deficiências, falhas ou irregularidades constatadas pela(s) CONTRATANTE(S) referentes às condições firmadas na presente ARP;</w:t>
      </w:r>
    </w:p>
    <w:p>
      <w:pPr>
        <w:pStyle w:val="60"/>
        <w:numPr>
          <w:ilvl w:val="2"/>
          <w:numId w:val="12"/>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Fornecer, sempre que solicitado, no prazo máximo de 5 (cinco) dias úteis, documentação de habilitação e qualificação cujas validades encontrem-se vencidas;</w:t>
      </w:r>
    </w:p>
    <w:p>
      <w:pPr>
        <w:pStyle w:val="60"/>
        <w:numPr>
          <w:ilvl w:val="2"/>
          <w:numId w:val="12"/>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Prover condições que possibilitem o atendimento das obrigações firmadas a partir da data de homologação do procedimento licitatório;</w:t>
      </w:r>
    </w:p>
    <w:p>
      <w:pPr>
        <w:pStyle w:val="60"/>
        <w:numPr>
          <w:ilvl w:val="2"/>
          <w:numId w:val="12"/>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Ressarcir os eventuais prejuízos causados aos órgãos contratantes e/ou a terceiros, provocados por ineficiência ou irregularidades cometidas na execução das obrigações assumidas na ARP;</w:t>
      </w:r>
    </w:p>
    <w:p>
      <w:pPr>
        <w:pStyle w:val="60"/>
        <w:numPr>
          <w:ilvl w:val="2"/>
          <w:numId w:val="12"/>
        </w:numPr>
        <w:tabs>
          <w:tab w:val="left" w:pos="1276"/>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Responsabilizar-se pelos encargos trabalhistas, previdenciários, fiscais e comerciais resultantes da execução do contrato;</w:t>
      </w:r>
    </w:p>
    <w:p>
      <w:pPr>
        <w:pStyle w:val="60"/>
        <w:numPr>
          <w:ilvl w:val="2"/>
          <w:numId w:val="12"/>
        </w:numPr>
        <w:tabs>
          <w:tab w:val="left" w:pos="1276"/>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Manter, durante a vigência da presente ata, em compatibilidade com as obrigações assumidas na proposta, todas as condições de participação e de habilitação exigidas na licitação.</w:t>
      </w:r>
    </w:p>
    <w:p>
      <w:pPr>
        <w:pStyle w:val="60"/>
        <w:numPr>
          <w:ilvl w:val="0"/>
          <w:numId w:val="12"/>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CADASTRO RESERVA DE FORNECEDORES</w:t>
      </w:r>
    </w:p>
    <w:p>
      <w:pPr>
        <w:pStyle w:val="60"/>
        <w:numPr>
          <w:ilvl w:val="1"/>
          <w:numId w:val="12"/>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Conforme consta no ANEXO A, também fica FORMALIZADO, conjuntamente com a presente ARP, CADASTRO RESERVA de licitante(es) interessado(s) em eventualmente assumir a titularidade do registro de preços, havendo CANCELAMENTO da ARP e segundo a ordem de classificação final no certame, POR GRUPO DO OBJETO, nos termos fixados no </w:t>
      </w:r>
      <w:r>
        <w:fldChar w:fldCharType="begin"/>
      </w:r>
      <w:r>
        <w:rPr>
          <w:rStyle w:val="54"/>
          <w:rFonts w:ascii="Times New Roman" w:hAnsi="Times New Roman"/>
          <w:sz w:val="22"/>
          <w:szCs w:val="22"/>
          <w:lang w:eastAsia="pt-BR"/>
        </w:rPr>
        <w:instrText xml:space="preserve"> HYPERLINK "https://www.planalto.gov.br/ccivil_03/_ato2019-2022/2021/lei/l14133.htm" \l "art82"</w:instrText>
      </w:r>
      <w:r>
        <w:rPr>
          <w:rStyle w:val="54"/>
          <w:rFonts w:ascii="Times New Roman" w:hAnsi="Times New Roman"/>
          <w:sz w:val="22"/>
          <w:szCs w:val="22"/>
          <w:lang w:eastAsia="pt-BR"/>
        </w:rPr>
        <w:fldChar w:fldCharType="separate"/>
      </w:r>
      <w:r>
        <w:rPr>
          <w:rStyle w:val="54"/>
          <w:rFonts w:ascii="Times New Roman" w:hAnsi="Times New Roman"/>
          <w:sz w:val="22"/>
          <w:szCs w:val="22"/>
          <w:lang w:eastAsia="pt-BR"/>
        </w:rPr>
        <w:t>art. 82, VII, e § 5º, VI, da Lei Federal nº 14.133, de 2021</w:t>
      </w:r>
      <w:r>
        <w:rPr>
          <w:rStyle w:val="54"/>
          <w:rFonts w:ascii="Times New Roman" w:hAnsi="Times New Roman"/>
          <w:sz w:val="22"/>
          <w:szCs w:val="22"/>
          <w:lang w:eastAsia="pt-BR"/>
        </w:rPr>
        <w:fldChar w:fldCharType="end"/>
      </w:r>
      <w:r>
        <w:rPr>
          <w:rFonts w:ascii="Times New Roman" w:hAnsi="Times New Roman" w:cs="Times New Roman"/>
          <w:sz w:val="22"/>
          <w:szCs w:val="22"/>
          <w:lang w:eastAsia="pt-BR"/>
        </w:rPr>
        <w:t>.</w:t>
      </w:r>
    </w:p>
    <w:p>
      <w:pPr>
        <w:pStyle w:val="60"/>
        <w:numPr>
          <w:ilvl w:val="1"/>
          <w:numId w:val="12"/>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formação de CADASTRO RESERVA vincula o(s) licitante(s) ao(s) preço(s) da proposta do titular, obrigando-se a assumir a titularidade em caso de cancelamento do registro do titular, observada a ORDEM DE CLASSIFICAÇÃO.</w:t>
      </w:r>
    </w:p>
    <w:p>
      <w:pPr>
        <w:pStyle w:val="60"/>
        <w:numPr>
          <w:ilvl w:val="1"/>
          <w:numId w:val="12"/>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alteração da titularidade do registro dependerá da comprovação das condições de participação do particular registrado no cadastro reserva, da avaliação da qualidade do objeto indicado na sua proposta e do cumprimento das condições de habilitação, nos termos fixados no edital do certame.</w:t>
      </w:r>
    </w:p>
    <w:p>
      <w:pPr>
        <w:pStyle w:val="60"/>
        <w:numPr>
          <w:ilvl w:val="1"/>
          <w:numId w:val="12"/>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Caberá ao agente de contratação responsável pelo julgamento do certame para seleção do titular da presente ARP realizar o procedimento de análise dos critérios indicados no item anterior.</w:t>
      </w:r>
    </w:p>
    <w:p>
      <w:pPr>
        <w:pStyle w:val="60"/>
        <w:numPr>
          <w:ilvl w:val="1"/>
          <w:numId w:val="12"/>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Havendo alteração da titularidade do registro com base no CADASTRO RESERVA, deverá a ARP ser republicada para fins de eficácia.</w:t>
      </w:r>
    </w:p>
    <w:p>
      <w:pPr>
        <w:pStyle w:val="60"/>
        <w:numPr>
          <w:ilvl w:val="0"/>
          <w:numId w:val="12"/>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PUBLICIDADE E DIVULGAÇÃO</w:t>
      </w:r>
    </w:p>
    <w:p>
      <w:pPr>
        <w:pStyle w:val="60"/>
        <w:numPr>
          <w:ilvl w:val="1"/>
          <w:numId w:val="12"/>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A formalização da ARP, como também suas possíveis alterações, prorrogações, cancelamento e rescisões, serão publicados e divulgados no PNCP - Portal Nacional de Contratações Públicas (</w:t>
      </w:r>
      <w:r>
        <w:fldChar w:fldCharType="begin"/>
      </w:r>
      <w:r>
        <w:instrText xml:space="preserve"> HYPERLINK "https://pncp.gov.br/" \h </w:instrText>
      </w:r>
      <w:r>
        <w:fldChar w:fldCharType="separate"/>
      </w:r>
      <w:r>
        <w:rPr>
          <w:rStyle w:val="54"/>
          <w:rFonts w:ascii="Times New Roman" w:hAnsi="Times New Roman"/>
          <w:sz w:val="22"/>
          <w:szCs w:val="22"/>
          <w:lang w:eastAsia="pt-BR"/>
        </w:rPr>
        <w:t>https://pncp.gov.br/</w:t>
      </w:r>
      <w:r>
        <w:rPr>
          <w:rStyle w:val="54"/>
          <w:rFonts w:ascii="Times New Roman" w:hAnsi="Times New Roman"/>
          <w:sz w:val="22"/>
          <w:szCs w:val="22"/>
          <w:lang w:eastAsia="pt-BR"/>
        </w:rPr>
        <w:fldChar w:fldCharType="end"/>
      </w:r>
      <w:r>
        <w:rPr>
          <w:rFonts w:ascii="Times New Roman" w:hAnsi="Times New Roman" w:cs="Times New Roman"/>
          <w:sz w:val="22"/>
          <w:szCs w:val="22"/>
          <w:lang w:eastAsia="pt-BR"/>
        </w:rPr>
        <w:t xml:space="preserve">), bem como, em forma de extrato, no </w:t>
      </w:r>
      <w:r>
        <w:fldChar w:fldCharType="begin"/>
      </w:r>
      <w:r>
        <w:instrText xml:space="preserve"> HYPERLINK "https://www.in.gov.br/servicos/diario-oficial-da-uniao" \h </w:instrText>
      </w:r>
      <w:r>
        <w:fldChar w:fldCharType="separate"/>
      </w:r>
      <w:r>
        <w:rPr>
          <w:rStyle w:val="54"/>
          <w:rFonts w:ascii="Times New Roman" w:hAnsi="Times New Roman"/>
          <w:sz w:val="22"/>
          <w:szCs w:val="22"/>
          <w:lang w:eastAsia="pt-BR"/>
        </w:rPr>
        <w:t>Diário Oficial</w:t>
      </w:r>
      <w:r>
        <w:rPr>
          <w:rStyle w:val="54"/>
          <w:rFonts w:ascii="Times New Roman" w:hAnsi="Times New Roman"/>
          <w:sz w:val="22"/>
          <w:szCs w:val="22"/>
          <w:lang w:eastAsia="pt-BR"/>
        </w:rPr>
        <w:fldChar w:fldCharType="end"/>
      </w:r>
      <w:r>
        <w:rPr>
          <w:rFonts w:ascii="Times New Roman" w:hAnsi="Times New Roman" w:cs="Times New Roman"/>
          <w:sz w:val="22"/>
          <w:szCs w:val="22"/>
        </w:rPr>
        <w:t>.</w:t>
      </w:r>
    </w:p>
    <w:p>
      <w:pPr>
        <w:pStyle w:val="60"/>
        <w:numPr>
          <w:ilvl w:val="1"/>
          <w:numId w:val="12"/>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Todas as informações do presente registro de preço serão também disponibilizadas, durante sua vigência, no site do ÓRGÃO GERENCIADOR na Internet (</w:t>
      </w:r>
      <w:r>
        <w:fldChar w:fldCharType="begin"/>
      </w:r>
      <w:r>
        <w:instrText xml:space="preserve"> HYPERLINK "https://www.primaveradoleste.mt.leg.br/" \h </w:instrText>
      </w:r>
      <w:r>
        <w:fldChar w:fldCharType="separate"/>
      </w:r>
      <w:r>
        <w:rPr>
          <w:rStyle w:val="54"/>
          <w:rFonts w:ascii="Times New Roman" w:hAnsi="Times New Roman"/>
          <w:sz w:val="22"/>
          <w:szCs w:val="22"/>
        </w:rPr>
        <w:t>https://www.primaveradoleste.mt.leg.br/</w:t>
      </w:r>
      <w:r>
        <w:rPr>
          <w:rStyle w:val="54"/>
          <w:rFonts w:ascii="Times New Roman" w:hAnsi="Times New Roman"/>
          <w:sz w:val="22"/>
          <w:szCs w:val="22"/>
        </w:rPr>
        <w:fldChar w:fldCharType="end"/>
      </w:r>
      <w:r>
        <w:rPr>
          <w:rFonts w:ascii="Times New Roman" w:hAnsi="Times New Roman" w:cs="Times New Roman"/>
          <w:sz w:val="22"/>
          <w:szCs w:val="22"/>
        </w:rPr>
        <w:t>)</w:t>
      </w:r>
      <w:r>
        <w:rPr>
          <w:rFonts w:ascii="Times New Roman" w:hAnsi="Times New Roman" w:cs="Times New Roman"/>
          <w:sz w:val="22"/>
          <w:szCs w:val="22"/>
          <w:lang w:eastAsia="pt-BR"/>
        </w:rPr>
        <w:t>, inclusive com a íntegra da ARP e alterações posteriores.</w:t>
      </w:r>
    </w:p>
    <w:p>
      <w:pPr>
        <w:pStyle w:val="60"/>
        <w:numPr>
          <w:ilvl w:val="0"/>
          <w:numId w:val="12"/>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ALTERAÇÕES DOS PREÇOS REGISTRADOS</w:t>
      </w:r>
    </w:p>
    <w:p>
      <w:pPr>
        <w:pStyle w:val="60"/>
        <w:numPr>
          <w:ilvl w:val="1"/>
          <w:numId w:val="12"/>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Salvo negociação entre o órgão gerenciador e o(s) fornecedor(es), os preços registrados serão REAJUSTADOS automaticamente, para mais ou para menos, com base na variação anual do Índice Nacional de Preços ao Consumidor - INPC - do Instituto Brasileiro de Geografia e Estatística - IBGE, ou outro índice que venha a sucedê-lo, desde que decorridos 12 (doze) meses, contados da assinatura da ARP, de acordo com a seguinte fórmula:</w:t>
      </w:r>
    </w:p>
    <w:p>
      <w:pPr>
        <w:pStyle w:val="130"/>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rPr>
        <w:t>PR = PI x IR</w:t>
      </w:r>
    </w:p>
    <w:p>
      <w:pPr>
        <w:pStyle w:val="130"/>
        <w:tabs>
          <w:tab w:val="left" w:pos="1134"/>
        </w:tabs>
        <w:spacing w:before="120" w:beforeAutospacing="0" w:after="120" w:afterAutospacing="0"/>
        <w:ind w:left="567"/>
        <w:jc w:val="both"/>
        <w:textAlignment w:val="baseline"/>
        <w:rPr>
          <w:rFonts w:ascii="Times New Roman" w:hAnsi="Times New Roman"/>
          <w:sz w:val="22"/>
          <w:szCs w:val="22"/>
        </w:rPr>
      </w:pPr>
      <w:r>
        <w:rPr>
          <w:color w:val="000000" w:themeColor="text1"/>
          <w:sz w:val="22"/>
          <w:szCs w:val="22"/>
        </w:rPr>
        <w:t>Onde:</w:t>
      </w:r>
    </w:p>
    <w:p>
      <w:pPr>
        <w:pStyle w:val="130"/>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rPr>
        <w:t>PR</w:t>
      </w:r>
      <w:r>
        <w:rPr>
          <w:color w:val="000000" w:themeColor="text1"/>
          <w:sz w:val="22"/>
          <w:szCs w:val="22"/>
        </w:rPr>
        <w:t xml:space="preserve"> = Preço reajustado </w:t>
      </w:r>
    </w:p>
    <w:p>
      <w:pPr>
        <w:pStyle w:val="130"/>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rPr>
        <w:t>PI</w:t>
      </w:r>
      <w:r>
        <w:rPr>
          <w:color w:val="000000" w:themeColor="text1"/>
          <w:sz w:val="22"/>
          <w:szCs w:val="22"/>
        </w:rPr>
        <w:t xml:space="preserve"> = Preço inicial da Ata de Registro de Preços</w:t>
      </w:r>
    </w:p>
    <w:p>
      <w:pPr>
        <w:pStyle w:val="130"/>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rPr>
        <w:t xml:space="preserve">IR </w:t>
      </w:r>
      <w:r>
        <w:rPr>
          <w:color w:val="000000" w:themeColor="text1"/>
          <w:sz w:val="22"/>
          <w:szCs w:val="22"/>
        </w:rPr>
        <w:t>= Índice de reajuste</w:t>
      </w:r>
    </w:p>
    <w:p>
      <w:pPr>
        <w:pStyle w:val="60"/>
        <w:numPr>
          <w:ilvl w:val="1"/>
          <w:numId w:val="12"/>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Na hipótese de reajuste, a contratada será consultada sobre a possibilidade de renúncia ao reajuste previsto antes da formalização da prorrogação, cabendo à Administração decidir sobre o interesse na prorrogação em caso de reajuste.</w:t>
      </w:r>
    </w:p>
    <w:p>
      <w:pPr>
        <w:pStyle w:val="60"/>
        <w:numPr>
          <w:ilvl w:val="1"/>
          <w:numId w:val="12"/>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qualquer tempo, o preço registrado poderá sofrer REVISÃO em decorrência de comprovado desequilíbrio econômico-financeiro ocorrida no mercado, para restabelecer o equilíbrio econômico-financeiro inicial, em caso de força maior, caso fortuito ou fato do príncipe ou em decorrência de fatos imprevisíveis ou previsíveis de consequências incalculáveis, que inviabilizem a execução da contratação tal como pactuado, deverá ser formulado durante a vigência da presente Ata e antes de eventual prorrogação.</w:t>
      </w:r>
    </w:p>
    <w:p>
      <w:pPr>
        <w:pStyle w:val="60"/>
        <w:numPr>
          <w:ilvl w:val="1"/>
          <w:numId w:val="12"/>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Do mesmo modo, à Administração pode solicitar a REVISÃO dos preços registrados em caso de desequilíbrio econômico-financeiro em seu desfavor.</w:t>
      </w:r>
    </w:p>
    <w:p>
      <w:pPr>
        <w:pStyle w:val="60"/>
        <w:numPr>
          <w:ilvl w:val="1"/>
          <w:numId w:val="12"/>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w:t>
      </w:r>
      <w:r>
        <w:fldChar w:fldCharType="begin"/>
      </w:r>
      <w:r>
        <w:rPr>
          <w:rStyle w:val="54"/>
          <w:rFonts w:ascii="Times New Roman" w:hAnsi="Times New Roman"/>
          <w:sz w:val="22"/>
          <w:szCs w:val="22"/>
          <w:lang w:eastAsia="pt-BR"/>
        </w:rPr>
        <w:instrText xml:space="preserve"> HYPERLINK "https://www.planalto.gov.br/ccivil_03/_ato2019-2022/2021/lei/l14133.htm" \l "art124"</w:instrText>
      </w:r>
      <w:r>
        <w:rPr>
          <w:rStyle w:val="54"/>
          <w:rFonts w:ascii="Times New Roman" w:hAnsi="Times New Roman"/>
          <w:sz w:val="22"/>
          <w:szCs w:val="22"/>
          <w:lang w:eastAsia="pt-BR"/>
        </w:rPr>
        <w:fldChar w:fldCharType="separate"/>
      </w:r>
      <w:r>
        <w:rPr>
          <w:rStyle w:val="54"/>
          <w:rFonts w:ascii="Times New Roman" w:hAnsi="Times New Roman"/>
          <w:sz w:val="22"/>
          <w:szCs w:val="22"/>
          <w:lang w:eastAsia="pt-BR"/>
        </w:rPr>
        <w:t>art. 124 da Lei Federal nº 14.133, de 2021</w:t>
      </w:r>
      <w:r>
        <w:rPr>
          <w:rStyle w:val="54"/>
          <w:rFonts w:ascii="Times New Roman" w:hAnsi="Times New Roman"/>
          <w:sz w:val="22"/>
          <w:szCs w:val="22"/>
          <w:lang w:eastAsia="pt-BR"/>
        </w:rPr>
        <w:fldChar w:fldCharType="end"/>
      </w:r>
      <w:r>
        <w:rPr>
          <w:rFonts w:ascii="Times New Roman" w:hAnsi="Times New Roman" w:cs="Times New Roman"/>
          <w:sz w:val="22"/>
          <w:szCs w:val="22"/>
          <w:lang w:eastAsia="pt-BR"/>
        </w:rPr>
        <w:t>.</w:t>
      </w:r>
    </w:p>
    <w:p>
      <w:pPr>
        <w:pStyle w:val="60"/>
        <w:numPr>
          <w:ilvl w:val="1"/>
          <w:numId w:val="12"/>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Caberá a parte prejudicada a demonstração do impacto efetivo nos custos em decorrência da álea econômica extraordinária havida no mercado, não cabendo revisão de preços em casos de variação inflacionária ordinária, observando-se as regras previstas no </w:t>
      </w:r>
      <w:r>
        <w:fldChar w:fldCharType="begin"/>
      </w:r>
      <w:r>
        <w:rPr>
          <w:rStyle w:val="54"/>
          <w:rFonts w:ascii="Times New Roman" w:hAnsi="Times New Roman"/>
          <w:sz w:val="22"/>
          <w:szCs w:val="22"/>
          <w:lang w:eastAsia="pt-BR"/>
        </w:rPr>
        <w:instrText xml:space="preserve"> HYPERLINK "https://www.planalto.gov.br/ccivil_03/_ato2019-2022/2021/lei/l14133.htm" \l "art124"</w:instrText>
      </w:r>
      <w:r>
        <w:rPr>
          <w:rStyle w:val="54"/>
          <w:rFonts w:ascii="Times New Roman" w:hAnsi="Times New Roman"/>
          <w:sz w:val="22"/>
          <w:szCs w:val="22"/>
          <w:lang w:eastAsia="pt-BR"/>
        </w:rPr>
        <w:fldChar w:fldCharType="separate"/>
      </w:r>
      <w:r>
        <w:rPr>
          <w:rStyle w:val="54"/>
          <w:rFonts w:ascii="Times New Roman" w:hAnsi="Times New Roman"/>
          <w:sz w:val="22"/>
          <w:szCs w:val="22"/>
          <w:lang w:eastAsia="pt-BR"/>
        </w:rPr>
        <w:t>art. 124 da Lei Federal nº 14.133/2021</w:t>
      </w:r>
      <w:r>
        <w:rPr>
          <w:rStyle w:val="54"/>
          <w:rFonts w:ascii="Times New Roman" w:hAnsi="Times New Roman"/>
          <w:sz w:val="22"/>
          <w:szCs w:val="22"/>
          <w:lang w:eastAsia="pt-BR"/>
        </w:rPr>
        <w:fldChar w:fldCharType="end"/>
      </w:r>
      <w:r>
        <w:rPr>
          <w:rFonts w:ascii="Times New Roman" w:hAnsi="Times New Roman" w:cs="Times New Roman"/>
          <w:sz w:val="22"/>
          <w:szCs w:val="22"/>
          <w:lang w:eastAsia="pt-BR"/>
        </w:rPr>
        <w:t>, e nos seguintes casos:</w:t>
      </w:r>
    </w:p>
    <w:p>
      <w:pPr>
        <w:pStyle w:val="60"/>
        <w:numPr>
          <w:ilvl w:val="2"/>
          <w:numId w:val="12"/>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ausência de comprovação da elevação dos encargos do particular;</w:t>
      </w:r>
    </w:p>
    <w:p>
      <w:pPr>
        <w:pStyle w:val="60"/>
        <w:numPr>
          <w:ilvl w:val="2"/>
          <w:numId w:val="12"/>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ocorrência de evento antes da formulação das propostas;</w:t>
      </w:r>
    </w:p>
    <w:p>
      <w:pPr>
        <w:pStyle w:val="60"/>
        <w:numPr>
          <w:ilvl w:val="2"/>
          <w:numId w:val="12"/>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ausência de vínculo de causalidade entre o evento ocorrido e a majoração dos encargos do fornecedor;</w:t>
      </w:r>
    </w:p>
    <w:p>
      <w:pPr>
        <w:pStyle w:val="60"/>
        <w:numPr>
          <w:ilvl w:val="2"/>
          <w:numId w:val="12"/>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culpa do fornecedor pela majoração dos seus encargos (o que inclui a previsibilidade da ocorrência do evento).</w:t>
      </w:r>
    </w:p>
    <w:p>
      <w:pPr>
        <w:pStyle w:val="60"/>
        <w:numPr>
          <w:ilvl w:val="1"/>
          <w:numId w:val="12"/>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Na hipótese de não comprovação da existência de fato superveniente que inviabilize o preço registrado, o pedido será indeferido pelo órgão gerenciador e o fornecedor deverá cumprir as obrigações estabelecidas na ARP, sob pena de cancelamento do seu registro, sem prejuízo das sanções previstas no </w:t>
      </w:r>
      <w:r>
        <w:fldChar w:fldCharType="begin"/>
      </w:r>
      <w:r>
        <w:rPr>
          <w:rStyle w:val="54"/>
          <w:rFonts w:ascii="Times New Roman" w:hAnsi="Times New Roman"/>
          <w:sz w:val="22"/>
          <w:szCs w:val="22"/>
          <w:lang w:eastAsia="pt-BR"/>
        </w:rPr>
        <w:instrText xml:space="preserve"> HYPERLINK "https://www.planalto.gov.br/ccivil_03/_ato2019-2022/2021/lei/l14133.htm" \l "art156"</w:instrText>
      </w:r>
      <w:r>
        <w:rPr>
          <w:rStyle w:val="54"/>
          <w:rFonts w:ascii="Times New Roman" w:hAnsi="Times New Roman"/>
          <w:sz w:val="22"/>
          <w:szCs w:val="22"/>
          <w:lang w:eastAsia="pt-BR"/>
        </w:rPr>
        <w:fldChar w:fldCharType="separate"/>
      </w:r>
      <w:r>
        <w:rPr>
          <w:rStyle w:val="54"/>
          <w:rFonts w:ascii="Times New Roman" w:hAnsi="Times New Roman"/>
          <w:sz w:val="22"/>
          <w:szCs w:val="22"/>
          <w:lang w:eastAsia="pt-BR"/>
        </w:rPr>
        <w:t>art. 156 da Lei Federal nº 14.133, de 2021</w:t>
      </w:r>
      <w:r>
        <w:rPr>
          <w:rStyle w:val="54"/>
          <w:rFonts w:ascii="Times New Roman" w:hAnsi="Times New Roman"/>
          <w:sz w:val="22"/>
          <w:szCs w:val="22"/>
          <w:lang w:eastAsia="pt-BR"/>
        </w:rPr>
        <w:fldChar w:fldCharType="end"/>
      </w:r>
      <w:r>
        <w:rPr>
          <w:rFonts w:ascii="Times New Roman" w:hAnsi="Times New Roman" w:cs="Times New Roman"/>
          <w:sz w:val="22"/>
          <w:szCs w:val="22"/>
          <w:lang w:eastAsia="pt-BR"/>
        </w:rPr>
        <w:t>, e na legislação aplicável</w:t>
      </w:r>
      <w:bookmarkStart w:id="67" w:name="nao_comprovacao_majoracao_mercado"/>
      <w:bookmarkEnd w:id="67"/>
      <w:r>
        <w:rPr>
          <w:rFonts w:ascii="Times New Roman" w:hAnsi="Times New Roman" w:cs="Times New Roman"/>
          <w:sz w:val="22"/>
          <w:szCs w:val="22"/>
          <w:lang w:eastAsia="pt-BR"/>
        </w:rPr>
        <w:t>, mantendo-se hígidas e vigentes as contratações já formalizadas ou solicitadas, bem como os demais itens/grupos não afetados pelo requerido desequilíbrio de preços de mercado.</w:t>
      </w:r>
    </w:p>
    <w:p>
      <w:pPr>
        <w:pStyle w:val="60"/>
        <w:numPr>
          <w:ilvl w:val="1"/>
          <w:numId w:val="12"/>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Em caso do CANCELAMENTO, e havendo CADASTRO RESERVA para o respectivo ITEM/GRUPO, o órgão gerenciador convocará o(s) fornecedor(es) do cadastro de reserva, na ordem de classificação, para verificar se aceita(m) manter seu(s) preço(s) registrado(s).</w:t>
      </w:r>
    </w:p>
    <w:p>
      <w:pPr>
        <w:pStyle w:val="60"/>
        <w:numPr>
          <w:ilvl w:val="1"/>
          <w:numId w:val="12"/>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Toda alteração da presente ARP será publicada e divulgada, nos termos fixados no item 11 desta ARP.</w:t>
      </w:r>
    </w:p>
    <w:p>
      <w:pPr>
        <w:pStyle w:val="60"/>
        <w:numPr>
          <w:ilvl w:val="0"/>
          <w:numId w:val="12"/>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REMANEJAMENTO DAS QUANTIDADES REGISTRADAS NA ARP</w:t>
      </w:r>
    </w:p>
    <w:p>
      <w:pPr>
        <w:pStyle w:val="60"/>
        <w:numPr>
          <w:ilvl w:val="1"/>
          <w:numId w:val="12"/>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As quantidades previstas para os itens com preços registrados nas atas de registro de preços poderão ser remanejadas pelo órgão gerenciador entre os órgãos ou as entidades participantes e não participantes do registro de preços.</w:t>
      </w:r>
    </w:p>
    <w:p>
      <w:pPr>
        <w:pStyle w:val="60"/>
        <w:numPr>
          <w:ilvl w:val="1"/>
          <w:numId w:val="12"/>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 O remanejamento somente poderá ser feito:</w:t>
      </w:r>
    </w:p>
    <w:p>
      <w:pPr>
        <w:pStyle w:val="60"/>
        <w:numPr>
          <w:ilvl w:val="2"/>
          <w:numId w:val="12"/>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De órgão ou entidade participante para órgão ou entidade participante; ou</w:t>
      </w:r>
    </w:p>
    <w:p>
      <w:pPr>
        <w:pStyle w:val="60"/>
        <w:numPr>
          <w:ilvl w:val="2"/>
          <w:numId w:val="12"/>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De órgão ou entidade participante para órgão ou entidade não participante.</w:t>
      </w:r>
    </w:p>
    <w:p>
      <w:pPr>
        <w:pStyle w:val="60"/>
        <w:numPr>
          <w:ilvl w:val="1"/>
          <w:numId w:val="12"/>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órgão gerenciador que tiver estimado as quantidades que pretende contratar será considerado participante para efeito do remanejamento.</w:t>
      </w:r>
      <w:bookmarkStart w:id="68" w:name="gerenciador_estimador_é_partic_em_remane"/>
      <w:bookmarkEnd w:id="68"/>
    </w:p>
    <w:p>
      <w:pPr>
        <w:pStyle w:val="60"/>
        <w:numPr>
          <w:ilvl w:val="1"/>
          <w:numId w:val="12"/>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shd w:val="clear" w:fill="auto"/>
          <w:lang w:eastAsia="pt-BR"/>
        </w:rPr>
        <w:t>Na hipótese de remanejamento de órgão ou entidade participante para órgão ou entidade não participante, serão observados os limites previstos nas Leis nº 14.133 de 2021 e nº 14.770 de 2023.</w:t>
      </w:r>
    </w:p>
    <w:p>
      <w:pPr>
        <w:pStyle w:val="60"/>
        <w:numPr>
          <w:ilvl w:val="1"/>
          <w:numId w:val="12"/>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shd w:val="clear" w:fill="auto"/>
          <w:lang w:eastAsia="pt-BR"/>
        </w:rPr>
        <w:t>Competirá</w:t>
      </w:r>
      <w:r>
        <w:rPr>
          <w:rFonts w:ascii="Times New Roman" w:hAnsi="Times New Roman" w:cs="Times New Roman"/>
          <w:sz w:val="22"/>
          <w:szCs w:val="22"/>
          <w:lang w:eastAsia="pt-BR"/>
        </w:rPr>
        <w:t xml:space="preserve"> ao órgão gerenciador autorizar o remanejamento solicitado, com a redução do quantitativo inicialmente informado pelo órgão ou pela entidade participante, desde que haja prévia anuência do órgão ou da entidade que sofrer redução dos quantitativos informados.</w:t>
      </w:r>
    </w:p>
    <w:p>
      <w:pPr>
        <w:pStyle w:val="60"/>
        <w:numPr>
          <w:ilvl w:val="1"/>
          <w:numId w:val="12"/>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pPr>
        <w:pStyle w:val="60"/>
        <w:numPr>
          <w:ilvl w:val="0"/>
          <w:numId w:val="12"/>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CANCELAMENTO DO REGISTRO DO LICITANTE VENCEDOR E DOS PREÇOS REGISTRADOS</w:t>
      </w:r>
    </w:p>
    <w:p>
      <w:pPr>
        <w:pStyle w:val="60"/>
        <w:numPr>
          <w:ilvl w:val="1"/>
          <w:numId w:val="12"/>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registro do fornecedor será cancelado pelo gerenciador, quando o fornecedor:</w:t>
      </w:r>
      <w:bookmarkStart w:id="69" w:name="cancelamento_do_fornecedor"/>
      <w:bookmarkEnd w:id="69"/>
    </w:p>
    <w:p>
      <w:pPr>
        <w:pStyle w:val="60"/>
        <w:numPr>
          <w:ilvl w:val="2"/>
          <w:numId w:val="12"/>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Descumprir as condições da ata de registro de preços, sem motivo justificado;</w:t>
      </w:r>
    </w:p>
    <w:p>
      <w:pPr>
        <w:pStyle w:val="60"/>
        <w:numPr>
          <w:ilvl w:val="2"/>
          <w:numId w:val="12"/>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Não retirar a nota de empenho, ou instrumento equivalente, no prazo estabelecido pela Administração sem justificativa razoável;</w:t>
      </w:r>
    </w:p>
    <w:p>
      <w:pPr>
        <w:pStyle w:val="60"/>
        <w:numPr>
          <w:ilvl w:val="2"/>
          <w:numId w:val="12"/>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Não aceitar manter seu preço registrado;</w:t>
      </w:r>
    </w:p>
    <w:p>
      <w:pPr>
        <w:pStyle w:val="60"/>
        <w:numPr>
          <w:ilvl w:val="2"/>
          <w:numId w:val="12"/>
        </w:numPr>
        <w:tabs>
          <w:tab w:val="left" w:pos="1134"/>
          <w:tab w:val="left" w:pos="3001"/>
        </w:tabs>
        <w:spacing w:before="120" w:after="120" w:line="240" w:lineRule="auto"/>
        <w:contextualSpacing w:val="0"/>
        <w:jc w:val="both"/>
      </w:pPr>
      <w:r>
        <w:rPr>
          <w:rFonts w:ascii="Times New Roman" w:hAnsi="Times New Roman" w:cs="Times New Roman"/>
          <w:sz w:val="22"/>
          <w:szCs w:val="22"/>
          <w:lang w:eastAsia="pt-BR"/>
        </w:rPr>
        <w:t xml:space="preserve"> Sofrer sanção prevista no </w:t>
      </w:r>
      <w:r>
        <w:fldChar w:fldCharType="begin"/>
      </w:r>
      <w:r>
        <w:rPr>
          <w:rStyle w:val="54"/>
          <w:rFonts w:ascii="Times New Roman" w:hAnsi="Times New Roman"/>
          <w:sz w:val="22"/>
          <w:szCs w:val="22"/>
          <w:lang w:eastAsia="pt-BR"/>
        </w:rPr>
        <w:instrText xml:space="preserve"> HYPERLINK "https://www.planalto.gov.br/ccivil_03/_ato2019-2022/2021/lei/l14133.htm" \l "art156"</w:instrText>
      </w:r>
      <w:r>
        <w:rPr>
          <w:rStyle w:val="54"/>
          <w:rFonts w:ascii="Times New Roman" w:hAnsi="Times New Roman"/>
          <w:sz w:val="22"/>
          <w:szCs w:val="22"/>
          <w:lang w:eastAsia="pt-BR"/>
        </w:rPr>
        <w:fldChar w:fldCharType="separate"/>
      </w:r>
      <w:r>
        <w:rPr>
          <w:rStyle w:val="54"/>
          <w:rFonts w:ascii="Times New Roman" w:hAnsi="Times New Roman"/>
          <w:sz w:val="22"/>
          <w:szCs w:val="22"/>
          <w:lang w:eastAsia="pt-BR"/>
        </w:rPr>
        <w:t xml:space="preserve">inciso III do </w:t>
      </w:r>
      <w:r>
        <w:rPr>
          <w:rStyle w:val="54"/>
          <w:rFonts w:ascii="Times New Roman" w:hAnsi="Times New Roman"/>
          <w:sz w:val="22"/>
          <w:szCs w:val="22"/>
          <w:lang w:eastAsia="pt-BR"/>
        </w:rPr>
        <w:fldChar w:fldCharType="end"/>
      </w:r>
      <w:r>
        <w:rPr>
          <w:rStyle w:val="54"/>
          <w:rFonts w:ascii="Times New Roman" w:hAnsi="Times New Roman"/>
          <w:i/>
          <w:iCs/>
          <w:sz w:val="22"/>
          <w:szCs w:val="22"/>
          <w:lang w:eastAsia="pt-BR"/>
        </w:rPr>
        <w:t>caput</w:t>
      </w:r>
      <w:r>
        <w:rPr>
          <w:rStyle w:val="54"/>
          <w:rFonts w:ascii="Times New Roman" w:hAnsi="Times New Roman"/>
          <w:sz w:val="22"/>
          <w:szCs w:val="22"/>
          <w:lang w:eastAsia="pt-BR"/>
        </w:rPr>
        <w:t xml:space="preserve"> do art. 156 da Lei Federal nº 14.133, de 2021</w:t>
      </w:r>
      <w:r>
        <w:rPr>
          <w:rFonts w:ascii="Times New Roman" w:hAnsi="Times New Roman" w:cs="Times New Roman"/>
          <w:sz w:val="22"/>
          <w:szCs w:val="22"/>
          <w:lang w:eastAsia="pt-BR"/>
        </w:rPr>
        <w:t>, aplicada por qualquer órgão da União Federal (</w:t>
      </w:r>
      <w:r>
        <w:fldChar w:fldCharType="begin"/>
      </w:r>
      <w:r>
        <w:rPr>
          <w:rStyle w:val="54"/>
          <w:rFonts w:ascii="Times New Roman" w:hAnsi="Times New Roman"/>
          <w:sz w:val="22"/>
          <w:szCs w:val="22"/>
          <w:lang w:eastAsia="pt-BR"/>
        </w:rPr>
        <w:instrText xml:space="preserve"> HYPERLINK "https://www.planalto.gov.br/ccivil_03/_ato2019-2022/2021/lei/l14133.htm" \l "art156"</w:instrText>
      </w:r>
      <w:r>
        <w:rPr>
          <w:rStyle w:val="54"/>
          <w:rFonts w:ascii="Times New Roman" w:hAnsi="Times New Roman"/>
          <w:sz w:val="22"/>
          <w:szCs w:val="22"/>
          <w:lang w:eastAsia="pt-BR"/>
        </w:rPr>
        <w:fldChar w:fldCharType="separate"/>
      </w:r>
      <w:r>
        <w:rPr>
          <w:rStyle w:val="54"/>
          <w:rFonts w:ascii="Times New Roman" w:hAnsi="Times New Roman"/>
          <w:sz w:val="22"/>
          <w:szCs w:val="22"/>
          <w:lang w:eastAsia="pt-BR"/>
        </w:rPr>
        <w:t>art. 156, § 4º, da Lei Federal nº 14.133, de 2021</w:t>
      </w:r>
      <w:r>
        <w:rPr>
          <w:rStyle w:val="54"/>
          <w:rFonts w:ascii="Times New Roman" w:hAnsi="Times New Roman"/>
          <w:sz w:val="22"/>
          <w:szCs w:val="22"/>
          <w:lang w:eastAsia="pt-BR"/>
        </w:rPr>
        <w:fldChar w:fldCharType="end"/>
      </w:r>
      <w:r>
        <w:rPr>
          <w:rFonts w:ascii="Times New Roman" w:hAnsi="Times New Roman" w:cs="Times New Roman"/>
          <w:sz w:val="22"/>
          <w:szCs w:val="22"/>
          <w:lang w:eastAsia="pt-BR"/>
        </w:rPr>
        <w:t>); ou</w:t>
      </w:r>
    </w:p>
    <w:p>
      <w:pPr>
        <w:pStyle w:val="60"/>
        <w:numPr>
          <w:ilvl w:val="2"/>
          <w:numId w:val="12"/>
        </w:numPr>
        <w:tabs>
          <w:tab w:val="left" w:pos="1134"/>
          <w:tab w:val="left" w:pos="3001"/>
        </w:tabs>
        <w:spacing w:before="120" w:after="120" w:line="240" w:lineRule="auto"/>
        <w:contextualSpacing w:val="0"/>
        <w:jc w:val="both"/>
      </w:pPr>
      <w:r>
        <w:rPr>
          <w:rFonts w:ascii="Times New Roman" w:hAnsi="Times New Roman" w:cs="Times New Roman"/>
          <w:sz w:val="22"/>
          <w:szCs w:val="22"/>
          <w:lang w:eastAsia="pt-BR"/>
        </w:rPr>
        <w:t xml:space="preserve">Sofrer sanção prevista no </w:t>
      </w:r>
      <w:r>
        <w:fldChar w:fldCharType="begin"/>
      </w:r>
      <w:r>
        <w:rPr>
          <w:rStyle w:val="54"/>
          <w:rFonts w:ascii="Times New Roman" w:hAnsi="Times New Roman"/>
          <w:sz w:val="22"/>
          <w:szCs w:val="22"/>
          <w:lang w:eastAsia="pt-BR"/>
        </w:rPr>
        <w:instrText xml:space="preserve"> HYPERLINK "https://www.planalto.gov.br/ccivil_03/_ato2019-2022/2021/lei/l14133.htm" \l "art156"</w:instrText>
      </w:r>
      <w:r>
        <w:rPr>
          <w:rStyle w:val="54"/>
          <w:rFonts w:ascii="Times New Roman" w:hAnsi="Times New Roman"/>
          <w:sz w:val="22"/>
          <w:szCs w:val="22"/>
          <w:lang w:eastAsia="pt-BR"/>
        </w:rPr>
        <w:fldChar w:fldCharType="separate"/>
      </w:r>
      <w:r>
        <w:rPr>
          <w:rStyle w:val="54"/>
          <w:rFonts w:ascii="Times New Roman" w:hAnsi="Times New Roman"/>
          <w:sz w:val="22"/>
          <w:szCs w:val="22"/>
          <w:lang w:eastAsia="pt-BR"/>
        </w:rPr>
        <w:t xml:space="preserve">inciso IV do </w:t>
      </w:r>
      <w:r>
        <w:rPr>
          <w:rStyle w:val="54"/>
          <w:rFonts w:ascii="Times New Roman" w:hAnsi="Times New Roman"/>
          <w:sz w:val="22"/>
          <w:szCs w:val="22"/>
          <w:lang w:eastAsia="pt-BR"/>
        </w:rPr>
        <w:fldChar w:fldCharType="end"/>
      </w:r>
      <w:r>
        <w:rPr>
          <w:rStyle w:val="54"/>
          <w:rFonts w:ascii="Times New Roman" w:hAnsi="Times New Roman"/>
          <w:i/>
          <w:iCs/>
          <w:sz w:val="22"/>
          <w:szCs w:val="22"/>
          <w:lang w:eastAsia="pt-BR"/>
        </w:rPr>
        <w:t>caput</w:t>
      </w:r>
      <w:r>
        <w:rPr>
          <w:rStyle w:val="54"/>
          <w:rFonts w:ascii="Times New Roman" w:hAnsi="Times New Roman"/>
          <w:sz w:val="22"/>
          <w:szCs w:val="22"/>
          <w:lang w:eastAsia="pt-BR"/>
        </w:rPr>
        <w:t xml:space="preserve"> do art. 156 da Lei Federal nº 14.133, de 2021</w:t>
      </w:r>
      <w:r>
        <w:rPr>
          <w:rFonts w:ascii="Times New Roman" w:hAnsi="Times New Roman" w:cs="Times New Roman"/>
          <w:sz w:val="22"/>
          <w:szCs w:val="22"/>
          <w:lang w:eastAsia="pt-BR"/>
        </w:rPr>
        <w:t>, no caso de declaração de inidoneidade para contratar com a Administração Pública.</w:t>
      </w:r>
    </w:p>
    <w:p>
      <w:pPr>
        <w:pStyle w:val="60"/>
        <w:numPr>
          <w:ilvl w:val="1"/>
          <w:numId w:val="12"/>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Na hipótese de aplicação de sanção prevista nos </w:t>
      </w:r>
      <w:r>
        <w:fldChar w:fldCharType="begin"/>
      </w:r>
      <w:r>
        <w:rPr>
          <w:rStyle w:val="54"/>
          <w:rFonts w:ascii="Times New Roman" w:hAnsi="Times New Roman"/>
          <w:sz w:val="22"/>
          <w:szCs w:val="22"/>
          <w:lang w:eastAsia="pt-BR"/>
        </w:rPr>
        <w:instrText xml:space="preserve"> HYPERLINK "https://www.planalto.gov.br/ccivil_03/_ato2019-2022/2021/lei/l14133.htm" \l "art156"</w:instrText>
      </w:r>
      <w:r>
        <w:rPr>
          <w:rStyle w:val="54"/>
          <w:rFonts w:ascii="Times New Roman" w:hAnsi="Times New Roman"/>
          <w:sz w:val="22"/>
          <w:szCs w:val="22"/>
          <w:lang w:eastAsia="pt-BR"/>
        </w:rPr>
        <w:fldChar w:fldCharType="separate"/>
      </w:r>
      <w:r>
        <w:rPr>
          <w:rStyle w:val="54"/>
          <w:rFonts w:ascii="Times New Roman" w:hAnsi="Times New Roman"/>
          <w:sz w:val="22"/>
          <w:szCs w:val="22"/>
          <w:lang w:eastAsia="pt-BR"/>
        </w:rPr>
        <w:t xml:space="preserve">incisos III ou IV do </w:t>
      </w:r>
      <w:r>
        <w:rPr>
          <w:rStyle w:val="54"/>
          <w:rFonts w:ascii="Times New Roman" w:hAnsi="Times New Roman"/>
          <w:sz w:val="22"/>
          <w:szCs w:val="22"/>
          <w:lang w:eastAsia="pt-BR"/>
        </w:rPr>
        <w:fldChar w:fldCharType="end"/>
      </w:r>
      <w:r>
        <w:rPr>
          <w:rStyle w:val="54"/>
          <w:rFonts w:ascii="Times New Roman" w:hAnsi="Times New Roman"/>
          <w:i/>
          <w:iCs/>
          <w:sz w:val="22"/>
          <w:szCs w:val="22"/>
          <w:lang w:eastAsia="pt-BR"/>
        </w:rPr>
        <w:t>caput</w:t>
      </w:r>
      <w:r>
        <w:rPr>
          <w:rStyle w:val="54"/>
          <w:rFonts w:ascii="Times New Roman" w:hAnsi="Times New Roman"/>
          <w:sz w:val="22"/>
          <w:szCs w:val="22"/>
          <w:lang w:eastAsia="pt-BR"/>
        </w:rPr>
        <w:t xml:space="preserve"> do art. 156 da Lei Federal nº 14.133, de 2021</w:t>
      </w:r>
      <w:r>
        <w:rPr>
          <w:rFonts w:ascii="Times New Roman" w:hAnsi="Times New Roman" w:cs="Times New Roman"/>
          <w:sz w:val="22"/>
          <w:szCs w:val="22"/>
          <w:lang w:eastAsia="pt-BR"/>
        </w:rPr>
        <w:t>, caso a penalidade aplicada ao fornecedor não ultrapasse o prazo de vigência da ata de registro de preços, o órgão gerenciador poderá, mediante decisão fundamentada, decidir pela manutenção do registro de preços, vedadas contratações derivadas da ata enquanto perdurarem os efeitos da sanção.</w:t>
      </w:r>
    </w:p>
    <w:p>
      <w:pPr>
        <w:pStyle w:val="60"/>
        <w:numPr>
          <w:ilvl w:val="1"/>
          <w:numId w:val="12"/>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 O cancelamento de registros será formalizado por despacho do órgão gerenciador, garantidos os princípios do contraditório e da ampla defesa.</w:t>
      </w:r>
    </w:p>
    <w:p>
      <w:pPr>
        <w:pStyle w:val="60"/>
        <w:numPr>
          <w:ilvl w:val="1"/>
          <w:numId w:val="12"/>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Na hipótese de cancelamento do registro do fornecedor, o órgão gerenciador poderá convocar os licitantes que compõem o cadastro de reserva, observada a ordem de classificação.</w:t>
      </w:r>
    </w:p>
    <w:p>
      <w:pPr>
        <w:pStyle w:val="60"/>
        <w:numPr>
          <w:ilvl w:val="1"/>
          <w:numId w:val="12"/>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cancelamento dos preços registrados poderá ser realizado pelo gerenciador, em determinada ata de registro de preços, total ou parcialmente, nas seguintes hipóteses, desde que devidamente comprovadas e justificadas:</w:t>
      </w:r>
      <w:bookmarkStart w:id="70" w:name="cancelamento_da_ata"/>
      <w:bookmarkEnd w:id="70"/>
      <w:r>
        <w:rPr>
          <w:rFonts w:ascii="Times New Roman" w:hAnsi="Times New Roman" w:cs="Times New Roman"/>
          <w:sz w:val="22"/>
          <w:szCs w:val="22"/>
          <w:lang w:eastAsia="pt-BR"/>
        </w:rPr>
        <w:t xml:space="preserve"> </w:t>
      </w:r>
    </w:p>
    <w:p>
      <w:pPr>
        <w:pStyle w:val="60"/>
        <w:numPr>
          <w:ilvl w:val="2"/>
          <w:numId w:val="12"/>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Por razão de interesse público;</w:t>
      </w:r>
    </w:p>
    <w:p>
      <w:pPr>
        <w:pStyle w:val="60"/>
        <w:numPr>
          <w:ilvl w:val="2"/>
          <w:numId w:val="12"/>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 pedido do fornecedor, decorrente de caso fortuito ou força maior; ou</w:t>
      </w:r>
    </w:p>
    <w:p>
      <w:pPr>
        <w:pStyle w:val="60"/>
        <w:numPr>
          <w:ilvl w:val="2"/>
          <w:numId w:val="12"/>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 xml:space="preserve">Se não houver êxito nas negociações, nas hipóteses em que o preço de mercado tornar-se superior ou inferior ao preço registrado. </w:t>
      </w:r>
    </w:p>
    <w:p>
      <w:pPr>
        <w:pStyle w:val="60"/>
        <w:numPr>
          <w:ilvl w:val="0"/>
          <w:numId w:val="12"/>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SANÇÕES ADMINISTRATIVAS POR DESCUMPRIMENTO DE OBRIGAÇÕES CONTIDAS NA ARP</w:t>
      </w:r>
    </w:p>
    <w:p>
      <w:pPr>
        <w:pStyle w:val="60"/>
        <w:numPr>
          <w:ilvl w:val="1"/>
          <w:numId w:val="12"/>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As empresas com preços registrados nesta ARP e signatárias dos respectivos contratos estarão sujeitas às sanções administrativas previstas neste Edital de Licitação do Pregão nº 006/2024</w:t>
      </w:r>
      <w:r>
        <w:rPr>
          <w:rFonts w:ascii="Times New Roman" w:hAnsi="Times New Roman" w:cs="Times New Roman"/>
          <w:color w:val="000000"/>
          <w:sz w:val="22"/>
          <w:szCs w:val="22"/>
          <w:shd w:val="clear" w:fill="auto"/>
          <w:lang w:eastAsia="pt-BR"/>
        </w:rPr>
        <w:t xml:space="preserve">, </w:t>
      </w:r>
      <w:r>
        <w:rPr>
          <w:rFonts w:ascii="Times New Roman" w:hAnsi="Times New Roman" w:cs="Times New Roman"/>
          <w:sz w:val="22"/>
          <w:szCs w:val="22"/>
          <w:lang w:eastAsia="pt-BR"/>
        </w:rPr>
        <w:t>sem prejuízo de outras previstas em legislação pertinente e da responsabilidade civil e criminal que seus atos ensejarem.</w:t>
      </w:r>
    </w:p>
    <w:p>
      <w:pPr>
        <w:pStyle w:val="60"/>
        <w:numPr>
          <w:ilvl w:val="1"/>
          <w:numId w:val="12"/>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pPr>
        <w:pStyle w:val="60"/>
        <w:numPr>
          <w:ilvl w:val="1"/>
          <w:numId w:val="12"/>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Cabe a cada órgão ou entidade participante ou aderente a realização de procedimento para fins de apuração de responsabilidade e aplicação de sanções administrativas nos casos de inadimplemento em suas próprias contratações, comunicando ao gerenciador para fins de registro quaisquer sanções aplicadas.</w:t>
      </w:r>
    </w:p>
    <w:p>
      <w:pPr>
        <w:pStyle w:val="60"/>
        <w:numPr>
          <w:ilvl w:val="1"/>
          <w:numId w:val="12"/>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órgão ou entidade participante deverá comunicar ao órgão gerenciador qualquer das ocorrências passível de cancelamento do registro do fornecedor.</w:t>
      </w:r>
    </w:p>
    <w:p>
      <w:pPr>
        <w:pStyle w:val="60"/>
        <w:tabs>
          <w:tab w:val="left" w:pos="1134"/>
          <w:tab w:val="left" w:pos="3001"/>
        </w:tabs>
        <w:spacing w:before="120" w:after="120" w:line="240" w:lineRule="auto"/>
        <w:ind w:left="0" w:firstLine="567"/>
        <w:contextualSpacing w:val="0"/>
        <w:jc w:val="both"/>
        <w:rPr>
          <w:rFonts w:ascii="Times New Roman" w:hAnsi="Times New Roman"/>
          <w:sz w:val="22"/>
          <w:szCs w:val="22"/>
        </w:rPr>
      </w:pPr>
    </w:p>
    <w:p>
      <w:pPr>
        <w:pStyle w:val="60"/>
        <w:tabs>
          <w:tab w:val="left" w:pos="1134"/>
          <w:tab w:val="left" w:pos="3001"/>
        </w:tabs>
        <w:spacing w:before="120" w:after="120" w:line="240" w:lineRule="auto"/>
        <w:ind w:left="0" w:firstLine="567"/>
        <w:contextualSpacing w:val="0"/>
        <w:jc w:val="both"/>
        <w:rPr>
          <w:rFonts w:ascii="Times New Roman" w:hAnsi="Times New Roman"/>
          <w:sz w:val="22"/>
          <w:szCs w:val="22"/>
        </w:rPr>
      </w:pPr>
    </w:p>
    <w:p>
      <w:pPr>
        <w:pStyle w:val="60"/>
        <w:numPr>
          <w:ilvl w:val="0"/>
          <w:numId w:val="12"/>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CANCELAMENTO E RESCISÃO DA ARP</w:t>
      </w:r>
    </w:p>
    <w:p>
      <w:pPr>
        <w:pStyle w:val="60"/>
        <w:numPr>
          <w:ilvl w:val="1"/>
          <w:numId w:val="12"/>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registro de preços poderá ser CANCELADO/REVOGADO, por ITEM/GRUPO, por iniciativa do ÓRGÃO GERENCIADOR, quando:</w:t>
      </w:r>
    </w:p>
    <w:p>
      <w:pPr>
        <w:pStyle w:val="60"/>
        <w:numPr>
          <w:ilvl w:val="2"/>
          <w:numId w:val="12"/>
        </w:numPr>
        <w:tabs>
          <w:tab w:val="left" w:pos="1134"/>
          <w:tab w:val="left" w:pos="3001"/>
        </w:tabs>
        <w:spacing w:before="120" w:after="120" w:line="240" w:lineRule="auto"/>
        <w:contextualSpacing w:val="0"/>
        <w:jc w:val="both"/>
      </w:pPr>
      <w:r>
        <w:rPr>
          <w:rFonts w:ascii="Times New Roman" w:hAnsi="Times New Roman" w:cs="Times New Roman"/>
          <w:sz w:val="22"/>
          <w:szCs w:val="22"/>
          <w:lang w:eastAsia="pt-BR"/>
        </w:rPr>
        <w:t>Não houve acordo entre as partes para pactuação/negociação de novo preço nos casos de comprovado desequilíbrio econômico-financeiro em relação ao mercado, conforme regras previstas no</w:t>
      </w:r>
      <w:r>
        <w:rPr>
          <w:rFonts w:ascii="Times New Roman" w:hAnsi="Times New Roman" w:cs="Times New Roman"/>
          <w:sz w:val="22"/>
          <w:szCs w:val="22"/>
          <w:shd w:val="clear" w:fill="auto"/>
          <w:lang w:eastAsia="pt-BR"/>
        </w:rPr>
        <w:t xml:space="preserve"> item 12 </w:t>
      </w:r>
      <w:r>
        <w:rPr>
          <w:rFonts w:ascii="Times New Roman" w:hAnsi="Times New Roman" w:cs="Times New Roman"/>
          <w:sz w:val="22"/>
          <w:szCs w:val="22"/>
          <w:lang w:eastAsia="pt-BR"/>
        </w:rPr>
        <w:t xml:space="preserve">desta ARP, na </w:t>
      </w:r>
      <w:r>
        <w:fldChar w:fldCharType="begin"/>
      </w:r>
      <w:r>
        <w:instrText xml:space="preserve"> HYPERLINK "https://www.planalto.gov.br/ccivil_03/_ato2019-2022/2021/lei/l14133.htm" \h </w:instrText>
      </w:r>
      <w:r>
        <w:fldChar w:fldCharType="separate"/>
      </w:r>
      <w:r>
        <w:rPr>
          <w:rStyle w:val="54"/>
          <w:rFonts w:ascii="Times New Roman" w:hAnsi="Times New Roman"/>
          <w:sz w:val="22"/>
          <w:szCs w:val="22"/>
          <w:lang w:eastAsia="pt-BR"/>
        </w:rPr>
        <w:t>Lei Federal nº 14.133, de 2021</w:t>
      </w:r>
      <w:r>
        <w:rPr>
          <w:rStyle w:val="54"/>
          <w:rFonts w:ascii="Times New Roman" w:hAnsi="Times New Roman"/>
          <w:sz w:val="22"/>
          <w:szCs w:val="22"/>
          <w:lang w:eastAsia="pt-BR"/>
        </w:rPr>
        <w:fldChar w:fldCharType="end"/>
      </w:r>
      <w:r>
        <w:rPr>
          <w:rFonts w:ascii="Times New Roman" w:hAnsi="Times New Roman" w:cs="Times New Roman"/>
          <w:sz w:val="22"/>
          <w:szCs w:val="22"/>
          <w:lang w:eastAsia="pt-BR"/>
        </w:rPr>
        <w:t>.</w:t>
      </w:r>
    </w:p>
    <w:p>
      <w:pPr>
        <w:pStyle w:val="60"/>
        <w:numPr>
          <w:ilvl w:val="2"/>
          <w:numId w:val="12"/>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Por iniciativa do próprio titular do registro, desde que apresente solicitação formal, bem como haja comprovação de situação que impossibilite o cumprimento das exigências insertas nesta ARP, tendo em vista fato superveniente, decorrente de caso fortuito ou força maior, aceito pelo ÓRGÃO GERENCIADOR.</w:t>
      </w:r>
    </w:p>
    <w:p>
      <w:pPr>
        <w:pStyle w:val="60"/>
        <w:numPr>
          <w:ilvl w:val="2"/>
          <w:numId w:val="12"/>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Presentes razões de conveniência e oportunidade ao interesse público, devidamente justificadas.</w:t>
      </w:r>
    </w:p>
    <w:p>
      <w:pPr>
        <w:pStyle w:val="60"/>
        <w:numPr>
          <w:ilvl w:val="1"/>
          <w:numId w:val="12"/>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registro de preços poderá ser RESCINDIDO, por iniciativa do ÓRGÃO GERENCIADOR, observada a gravidade da conduta e os reflexos em relação ao interesse público, quando o titular do registro:</w:t>
      </w:r>
    </w:p>
    <w:p>
      <w:pPr>
        <w:pStyle w:val="60"/>
        <w:numPr>
          <w:ilvl w:val="2"/>
          <w:numId w:val="12"/>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Não executar de forma total ou parcial qualificada as obrigações presentes nesta ARP;</w:t>
      </w:r>
    </w:p>
    <w:p>
      <w:pPr>
        <w:pStyle w:val="60"/>
        <w:numPr>
          <w:ilvl w:val="2"/>
          <w:numId w:val="12"/>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Recusar-se a retirar e assinar a nota de empenho ou instrumento contratual no prazo estabelecido, salvo por motivo devidamente justificado e aceito pelo órgão ou entidade Contratante;</w:t>
      </w:r>
    </w:p>
    <w:p>
      <w:pPr>
        <w:pStyle w:val="60"/>
        <w:numPr>
          <w:ilvl w:val="2"/>
          <w:numId w:val="12"/>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Der causa à rescisão administrativa de dois ou mais contratos firmados com base neste ARP;</w:t>
      </w:r>
    </w:p>
    <w:p>
      <w:pPr>
        <w:pStyle w:val="60"/>
        <w:numPr>
          <w:ilvl w:val="2"/>
          <w:numId w:val="12"/>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Não mantiver as condições de participação e de habilitação exigidas na licitação, salvo irregularidade temporária e sanável em até 30 (trinta) dias corridos; ou</w:t>
      </w:r>
    </w:p>
    <w:p>
      <w:pPr>
        <w:pStyle w:val="60"/>
        <w:numPr>
          <w:ilvl w:val="2"/>
          <w:numId w:val="12"/>
        </w:numPr>
        <w:tabs>
          <w:tab w:val="left" w:pos="1276"/>
          <w:tab w:val="left" w:pos="3001"/>
        </w:tabs>
        <w:spacing w:before="120" w:after="120" w:line="240" w:lineRule="auto"/>
        <w:contextualSpacing w:val="0"/>
        <w:jc w:val="both"/>
      </w:pPr>
      <w:r>
        <w:rPr>
          <w:rFonts w:ascii="Times New Roman" w:hAnsi="Times New Roman" w:cs="Times New Roman"/>
          <w:sz w:val="22"/>
          <w:szCs w:val="22"/>
          <w:lang w:eastAsia="pt-BR"/>
        </w:rPr>
        <w:t xml:space="preserve">Sofrer sanção prevista no </w:t>
      </w:r>
      <w:r>
        <w:fldChar w:fldCharType="begin"/>
      </w:r>
      <w:r>
        <w:rPr>
          <w:rStyle w:val="54"/>
          <w:rFonts w:ascii="Times New Roman" w:hAnsi="Times New Roman"/>
          <w:sz w:val="22"/>
          <w:szCs w:val="22"/>
          <w:lang w:eastAsia="pt-BR"/>
        </w:rPr>
        <w:instrText xml:space="preserve"> HYPERLINK "https://www.planalto.gov.br/ccivil_03/_ato2019-2022/2021/lei/l14133.htm" \l "art156"</w:instrText>
      </w:r>
      <w:r>
        <w:rPr>
          <w:rStyle w:val="54"/>
          <w:rFonts w:ascii="Times New Roman" w:hAnsi="Times New Roman"/>
          <w:sz w:val="22"/>
          <w:szCs w:val="22"/>
          <w:lang w:eastAsia="pt-BR"/>
        </w:rPr>
        <w:fldChar w:fldCharType="separate"/>
      </w:r>
      <w:r>
        <w:rPr>
          <w:rStyle w:val="54"/>
          <w:rFonts w:ascii="Times New Roman" w:hAnsi="Times New Roman"/>
          <w:sz w:val="22"/>
          <w:szCs w:val="22"/>
          <w:lang w:eastAsia="pt-BR"/>
        </w:rPr>
        <w:t>art. 156, III ou IV, da Lei Federal nº 14.133, de 2021</w:t>
      </w:r>
      <w:r>
        <w:rPr>
          <w:rStyle w:val="54"/>
          <w:rFonts w:ascii="Times New Roman" w:hAnsi="Times New Roman"/>
          <w:sz w:val="22"/>
          <w:szCs w:val="22"/>
          <w:lang w:eastAsia="pt-BR"/>
        </w:rPr>
        <w:fldChar w:fldCharType="end"/>
      </w:r>
      <w:r>
        <w:rPr>
          <w:rFonts w:ascii="Times New Roman" w:hAnsi="Times New Roman" w:cs="Times New Roman"/>
          <w:sz w:val="22"/>
          <w:szCs w:val="22"/>
          <w:lang w:eastAsia="pt-BR"/>
        </w:rPr>
        <w:t xml:space="preserve">, ou no </w:t>
      </w:r>
      <w:r>
        <w:fldChar w:fldCharType="begin"/>
      </w:r>
      <w:r>
        <w:rPr>
          <w:rStyle w:val="54"/>
          <w:rFonts w:ascii="Times New Roman" w:hAnsi="Times New Roman"/>
          <w:sz w:val="22"/>
          <w:szCs w:val="22"/>
          <w:lang w:eastAsia="pt-BR"/>
        </w:rPr>
        <w:instrText xml:space="preserve"> HYPERLINK "https://www.planalto.gov.br/ccivil_03/leis/l8666cons.htm" \l "art87"</w:instrText>
      </w:r>
      <w:r>
        <w:rPr>
          <w:rStyle w:val="54"/>
          <w:rFonts w:ascii="Times New Roman" w:hAnsi="Times New Roman"/>
          <w:sz w:val="22"/>
          <w:szCs w:val="22"/>
          <w:lang w:eastAsia="pt-BR"/>
        </w:rPr>
        <w:fldChar w:fldCharType="separate"/>
      </w:r>
      <w:r>
        <w:rPr>
          <w:rStyle w:val="54"/>
          <w:rFonts w:ascii="Times New Roman" w:hAnsi="Times New Roman"/>
          <w:sz w:val="22"/>
          <w:szCs w:val="22"/>
          <w:lang w:eastAsia="pt-BR"/>
        </w:rPr>
        <w:t>art. 87, III ou IV, da Lei Federal nº 8.666, de 1993</w:t>
      </w:r>
      <w:r>
        <w:rPr>
          <w:rStyle w:val="54"/>
          <w:rFonts w:ascii="Times New Roman" w:hAnsi="Times New Roman"/>
          <w:sz w:val="22"/>
          <w:szCs w:val="22"/>
          <w:lang w:eastAsia="pt-BR"/>
        </w:rPr>
        <w:fldChar w:fldCharType="end"/>
      </w:r>
      <w:r>
        <w:rPr>
          <w:rFonts w:ascii="Times New Roman" w:hAnsi="Times New Roman" w:cs="Times New Roman"/>
          <w:sz w:val="22"/>
          <w:szCs w:val="22"/>
          <w:lang w:eastAsia="pt-BR"/>
        </w:rPr>
        <w:t xml:space="preserve">, ou no </w:t>
      </w:r>
      <w:r>
        <w:fldChar w:fldCharType="begin"/>
      </w:r>
      <w:r>
        <w:rPr>
          <w:rStyle w:val="54"/>
          <w:rFonts w:ascii="Times New Roman" w:hAnsi="Times New Roman"/>
          <w:sz w:val="22"/>
          <w:szCs w:val="22"/>
          <w:lang w:eastAsia="pt-BR"/>
        </w:rPr>
        <w:instrText xml:space="preserve"> HYPERLINK "http://www.planalto.gov.br/ccivil_03/leis/2002/l10520.htm" \l "art7"</w:instrText>
      </w:r>
      <w:r>
        <w:rPr>
          <w:rStyle w:val="54"/>
          <w:rFonts w:ascii="Times New Roman" w:hAnsi="Times New Roman"/>
          <w:sz w:val="22"/>
          <w:szCs w:val="22"/>
          <w:lang w:eastAsia="pt-BR"/>
        </w:rPr>
        <w:fldChar w:fldCharType="separate"/>
      </w:r>
      <w:r>
        <w:rPr>
          <w:rStyle w:val="54"/>
          <w:rFonts w:ascii="Times New Roman" w:hAnsi="Times New Roman"/>
          <w:sz w:val="22"/>
          <w:szCs w:val="22"/>
          <w:lang w:eastAsia="pt-BR"/>
        </w:rPr>
        <w:t>art. 7º da Lei Federal nº 10.520, de 2002</w:t>
      </w:r>
      <w:r>
        <w:rPr>
          <w:rStyle w:val="54"/>
          <w:rFonts w:ascii="Times New Roman" w:hAnsi="Times New Roman"/>
          <w:sz w:val="22"/>
          <w:szCs w:val="22"/>
          <w:lang w:eastAsia="pt-BR"/>
        </w:rPr>
        <w:fldChar w:fldCharType="end"/>
      </w:r>
      <w:r>
        <w:rPr>
          <w:rFonts w:ascii="Times New Roman" w:hAnsi="Times New Roman" w:cs="Times New Roman"/>
          <w:sz w:val="22"/>
          <w:szCs w:val="22"/>
          <w:lang w:eastAsia="pt-BR"/>
        </w:rPr>
        <w:t>.</w:t>
      </w:r>
    </w:p>
    <w:p>
      <w:pPr>
        <w:pStyle w:val="60"/>
        <w:numPr>
          <w:ilvl w:val="1"/>
          <w:numId w:val="12"/>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cancelamento/revogação do registro, assegurados o contraditório e a ampla defesa, deverá ser formalizado mediante competente processo administrativo com despacho fundamentado da autoridade competente do ÓRGÃO GERENCIADOR, mediante registro em termo de cancelamento/revogação assinado pelas partes interessadas.</w:t>
      </w:r>
    </w:p>
    <w:p>
      <w:pPr>
        <w:pStyle w:val="60"/>
        <w:numPr>
          <w:ilvl w:val="1"/>
          <w:numId w:val="12"/>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Havendo cancelamento/revogação do registro, não caberá a aplicação de qualquer espécie de sanção administrativa ao titular do registro.</w:t>
      </w:r>
    </w:p>
    <w:p>
      <w:pPr>
        <w:pStyle w:val="60"/>
        <w:numPr>
          <w:ilvl w:val="1"/>
          <w:numId w:val="12"/>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cancelamento/revogação do registro na hipótese do fornecedor recusar-se a retirar e assinar a nota de empenho ou instrumento contratual no prazo estabelecido, não poderá ser aceita em prejuízo ao interesse público.</w:t>
      </w:r>
    </w:p>
    <w:p>
      <w:pPr>
        <w:pStyle w:val="60"/>
        <w:numPr>
          <w:ilvl w:val="1"/>
          <w:numId w:val="12"/>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rescisão do registro de preços será determinada em decisão unilateral e fundamentada do ÓRGÃO GERENCIADOR, garantido o contraditório e a ampla defesa em processo administrativo.</w:t>
      </w:r>
    </w:p>
    <w:p>
      <w:pPr>
        <w:pStyle w:val="60"/>
        <w:numPr>
          <w:ilvl w:val="1"/>
          <w:numId w:val="12"/>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rescisão do registro de preços poderá ensejar a abertura de procedimento de apuração da responsabilidade e aplicação de sanções administrativas em face do titular do registro.</w:t>
      </w:r>
    </w:p>
    <w:p>
      <w:pPr>
        <w:pStyle w:val="60"/>
        <w:numPr>
          <w:ilvl w:val="0"/>
          <w:numId w:val="12"/>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DISPOSIÇÕES FINAIS</w:t>
      </w:r>
    </w:p>
    <w:p>
      <w:pPr>
        <w:pStyle w:val="60"/>
        <w:numPr>
          <w:ilvl w:val="1"/>
          <w:numId w:val="12"/>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Os casos omissos desta ARP serão resolvidos de acordo com a legislação vigente, particularmente com a </w:t>
      </w:r>
      <w:r>
        <w:fldChar w:fldCharType="begin"/>
      </w:r>
      <w:r>
        <w:instrText xml:space="preserve"> HYPERLINK "https://www.planalto.gov.br/ccivil_03/_ato2019-2022/2021/lei/l14133.htm" \h </w:instrText>
      </w:r>
      <w:r>
        <w:fldChar w:fldCharType="separate"/>
      </w:r>
      <w:r>
        <w:rPr>
          <w:rStyle w:val="54"/>
          <w:rFonts w:ascii="Times New Roman" w:hAnsi="Times New Roman"/>
          <w:sz w:val="22"/>
          <w:szCs w:val="22"/>
          <w:lang w:eastAsia="pt-BR"/>
        </w:rPr>
        <w:t>Lei Federal nº 14.133, de 2021</w:t>
      </w:r>
      <w:r>
        <w:rPr>
          <w:rStyle w:val="54"/>
          <w:rFonts w:ascii="Times New Roman" w:hAnsi="Times New Roman"/>
          <w:sz w:val="22"/>
          <w:szCs w:val="22"/>
          <w:lang w:eastAsia="pt-BR"/>
        </w:rPr>
        <w:fldChar w:fldCharType="end"/>
      </w:r>
      <w:r>
        <w:rPr>
          <w:rStyle w:val="54"/>
          <w:rFonts w:ascii="Times New Roman" w:hAnsi="Times New Roman" w:cs="Times New Roman"/>
          <w:sz w:val="22"/>
          <w:szCs w:val="22"/>
          <w:lang w:eastAsia="pt-BR"/>
        </w:rPr>
        <w:t>.</w:t>
      </w:r>
    </w:p>
    <w:p>
      <w:pPr>
        <w:tabs>
          <w:tab w:val="left" w:pos="1134"/>
          <w:tab w:val="left" w:pos="3001"/>
        </w:tabs>
        <w:spacing w:before="120" w:after="120" w:line="240" w:lineRule="auto"/>
        <w:jc w:val="both"/>
        <w:rPr>
          <w:rFonts w:ascii="Times New Roman" w:hAnsi="Times New Roman" w:cs="Times New Roman"/>
          <w:sz w:val="22"/>
          <w:szCs w:val="22"/>
          <w:lang w:eastAsia="pt-BR"/>
        </w:rPr>
      </w:pPr>
    </w:p>
    <w:p>
      <w:pPr>
        <w:tabs>
          <w:tab w:val="left" w:pos="1134"/>
          <w:tab w:val="left" w:pos="3001"/>
        </w:tabs>
        <w:spacing w:before="120" w:after="120" w:line="240" w:lineRule="auto"/>
        <w:ind w:firstLine="567"/>
        <w:jc w:val="right"/>
        <w:rPr>
          <w:rFonts w:ascii="Times New Roman" w:hAnsi="Times New Roman"/>
          <w:sz w:val="22"/>
          <w:szCs w:val="22"/>
        </w:rPr>
      </w:pPr>
      <w:r>
        <w:rPr>
          <w:rFonts w:ascii="Times New Roman" w:hAnsi="Times New Roman" w:cs="Times New Roman"/>
          <w:sz w:val="22"/>
          <w:szCs w:val="22"/>
          <w:lang w:eastAsia="pt-BR"/>
        </w:rPr>
        <w:t xml:space="preserve">Primavera do Leste - </w:t>
      </w:r>
      <w:r>
        <w:rPr>
          <w:rFonts w:ascii="Times New Roman" w:hAnsi="Times New Roman" w:cs="Times New Roman"/>
          <w:sz w:val="22"/>
          <w:szCs w:val="22"/>
          <w:shd w:val="clear" w:fill="auto"/>
          <w:lang w:eastAsia="pt-BR"/>
        </w:rPr>
        <w:t>MT, em ______, de  __________de ______.</w:t>
      </w:r>
    </w:p>
    <w:p>
      <w:pPr>
        <w:tabs>
          <w:tab w:val="left" w:pos="3001"/>
        </w:tabs>
        <w:rPr>
          <w:rFonts w:ascii="Times New Roman" w:hAnsi="Times New Roman" w:eastAsiaTheme="minorHAnsi" w:cstheme="minorBidi"/>
          <w:sz w:val="22"/>
          <w:szCs w:val="22"/>
          <w:highlight w:val="none"/>
          <w:shd w:val="clear" w:fill="auto"/>
          <w:lang w:eastAsia="pt-BR"/>
        </w:rPr>
      </w:pPr>
    </w:p>
    <w:p>
      <w:pPr>
        <w:tabs>
          <w:tab w:val="left" w:pos="3001"/>
        </w:tabs>
        <w:rPr>
          <w:rFonts w:ascii="Times New Roman" w:hAnsi="Times New Roman"/>
          <w:sz w:val="22"/>
          <w:szCs w:val="22"/>
          <w:lang w:eastAsia="pt-BR"/>
        </w:rPr>
      </w:pPr>
    </w:p>
    <w:tbl>
      <w:tblPr>
        <w:tblStyle w:val="42"/>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5"/>
        <w:gridCol w:w="4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5" w:type="dxa"/>
            <w:tcBorders>
              <w:top w:val="nil"/>
              <w:left w:val="nil"/>
              <w:bottom w:val="nil"/>
              <w:right w:val="nil"/>
            </w:tcBorders>
          </w:tcPr>
          <w:p>
            <w:pPr>
              <w:widowControl/>
              <w:tabs>
                <w:tab w:val="left" w:pos="3001"/>
              </w:tabs>
              <w:suppressAutoHyphens/>
              <w:spacing w:before="0" w:after="0" w:line="240" w:lineRule="auto"/>
              <w:jc w:val="left"/>
              <w:rPr>
                <w:rFonts w:ascii="Times New Roman" w:hAnsi="Times New Roman"/>
                <w:sz w:val="22"/>
                <w:szCs w:val="22"/>
              </w:rPr>
            </w:pPr>
            <w:r>
              <w:rPr>
                <w:rFonts w:ascii="Times New Roman" w:hAnsi="Times New Roman" w:eastAsia="Calibri" w:cs="Times New Roman"/>
                <w:kern w:val="0"/>
                <w:sz w:val="22"/>
                <w:szCs w:val="22"/>
                <w:lang w:val="pt-BR" w:eastAsia="pt-BR" w:bidi="ar-SA"/>
              </w:rPr>
              <w:t>Assinatura de Representante da Câmara</w:t>
            </w:r>
          </w:p>
        </w:tc>
        <w:tc>
          <w:tcPr>
            <w:tcW w:w="4465" w:type="dxa"/>
            <w:tcBorders>
              <w:top w:val="nil"/>
              <w:left w:val="nil"/>
              <w:bottom w:val="nil"/>
              <w:right w:val="nil"/>
            </w:tcBorders>
          </w:tcPr>
          <w:p>
            <w:pPr>
              <w:widowControl/>
              <w:tabs>
                <w:tab w:val="left" w:pos="3001"/>
              </w:tabs>
              <w:suppressAutoHyphens/>
              <w:spacing w:before="0" w:after="0" w:line="240" w:lineRule="auto"/>
              <w:jc w:val="left"/>
              <w:rPr>
                <w:rFonts w:ascii="Times New Roman" w:hAnsi="Times New Roman"/>
                <w:sz w:val="22"/>
                <w:szCs w:val="22"/>
              </w:rPr>
            </w:pPr>
            <w:r>
              <w:rPr>
                <w:rFonts w:ascii="Times New Roman" w:hAnsi="Times New Roman" w:eastAsia="Calibri" w:cs="Times New Roman"/>
                <w:kern w:val="0"/>
                <w:sz w:val="22"/>
                <w:szCs w:val="22"/>
                <w:lang w:val="pt-BR" w:eastAsia="pt-BR" w:bidi="ar-SA"/>
              </w:rPr>
              <w:t>Assinatura de Representante do Fornecedor</w:t>
            </w:r>
          </w:p>
        </w:tc>
      </w:tr>
    </w:tbl>
    <w:p>
      <w:pPr>
        <w:tabs>
          <w:tab w:val="left" w:pos="3001"/>
        </w:tabs>
        <w:rPr>
          <w:rFonts w:ascii="Times New Roman" w:hAnsi="Times New Roman"/>
          <w:sz w:val="22"/>
          <w:szCs w:val="22"/>
          <w:lang w:eastAsia="pt-BR"/>
        </w:rPr>
      </w:pPr>
    </w:p>
    <w:p>
      <w:pPr>
        <w:rPr>
          <w:rFonts w:ascii="Times New Roman" w:hAnsi="Times New Roman"/>
          <w:sz w:val="22"/>
          <w:szCs w:val="22"/>
          <w:lang w:eastAsia="pt-BR"/>
        </w:rPr>
      </w:pPr>
      <w:r>
        <w:br w:type="page"/>
      </w:r>
    </w:p>
    <w:p>
      <w:pPr>
        <w:tabs>
          <w:tab w:val="left" w:pos="3001"/>
        </w:tabs>
        <w:spacing w:before="0" w:after="120" w:line="240" w:lineRule="auto"/>
        <w:jc w:val="center"/>
        <w:rPr>
          <w:rFonts w:ascii="Times New Roman" w:hAnsi="Times New Roman"/>
          <w:sz w:val="22"/>
          <w:szCs w:val="22"/>
        </w:rPr>
      </w:pPr>
      <w:r>
        <w:rPr>
          <w:rFonts w:ascii="Times New Roman" w:hAnsi="Times New Roman" w:cs="Times New Roman"/>
          <w:b/>
          <w:bCs/>
          <w:sz w:val="22"/>
          <w:szCs w:val="22"/>
          <w:u w:val="single"/>
          <w:lang w:eastAsia="pt-BR"/>
        </w:rPr>
        <w:t>ANEXO A - CADASTRO DE RESERVA</w:t>
      </w:r>
    </w:p>
    <w:p>
      <w:pPr>
        <w:tabs>
          <w:tab w:val="left" w:pos="3001"/>
        </w:tabs>
        <w:spacing w:before="120" w:after="120" w:line="240" w:lineRule="auto"/>
        <w:rPr>
          <w:rFonts w:ascii="Times New Roman" w:hAnsi="Times New Roman"/>
          <w:sz w:val="22"/>
          <w:szCs w:val="22"/>
        </w:rPr>
      </w:pPr>
      <w:r>
        <w:rPr>
          <w:rFonts w:ascii="Times New Roman" w:hAnsi="Times New Roman" w:cs="Times New Roman"/>
          <w:b/>
          <w:bCs/>
          <w:sz w:val="22"/>
          <w:szCs w:val="22"/>
          <w:u w:val="single"/>
          <w:lang w:eastAsia="pt-BR"/>
        </w:rPr>
        <w:t>2ª Classificada</w:t>
      </w:r>
      <w:r>
        <w:rPr>
          <w:rFonts w:ascii="Times New Roman" w:hAnsi="Times New Roman" w:cs="Times New Roman"/>
          <w:b/>
          <w:bCs/>
          <w:sz w:val="22"/>
          <w:szCs w:val="22"/>
          <w:lang w:eastAsia="pt-BR"/>
        </w:rPr>
        <w:t>:</w:t>
      </w:r>
    </w:p>
    <w:tbl>
      <w:tblPr>
        <w:tblStyle w:val="42"/>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3"/>
        <w:gridCol w:w="2560"/>
        <w:gridCol w:w="1134"/>
        <w:gridCol w:w="1418"/>
        <w:gridCol w:w="851"/>
        <w:gridCol w:w="850"/>
        <w:gridCol w:w="85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9066" w:type="dxa"/>
            <w:gridSpan w:val="8"/>
            <w:shd w:val="clear" w:color="auto" w:fill="A5A5A5" w:themeFill="background1" w:themeFillShade="A6"/>
          </w:tcPr>
          <w:p>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Empresa: XXX - CNPJ: XXX</w:t>
            </w:r>
          </w:p>
          <w:p>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Representante Legal: XXX</w:t>
            </w:r>
          </w:p>
          <w:p>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Telefone: (XX) XXXX-XXXX - E-mail: XXX</w:t>
            </w:r>
          </w:p>
          <w:p>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Endereço: 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553"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Item</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T.R.</w:t>
            </w:r>
          </w:p>
        </w:tc>
        <w:tc>
          <w:tcPr>
            <w:tcW w:w="2560"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Especificação</w:t>
            </w:r>
          </w:p>
        </w:tc>
        <w:tc>
          <w:tcPr>
            <w:tcW w:w="1134"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Marca</w:t>
            </w:r>
          </w:p>
        </w:tc>
        <w:tc>
          <w:tcPr>
            <w:tcW w:w="1418"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Modelo</w:t>
            </w:r>
          </w:p>
        </w:tc>
        <w:tc>
          <w:tcPr>
            <w:tcW w:w="851"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Unidade</w:t>
            </w:r>
          </w:p>
        </w:tc>
        <w:tc>
          <w:tcPr>
            <w:tcW w:w="850"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Qtde</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Máxima</w:t>
            </w:r>
          </w:p>
        </w:tc>
        <w:tc>
          <w:tcPr>
            <w:tcW w:w="855"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Qtde</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Mínima</w:t>
            </w:r>
          </w:p>
        </w:tc>
        <w:tc>
          <w:tcPr>
            <w:tcW w:w="845"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Valor</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Unitário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3"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2560"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134"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418"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1"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0"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5"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45"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3"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2560"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134"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418"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1"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0"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5"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45"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r>
    </w:tbl>
    <w:p>
      <w:pPr>
        <w:tabs>
          <w:tab w:val="left" w:pos="3001"/>
        </w:tabs>
        <w:rPr>
          <w:rFonts w:ascii="Times New Roman" w:hAnsi="Times New Roman" w:cs="Times New Roman"/>
          <w:sz w:val="22"/>
          <w:szCs w:val="22"/>
          <w:highlight w:val="none"/>
          <w:lang w:eastAsia="pt-BR"/>
        </w:rPr>
      </w:pPr>
    </w:p>
    <w:p>
      <w:pPr>
        <w:tabs>
          <w:tab w:val="left" w:pos="3001"/>
        </w:tabs>
        <w:spacing w:before="120" w:after="120" w:line="240" w:lineRule="auto"/>
        <w:rPr>
          <w:rFonts w:ascii="Times New Roman" w:hAnsi="Times New Roman"/>
          <w:sz w:val="22"/>
          <w:szCs w:val="22"/>
          <w:highlight w:val="none"/>
        </w:rPr>
      </w:pPr>
      <w:r>
        <w:rPr>
          <w:rFonts w:ascii="Times New Roman" w:hAnsi="Times New Roman" w:cs="Times New Roman"/>
          <w:b/>
          <w:bCs/>
          <w:sz w:val="22"/>
          <w:szCs w:val="22"/>
          <w:highlight w:val="none"/>
          <w:u w:val="single"/>
          <w:lang w:eastAsia="pt-BR"/>
        </w:rPr>
        <w:t>3ª Classificada</w:t>
      </w:r>
      <w:r>
        <w:rPr>
          <w:rFonts w:ascii="Times New Roman" w:hAnsi="Times New Roman" w:cs="Times New Roman"/>
          <w:b/>
          <w:bCs/>
          <w:sz w:val="22"/>
          <w:szCs w:val="22"/>
          <w:highlight w:val="none"/>
          <w:lang w:eastAsia="pt-BR"/>
        </w:rPr>
        <w:t>:</w:t>
      </w:r>
    </w:p>
    <w:tbl>
      <w:tblPr>
        <w:tblStyle w:val="42"/>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3"/>
        <w:gridCol w:w="2560"/>
        <w:gridCol w:w="1134"/>
        <w:gridCol w:w="1418"/>
        <w:gridCol w:w="851"/>
        <w:gridCol w:w="850"/>
        <w:gridCol w:w="85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9066" w:type="dxa"/>
            <w:gridSpan w:val="8"/>
            <w:shd w:val="clear" w:color="auto" w:fill="A5A5A5" w:themeFill="background1" w:themeFillShade="A6"/>
          </w:tcPr>
          <w:p>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Empresa: XXX - CNPJ: XXX</w:t>
            </w:r>
          </w:p>
          <w:p>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Representante Legal: XXX</w:t>
            </w:r>
          </w:p>
          <w:p>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Telefone: (XX) XXXX-XXXX - E-mail: XXX</w:t>
            </w:r>
          </w:p>
          <w:p>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Endereço: 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553"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Item</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T.R.</w:t>
            </w:r>
          </w:p>
        </w:tc>
        <w:tc>
          <w:tcPr>
            <w:tcW w:w="2560"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Especificação</w:t>
            </w:r>
          </w:p>
        </w:tc>
        <w:tc>
          <w:tcPr>
            <w:tcW w:w="1134"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Marca</w:t>
            </w:r>
          </w:p>
        </w:tc>
        <w:tc>
          <w:tcPr>
            <w:tcW w:w="1418"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Modelo</w:t>
            </w:r>
          </w:p>
        </w:tc>
        <w:tc>
          <w:tcPr>
            <w:tcW w:w="851"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Unidade</w:t>
            </w:r>
          </w:p>
        </w:tc>
        <w:tc>
          <w:tcPr>
            <w:tcW w:w="850"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Qtde</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Máxima</w:t>
            </w:r>
          </w:p>
        </w:tc>
        <w:tc>
          <w:tcPr>
            <w:tcW w:w="855"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Qtde</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Mínima</w:t>
            </w:r>
          </w:p>
        </w:tc>
        <w:tc>
          <w:tcPr>
            <w:tcW w:w="845"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Valor</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Unitário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3"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2560"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134"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418"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1"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0"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5"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45"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3"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2560"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134"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418"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1"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0"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5"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45"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r>
    </w:tbl>
    <w:p>
      <w:pPr>
        <w:tabs>
          <w:tab w:val="left" w:pos="3001"/>
        </w:tabs>
        <w:rPr>
          <w:rFonts w:ascii="Times New Roman" w:hAnsi="Times New Roman" w:cs="Times New Roman"/>
          <w:sz w:val="22"/>
          <w:szCs w:val="22"/>
          <w:lang w:eastAsia="pt-BR"/>
        </w:rPr>
      </w:pPr>
    </w:p>
    <w:p>
      <w:pPr>
        <w:rPr>
          <w:rFonts w:ascii="Times New Roman" w:hAnsi="Times New Roman" w:cs="Times New Roman"/>
          <w:sz w:val="22"/>
          <w:szCs w:val="22"/>
          <w:lang w:eastAsia="pt-BR"/>
        </w:rPr>
      </w:pPr>
      <w:r>
        <w:br w:type="page"/>
      </w:r>
    </w:p>
    <w:p>
      <w:pPr>
        <w:pStyle w:val="2"/>
        <w:numPr>
          <w:ilvl w:val="0"/>
          <w:numId w:val="0"/>
        </w:numPr>
        <w:spacing w:before="0" w:after="120"/>
        <w:ind w:left="0" w:firstLine="0"/>
        <w:jc w:val="center"/>
        <w:rPr>
          <w:rFonts w:hint="default" w:ascii="Times New Roman" w:hAnsi="Times New Roman" w:cs="Times New Roman"/>
          <w:sz w:val="22"/>
          <w:szCs w:val="22"/>
        </w:rPr>
      </w:pPr>
      <w:bookmarkStart w:id="71" w:name="_Toc149517470"/>
      <w:r>
        <w:rPr>
          <w:rFonts w:hint="default" w:ascii="Times New Roman" w:hAnsi="Times New Roman" w:cs="Times New Roman"/>
          <w:sz w:val="22"/>
          <w:szCs w:val="22"/>
        </w:rPr>
        <w:t>ANEXO V – MINUTA DO INSTRUMENTO DE CONTRATO</w:t>
      </w:r>
      <w:bookmarkEnd w:id="71"/>
    </w:p>
    <w:p>
      <w:pPr>
        <w:pBdr>
          <w:top w:val="single" w:color="000000" w:sz="4" w:space="1"/>
          <w:left w:val="single" w:color="000000" w:sz="4" w:space="4"/>
          <w:bottom w:val="single" w:color="000000" w:sz="4" w:space="1"/>
          <w:right w:val="single" w:color="000000" w:sz="4" w:space="4"/>
        </w:pBdr>
        <w:shd w:val="clear" w:color="auto" w:fill="BEBEBE" w:themeFill="background1" w:themeFillShade="BF"/>
        <w:spacing w:before="360" w:after="0" w:line="240" w:lineRule="auto"/>
        <w:jc w:val="center"/>
        <w:rPr>
          <w:rFonts w:ascii="Times New Roman" w:hAnsi="Times New Roman"/>
          <w:sz w:val="22"/>
          <w:szCs w:val="22"/>
        </w:rPr>
      </w:pPr>
      <w:r>
        <w:rPr>
          <w:rFonts w:ascii="Times New Roman" w:hAnsi="Times New Roman" w:cs="Times New Roman"/>
          <w:b/>
          <w:bCs/>
          <w:color w:val="000000"/>
          <w:sz w:val="22"/>
          <w:szCs w:val="22"/>
        </w:rPr>
        <w:t>MINUTA DO CONTRATO Nº _____ / 2024</w:t>
      </w:r>
    </w:p>
    <w:p>
      <w:pPr>
        <w:pStyle w:val="124"/>
        <w:spacing w:before="600" w:after="600" w:line="240" w:lineRule="auto"/>
        <w:ind w:left="4253" w:right="0"/>
        <w:rPr>
          <w:rFonts w:ascii="Times New Roman" w:hAnsi="Times New Roman"/>
          <w:sz w:val="22"/>
          <w:szCs w:val="22"/>
        </w:rPr>
      </w:pPr>
      <w:r>
        <w:rPr>
          <w:rFonts w:ascii="Times New Roman" w:hAnsi="Times New Roman" w:cs="Times New Roman"/>
          <w:bCs w:val="0"/>
          <w:sz w:val="22"/>
          <w:szCs w:val="22"/>
        </w:rPr>
        <w:t xml:space="preserve">MINUTA DO CONTRATO ADMINISTRATIVO Nº ________/2024, de serviços de  </w:t>
      </w:r>
      <w:r>
        <w:rPr>
          <w:rFonts w:ascii="Times New Roman" w:hAnsi="Times New Roman" w:cs="Times New Roman"/>
          <w:color w:val="000000"/>
          <w:sz w:val="22"/>
          <w:szCs w:val="22"/>
        </w:rPr>
        <w:t>(Processo Administrativo n° 0</w:t>
      </w:r>
      <w:r>
        <w:rPr>
          <w:rFonts w:hint="default" w:ascii="Times New Roman" w:hAnsi="Times New Roman" w:cs="Times New Roman"/>
          <w:color w:val="000000"/>
          <w:sz w:val="22"/>
          <w:szCs w:val="22"/>
          <w:lang w:val="pt-BR"/>
        </w:rPr>
        <w:t>13</w:t>
      </w:r>
      <w:r>
        <w:rPr>
          <w:rFonts w:ascii="Times New Roman" w:hAnsi="Times New Roman" w:cs="Times New Roman"/>
          <w:color w:val="000000"/>
          <w:sz w:val="22"/>
          <w:szCs w:val="22"/>
        </w:rPr>
        <w:t>/2024</w:t>
      </w:r>
      <w:r>
        <w:rPr>
          <w:rFonts w:ascii="Times New Roman" w:hAnsi="Times New Roman" w:cs="Times New Roman"/>
          <w:sz w:val="22"/>
          <w:szCs w:val="22"/>
        </w:rPr>
        <w:t>)</w:t>
      </w:r>
      <w:r>
        <w:rPr>
          <w:rFonts w:ascii="Times New Roman" w:hAnsi="Times New Roman" w:cs="Times New Roman"/>
          <w:bCs w:val="0"/>
          <w:sz w:val="22"/>
          <w:szCs w:val="22"/>
        </w:rPr>
        <w:t>.</w:t>
      </w:r>
    </w:p>
    <w:p>
      <w:pPr>
        <w:spacing w:before="120" w:after="120"/>
        <w:ind w:firstLine="1134"/>
        <w:jc w:val="both"/>
      </w:pPr>
      <w:r>
        <w:rPr>
          <w:rFonts w:ascii="Times New Roman" w:hAnsi="Times New Roman" w:eastAsia="Arial" w:cs="Times New Roman"/>
          <w:b/>
          <w:bCs/>
          <w:sz w:val="22"/>
          <w:szCs w:val="22"/>
          <w:shd w:val="clear" w:fill="auto"/>
          <w:lang w:eastAsia="pt-BR"/>
        </w:rPr>
        <w:t>O MUNICÍPIO DE PRIMAVERA DO LESTE - MT</w:t>
      </w:r>
      <w:r>
        <w:rPr>
          <w:rFonts w:ascii="Times New Roman" w:hAnsi="Times New Roman" w:eastAsia="Arial" w:cs="Times New Roman"/>
          <w:b w:val="0"/>
          <w:bCs w:val="0"/>
          <w:sz w:val="22"/>
          <w:szCs w:val="22"/>
          <w:shd w:val="clear" w:fill="auto"/>
          <w:lang w:eastAsia="pt-BR"/>
        </w:rPr>
        <w:t xml:space="preserve">, por intermédio da </w:t>
      </w:r>
      <w:r>
        <w:rPr>
          <w:rFonts w:ascii="Times New Roman" w:hAnsi="Times New Roman" w:eastAsia="Arial" w:cs="Times New Roman"/>
          <w:b/>
          <w:bCs/>
          <w:sz w:val="22"/>
          <w:szCs w:val="22"/>
          <w:shd w:val="clear" w:fill="auto"/>
          <w:lang w:eastAsia="pt-BR"/>
        </w:rPr>
        <w:t>CÂMARA MUNICIPAL</w:t>
      </w:r>
      <w:r>
        <w:rPr>
          <w:rFonts w:ascii="Times New Roman" w:hAnsi="Times New Roman" w:eastAsia="Arial" w:cs="Arial"/>
          <w:sz w:val="22"/>
          <w:szCs w:val="22"/>
          <w:shd w:val="clear" w:fill="auto"/>
          <w:lang w:eastAsia="pt-BR"/>
        </w:rPr>
        <w:t xml:space="preserve">, inscrita no CGC/CNPJ MF com o n. 24.672.727/0001-83, com sede na Avenida Primavera nº. 300 CEP: 78.850-000 Primavera do Leste - MT, neste ato representado pelo Vereador Presidente </w:t>
      </w:r>
      <w:r>
        <w:rPr>
          <w:rFonts w:ascii="Times New Roman" w:hAnsi="Times New Roman" w:cs="Arial" w:eastAsiaTheme="minorHAnsi"/>
          <w:sz w:val="22"/>
          <w:szCs w:val="22"/>
          <w:shd w:val="clear" w:fill="auto"/>
          <w:lang w:eastAsia="en-US"/>
        </w:rPr>
        <w:t>Valdecir Alventino da Silva</w:t>
      </w:r>
      <w:r>
        <w:rPr>
          <w:rFonts w:ascii="Times New Roman" w:hAnsi="Times New Roman" w:eastAsia="Arial" w:cs="Times New Roman"/>
          <w:sz w:val="22"/>
          <w:szCs w:val="22"/>
          <w:shd w:val="clear" w:fill="auto"/>
        </w:rPr>
        <w:t xml:space="preserve">,  </w:t>
      </w:r>
      <w:r>
        <w:rPr>
          <w:rFonts w:ascii="Times New Roman" w:hAnsi="Times New Roman" w:eastAsia="Arial" w:cs="Times New Roman"/>
          <w:sz w:val="22"/>
          <w:szCs w:val="22"/>
        </w:rPr>
        <w:t xml:space="preserve">doravante denominado </w:t>
      </w:r>
      <w:r>
        <w:rPr>
          <w:rFonts w:ascii="Times New Roman" w:hAnsi="Times New Roman" w:eastAsia="Arial" w:cs="Times New Roman"/>
          <w:b/>
          <w:bCs/>
          <w:sz w:val="22"/>
          <w:szCs w:val="22"/>
        </w:rPr>
        <w:t>CONTRATANTE</w:t>
      </w:r>
      <w:r>
        <w:rPr>
          <w:rFonts w:ascii="Times New Roman" w:hAnsi="Times New Roman" w:eastAsia="Arial" w:cs="Times New Roman"/>
          <w:sz w:val="22"/>
          <w:szCs w:val="22"/>
        </w:rPr>
        <w:t xml:space="preserve">, e a empresa </w:t>
      </w:r>
      <w:r>
        <w:rPr>
          <w:rFonts w:ascii="Times New Roman" w:hAnsi="Times New Roman" w:eastAsia="Arial" w:cs="Times New Roman"/>
          <w:b/>
          <w:bCs/>
          <w:sz w:val="22"/>
          <w:szCs w:val="22"/>
        </w:rPr>
        <w:t>____________________</w:t>
      </w:r>
      <w:r>
        <w:rPr>
          <w:rFonts w:ascii="Times New Roman" w:hAnsi="Times New Roman" w:eastAsia="Arial" w:cs="Times New Roman"/>
          <w:sz w:val="22"/>
          <w:szCs w:val="22"/>
        </w:rPr>
        <w:t xml:space="preserve">, inscrita no CNPJ sob o nº ____________________, sediado(a) na ______________________________ em __________________________ doravante designado </w:t>
      </w:r>
      <w:r>
        <w:rPr>
          <w:rFonts w:ascii="Times New Roman" w:hAnsi="Times New Roman" w:eastAsia="Arial" w:cs="Times New Roman"/>
          <w:b/>
          <w:bCs/>
          <w:sz w:val="22"/>
          <w:szCs w:val="22"/>
        </w:rPr>
        <w:t>CONTRATADA</w:t>
      </w:r>
      <w:r>
        <w:rPr>
          <w:rFonts w:ascii="Times New Roman" w:hAnsi="Times New Roman" w:eastAsia="Arial" w:cs="Times New Roman"/>
          <w:sz w:val="22"/>
          <w:szCs w:val="22"/>
        </w:rPr>
        <w:t>, neste ato representado(a) por XXXXXXXXXXX (nome e função no contratado), conforme atos constitutivos da empresa,</w:t>
      </w:r>
      <w:r>
        <w:rPr>
          <w:rFonts w:ascii="Times New Roman" w:hAnsi="Times New Roman" w:eastAsia="Arial" w:cs="Times New Roman"/>
          <w:i/>
          <w:iCs/>
          <w:color w:val="FF0000"/>
          <w:sz w:val="22"/>
          <w:szCs w:val="22"/>
        </w:rPr>
        <w:t xml:space="preserve"> </w:t>
      </w:r>
      <w:r>
        <w:rPr>
          <w:rFonts w:ascii="Times New Roman" w:hAnsi="Times New Roman" w:eastAsia="Arial" w:cs="Times New Roman"/>
          <w:sz w:val="22"/>
          <w:szCs w:val="22"/>
        </w:rPr>
        <w:t xml:space="preserve">tendo em vista o que consta no Processo Administrativo SEI nº </w:t>
      </w:r>
      <w:r>
        <w:rPr>
          <w:rFonts w:ascii="Times New Roman" w:hAnsi="Times New Roman" w:cs="Times New Roman"/>
          <w:sz w:val="22"/>
          <w:szCs w:val="22"/>
        </w:rPr>
        <w:t xml:space="preserve">05941.2023-3 </w:t>
      </w:r>
      <w:r>
        <w:rPr>
          <w:rFonts w:ascii="Times New Roman" w:hAnsi="Times New Roman" w:eastAsia="Arial" w:cs="Times New Roman"/>
          <w:sz w:val="22"/>
          <w:szCs w:val="22"/>
        </w:rPr>
        <w:t xml:space="preserve">e em observância às disposições da </w:t>
      </w:r>
      <w:r>
        <w:fldChar w:fldCharType="begin"/>
      </w:r>
      <w:r>
        <w:instrText xml:space="preserve"> HYPERLINK "http://www.planalto.gov.br/ccivil_03/_ato2019-2022/2021/lei/L14133.htm" \h </w:instrText>
      </w:r>
      <w:r>
        <w:fldChar w:fldCharType="separate"/>
      </w:r>
      <w:r>
        <w:rPr>
          <w:rStyle w:val="54"/>
          <w:rFonts w:ascii="Times New Roman" w:hAnsi="Times New Roman" w:eastAsia="Arial"/>
          <w:sz w:val="22"/>
          <w:szCs w:val="22"/>
        </w:rPr>
        <w:t>Lei Federal nº 14.133, de 2021</w:t>
      </w:r>
      <w:r>
        <w:rPr>
          <w:rStyle w:val="54"/>
          <w:rFonts w:ascii="Times New Roman" w:hAnsi="Times New Roman" w:eastAsia="Arial"/>
          <w:sz w:val="22"/>
          <w:szCs w:val="22"/>
        </w:rPr>
        <w:fldChar w:fldCharType="end"/>
      </w:r>
      <w:r>
        <w:rPr>
          <w:rFonts w:ascii="Times New Roman" w:hAnsi="Times New Roman" w:eastAsia="Arial" w:cs="Times New Roman"/>
          <w:sz w:val="22"/>
          <w:szCs w:val="22"/>
        </w:rPr>
        <w:t xml:space="preserve">, e demais legislação aplicável, resolvem celebrar o presente Termo de Contrato, decorrente do </w:t>
      </w:r>
      <w:r>
        <w:rPr>
          <w:rFonts w:ascii="Times New Roman" w:hAnsi="Times New Roman" w:eastAsia="Arial" w:cs="Times New Roman"/>
          <w:sz w:val="22"/>
          <w:szCs w:val="22"/>
          <w:lang w:val="pt-BR"/>
        </w:rPr>
        <w:t>Pregão nº 006/2024</w:t>
      </w:r>
      <w:r>
        <w:rPr>
          <w:rFonts w:ascii="Times New Roman" w:hAnsi="Times New Roman" w:eastAsia="Arial" w:cs="Times New Roman"/>
          <w:sz w:val="22"/>
          <w:szCs w:val="22"/>
          <w:shd w:val="clear" w:fill="auto"/>
        </w:rPr>
        <w:t>,</w:t>
      </w:r>
      <w:r>
        <w:rPr>
          <w:rFonts w:ascii="Times New Roman" w:hAnsi="Times New Roman" w:eastAsia="Arial" w:cs="Times New Roman"/>
          <w:sz w:val="22"/>
          <w:szCs w:val="22"/>
        </w:rPr>
        <w:t xml:space="preserve"> mediante as cláusulas e condições a seguir enunciadas.</w:t>
      </w:r>
    </w:p>
    <w:p>
      <w:pPr>
        <w:pStyle w:val="28"/>
        <w:numPr>
          <w:ilvl w:val="0"/>
          <w:numId w:val="13"/>
        </w:numPr>
        <w:pBdr>
          <w:bottom w:val="single" w:color="000000" w:themeColor="dark1" w:sz="4" w:space="1"/>
        </w:pBdr>
        <w:shd w:val="clear" w:color="auto" w:fill="BEBEBE" w:themeFill="background1" w:themeFillShade="BF"/>
        <w:spacing w:before="360" w:beforeAutospacing="0" w:after="0" w:afterAutospacing="0"/>
        <w:jc w:val="both"/>
      </w:pPr>
      <w:r>
        <w:rPr>
          <w:rStyle w:val="12"/>
          <w:color w:val="000000"/>
          <w:sz w:val="22"/>
          <w:szCs w:val="22"/>
        </w:rPr>
        <w:t>OBJETO</w:t>
      </w:r>
      <w:r>
        <w:rPr>
          <w:sz w:val="22"/>
          <w:szCs w:val="22"/>
        </w:rPr>
        <w:t xml:space="preserve"> (</w:t>
      </w:r>
      <w:r>
        <w:fldChar w:fldCharType="begin"/>
      </w:r>
      <w:r>
        <w:rPr>
          <w:rStyle w:val="54"/>
          <w:sz w:val="22"/>
          <w:szCs w:val="22"/>
        </w:rPr>
        <w:instrText xml:space="preserve"> HYPERLINK "http://www.planalto.gov.br/ccivil_03/_ato2019-2022/2021/lei/L14133.htm" \l "art92"</w:instrText>
      </w:r>
      <w:r>
        <w:rPr>
          <w:rStyle w:val="54"/>
          <w:sz w:val="22"/>
          <w:szCs w:val="22"/>
        </w:rPr>
        <w:fldChar w:fldCharType="separate"/>
      </w:r>
      <w:r>
        <w:rPr>
          <w:rStyle w:val="54"/>
          <w:sz w:val="22"/>
          <w:szCs w:val="22"/>
        </w:rPr>
        <w:t>art. 92, I e II</w:t>
      </w:r>
      <w:r>
        <w:rPr>
          <w:rStyle w:val="54"/>
          <w:sz w:val="22"/>
          <w:szCs w:val="22"/>
        </w:rPr>
        <w:fldChar w:fldCharType="end"/>
      </w:r>
      <w:r>
        <w:rPr>
          <w:rStyle w:val="54"/>
          <w:sz w:val="22"/>
          <w:szCs w:val="22"/>
        </w:rPr>
        <w:t>, da Lei Federal nº 14.133, de 2021</w:t>
      </w:r>
      <w:r>
        <w:rPr>
          <w:sz w:val="22"/>
          <w:szCs w:val="22"/>
        </w:rPr>
        <w:t>)</w:t>
      </w:r>
    </w:p>
    <w:p>
      <w:pPr>
        <w:pStyle w:val="28"/>
        <w:numPr>
          <w:ilvl w:val="1"/>
          <w:numId w:val="13"/>
        </w:numPr>
        <w:tabs>
          <w:tab w:val="left" w:pos="993"/>
        </w:tabs>
        <w:spacing w:before="0" w:beforeAutospacing="0" w:after="120" w:afterAutospacing="0"/>
        <w:ind w:left="0" w:firstLine="567"/>
        <w:jc w:val="both"/>
        <w:rPr>
          <w:rFonts w:ascii="Times New Roman" w:hAnsi="Times New Roman"/>
          <w:sz w:val="22"/>
          <w:szCs w:val="22"/>
        </w:rPr>
      </w:pPr>
      <w:r>
        <w:rPr>
          <w:sz w:val="22"/>
          <w:szCs w:val="22"/>
        </w:rPr>
        <w:t>O objeto do presente instrumento é a c</w:t>
      </w:r>
      <w:r>
        <w:rPr>
          <w:color w:val="000000"/>
          <w:sz w:val="22"/>
          <w:szCs w:val="22"/>
        </w:rPr>
        <w:t xml:space="preserve">ontratação, pelo </w:t>
      </w:r>
      <w:r>
        <w:rPr>
          <w:sz w:val="22"/>
          <w:szCs w:val="22"/>
        </w:rPr>
        <w:t xml:space="preserve">Sistema de Registro de Preços, </w:t>
      </w:r>
      <w:r>
        <w:rPr>
          <w:color w:val="000000"/>
          <w:sz w:val="22"/>
          <w:szCs w:val="22"/>
        </w:rPr>
        <w:t xml:space="preserve">de </w:t>
      </w:r>
      <w:r>
        <w:rPr>
          <w:rFonts w:ascii="Times New Roman" w:hAnsi="Times New Roman" w:cs="Times New Roman"/>
          <w:b/>
          <w:bCs/>
          <w:color w:val="000000"/>
          <w:kern w:val="0"/>
          <w:sz w:val="22"/>
          <w:szCs w:val="22"/>
          <w:shd w:val="clear" w:fill="auto"/>
          <w:lang w:val="pt-BR" w:eastAsia="pt-BR" w:bidi="ar-SA"/>
        </w:rPr>
        <w:t>Aquisição de Gêneros Alimentícios, para atender as Sessões Ordinárias, Extraordinárias e Eventos da Câmara Municipal de Primavera do Leste-MT</w:t>
      </w:r>
      <w:r>
        <w:rPr>
          <w:sz w:val="22"/>
          <w:szCs w:val="22"/>
        </w:rPr>
        <w:t xml:space="preserve"> conforme quadro a seguir:</w:t>
      </w:r>
    </w:p>
    <w:tbl>
      <w:tblPr>
        <w:tblStyle w:val="10"/>
        <w:tblW w:w="8921" w:type="dxa"/>
        <w:tblInd w:w="0" w:type="dxa"/>
        <w:tblLayout w:type="fixed"/>
        <w:tblCellMar>
          <w:top w:w="0" w:type="dxa"/>
          <w:left w:w="28" w:type="dxa"/>
          <w:bottom w:w="0" w:type="dxa"/>
          <w:right w:w="28" w:type="dxa"/>
        </w:tblCellMar>
      </w:tblPr>
      <w:tblGrid>
        <w:gridCol w:w="716"/>
        <w:gridCol w:w="1706"/>
        <w:gridCol w:w="1091"/>
        <w:gridCol w:w="1321"/>
        <w:gridCol w:w="1399"/>
        <w:gridCol w:w="1133"/>
        <w:gridCol w:w="1554"/>
      </w:tblGrid>
      <w:tr>
        <w:tblPrEx>
          <w:tblCellMar>
            <w:top w:w="0" w:type="dxa"/>
            <w:left w:w="28" w:type="dxa"/>
            <w:bottom w:w="0" w:type="dxa"/>
            <w:right w:w="28" w:type="dxa"/>
          </w:tblCellMar>
        </w:tblPrEx>
        <w:trPr>
          <w:tblHeader/>
        </w:trPr>
        <w:tc>
          <w:tcPr>
            <w:tcW w:w="716" w:type="dxa"/>
            <w:tcBorders>
              <w:top w:val="single" w:color="000000" w:sz="4" w:space="0"/>
              <w:left w:val="single" w:color="000000" w:sz="4" w:space="0"/>
              <w:bottom w:val="single" w:color="000000" w:sz="6" w:space="0"/>
              <w:right w:val="single" w:color="000000" w:sz="6" w:space="0"/>
            </w:tcBorders>
            <w:shd w:val="clear" w:color="auto" w:fill="BEBEBE" w:themeFill="background1" w:themeFillShade="BF"/>
            <w:vAlign w:val="center"/>
          </w:tcPr>
          <w:p>
            <w:pPr>
              <w:spacing w:before="0" w:after="0" w:line="240" w:lineRule="auto"/>
              <w:jc w:val="center"/>
              <w:rPr>
                <w:rFonts w:ascii="Times New Roman" w:hAnsi="Times New Roman"/>
                <w:sz w:val="22"/>
                <w:szCs w:val="22"/>
                <w:highlight w:val="none"/>
              </w:rPr>
            </w:pPr>
            <w:r>
              <w:rPr>
                <w:rFonts w:ascii="Times New Roman" w:hAnsi="Times New Roman" w:eastAsia="Times New Roman" w:cs="Times New Roman"/>
                <w:b/>
                <w:bCs/>
                <w:color w:val="000000"/>
                <w:sz w:val="22"/>
                <w:szCs w:val="22"/>
                <w:highlight w:val="none"/>
                <w:lang w:eastAsia="pt-BR"/>
              </w:rPr>
              <w:t>Item</w:t>
            </w:r>
          </w:p>
        </w:tc>
        <w:tc>
          <w:tcPr>
            <w:tcW w:w="1706"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pPr>
              <w:spacing w:before="0" w:after="0" w:line="240" w:lineRule="auto"/>
              <w:jc w:val="center"/>
              <w:rPr>
                <w:rFonts w:ascii="Times New Roman" w:hAnsi="Times New Roman"/>
                <w:sz w:val="22"/>
                <w:szCs w:val="22"/>
                <w:highlight w:val="none"/>
              </w:rPr>
            </w:pPr>
            <w:r>
              <w:rPr>
                <w:rFonts w:ascii="Times New Roman" w:hAnsi="Times New Roman" w:eastAsia="Times New Roman" w:cs="Times New Roman"/>
                <w:b/>
                <w:bCs/>
                <w:color w:val="000000"/>
                <w:sz w:val="22"/>
                <w:szCs w:val="22"/>
                <w:highlight w:val="none"/>
                <w:lang w:eastAsia="pt-BR"/>
              </w:rPr>
              <w:t>Especificação</w:t>
            </w:r>
          </w:p>
        </w:tc>
        <w:tc>
          <w:tcPr>
            <w:tcW w:w="1091"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pPr>
              <w:spacing w:before="0" w:after="0" w:line="240" w:lineRule="auto"/>
              <w:jc w:val="center"/>
              <w:rPr>
                <w:rFonts w:ascii="Times New Roman" w:hAnsi="Times New Roman"/>
                <w:sz w:val="22"/>
                <w:szCs w:val="22"/>
                <w:highlight w:val="none"/>
              </w:rPr>
            </w:pPr>
            <w:r>
              <w:rPr>
                <w:rFonts w:ascii="Times New Roman" w:hAnsi="Times New Roman" w:eastAsia="Times New Roman" w:cs="Times New Roman"/>
                <w:b/>
                <w:bCs/>
                <w:color w:val="000000"/>
                <w:sz w:val="22"/>
                <w:szCs w:val="22"/>
                <w:highlight w:val="none"/>
                <w:lang w:eastAsia="pt-BR"/>
              </w:rPr>
              <w:t>Catálogo</w:t>
            </w:r>
          </w:p>
        </w:tc>
        <w:tc>
          <w:tcPr>
            <w:tcW w:w="1321"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pPr>
              <w:spacing w:before="0" w:after="0" w:line="240" w:lineRule="auto"/>
              <w:jc w:val="center"/>
              <w:rPr>
                <w:rFonts w:ascii="Times New Roman" w:hAnsi="Times New Roman"/>
                <w:sz w:val="22"/>
                <w:szCs w:val="22"/>
                <w:highlight w:val="none"/>
              </w:rPr>
            </w:pPr>
            <w:r>
              <w:rPr>
                <w:rFonts w:ascii="Times New Roman" w:hAnsi="Times New Roman" w:eastAsia="Times New Roman" w:cs="Times New Roman"/>
                <w:b/>
                <w:bCs/>
                <w:color w:val="000000"/>
                <w:sz w:val="22"/>
                <w:szCs w:val="22"/>
                <w:highlight w:val="none"/>
                <w:lang w:eastAsia="pt-BR"/>
              </w:rPr>
              <w:t>Unidade de Medida</w:t>
            </w:r>
          </w:p>
        </w:tc>
        <w:tc>
          <w:tcPr>
            <w:tcW w:w="1399"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pPr>
              <w:spacing w:before="0" w:after="0" w:line="240" w:lineRule="auto"/>
              <w:jc w:val="center"/>
              <w:rPr>
                <w:rFonts w:ascii="Times New Roman" w:hAnsi="Times New Roman"/>
                <w:sz w:val="22"/>
                <w:szCs w:val="22"/>
                <w:highlight w:val="none"/>
              </w:rPr>
            </w:pPr>
            <w:r>
              <w:rPr>
                <w:rFonts w:ascii="Times New Roman" w:hAnsi="Times New Roman" w:eastAsia="Times New Roman" w:cs="Times New Roman"/>
                <w:b/>
                <w:bCs/>
                <w:color w:val="000000"/>
                <w:sz w:val="22"/>
                <w:szCs w:val="22"/>
                <w:highlight w:val="none"/>
                <w:lang w:eastAsia="pt-BR"/>
              </w:rPr>
              <w:t>Quantidade Estimada</w:t>
            </w:r>
          </w:p>
        </w:tc>
        <w:tc>
          <w:tcPr>
            <w:tcW w:w="1133"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pPr>
              <w:spacing w:before="0" w:after="0" w:line="240" w:lineRule="auto"/>
              <w:jc w:val="center"/>
              <w:rPr>
                <w:rFonts w:ascii="Times New Roman" w:hAnsi="Times New Roman"/>
                <w:sz w:val="22"/>
                <w:szCs w:val="22"/>
                <w:highlight w:val="none"/>
              </w:rPr>
            </w:pPr>
            <w:r>
              <w:rPr>
                <w:rFonts w:ascii="Times New Roman" w:hAnsi="Times New Roman" w:eastAsia="Times New Roman" w:cs="Times New Roman"/>
                <w:b/>
                <w:bCs/>
                <w:color w:val="000000"/>
                <w:sz w:val="22"/>
                <w:szCs w:val="22"/>
                <w:highlight w:val="none"/>
                <w:lang w:eastAsia="pt-BR"/>
              </w:rPr>
              <w:t>Valor Unitário</w:t>
            </w:r>
          </w:p>
        </w:tc>
        <w:tc>
          <w:tcPr>
            <w:tcW w:w="1554" w:type="dxa"/>
            <w:tcBorders>
              <w:top w:val="single" w:color="000000" w:sz="4" w:space="0"/>
              <w:left w:val="single" w:color="000000" w:sz="6" w:space="0"/>
              <w:bottom w:val="single" w:color="000000" w:sz="6" w:space="0"/>
              <w:right w:val="single" w:color="000000" w:sz="4" w:space="0"/>
            </w:tcBorders>
            <w:shd w:val="clear" w:color="auto" w:fill="BEBEBE" w:themeFill="background1" w:themeFillShade="BF"/>
            <w:vAlign w:val="center"/>
          </w:tcPr>
          <w:p>
            <w:pPr>
              <w:spacing w:before="0" w:after="0" w:line="240" w:lineRule="auto"/>
              <w:jc w:val="center"/>
              <w:rPr>
                <w:rFonts w:ascii="Times New Roman" w:hAnsi="Times New Roman"/>
                <w:sz w:val="22"/>
                <w:szCs w:val="22"/>
                <w:highlight w:val="none"/>
              </w:rPr>
            </w:pPr>
            <w:r>
              <w:rPr>
                <w:rFonts w:ascii="Times New Roman" w:hAnsi="Times New Roman" w:eastAsia="Times New Roman" w:cs="Times New Roman"/>
                <w:b/>
                <w:bCs/>
                <w:color w:val="000000"/>
                <w:sz w:val="22"/>
                <w:szCs w:val="22"/>
                <w:highlight w:val="none"/>
                <w:lang w:eastAsia="pt-BR"/>
              </w:rPr>
              <w:t>Valor Total</w:t>
            </w:r>
          </w:p>
        </w:tc>
      </w:tr>
      <w:tr>
        <w:tblPrEx>
          <w:tblCellMar>
            <w:top w:w="0" w:type="dxa"/>
            <w:left w:w="28" w:type="dxa"/>
            <w:bottom w:w="0" w:type="dxa"/>
            <w:right w:w="28" w:type="dxa"/>
          </w:tblCellMar>
        </w:tblPrEx>
        <w:tc>
          <w:tcPr>
            <w:tcW w:w="716" w:type="dxa"/>
            <w:tcBorders>
              <w:top w:val="single" w:color="000000" w:sz="6" w:space="0"/>
              <w:left w:val="single" w:color="000000" w:sz="4" w:space="0"/>
              <w:bottom w:val="single" w:color="000000" w:sz="4" w:space="0"/>
              <w:right w:val="single" w:color="000000" w:sz="6" w:space="0"/>
            </w:tcBorders>
            <w:vAlign w:val="center"/>
          </w:tcPr>
          <w:p>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Único</w:t>
            </w:r>
          </w:p>
        </w:tc>
        <w:tc>
          <w:tcPr>
            <w:tcW w:w="1706" w:type="dxa"/>
            <w:tcBorders>
              <w:top w:val="single" w:color="000000" w:sz="6" w:space="0"/>
              <w:left w:val="single" w:color="000000" w:sz="6" w:space="0"/>
              <w:bottom w:val="single" w:color="000000" w:sz="4" w:space="0"/>
              <w:right w:val="single" w:color="000000" w:sz="6" w:space="0"/>
            </w:tcBorders>
            <w:vAlign w:val="center"/>
          </w:tcPr>
          <w:p>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XXX</w:t>
            </w:r>
          </w:p>
        </w:tc>
        <w:tc>
          <w:tcPr>
            <w:tcW w:w="1091" w:type="dxa"/>
            <w:tcBorders>
              <w:top w:val="single" w:color="000000" w:sz="6" w:space="0"/>
              <w:left w:val="single" w:color="000000" w:sz="6" w:space="0"/>
              <w:bottom w:val="single" w:color="000000" w:sz="4" w:space="0"/>
              <w:right w:val="single" w:color="000000" w:sz="6" w:space="0"/>
            </w:tcBorders>
            <w:vAlign w:val="center"/>
          </w:tcPr>
          <w:p>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XXX</w:t>
            </w:r>
          </w:p>
        </w:tc>
        <w:tc>
          <w:tcPr>
            <w:tcW w:w="1321" w:type="dxa"/>
            <w:tcBorders>
              <w:top w:val="single" w:color="000000" w:sz="6" w:space="0"/>
              <w:left w:val="single" w:color="000000" w:sz="6" w:space="0"/>
              <w:bottom w:val="single" w:color="000000" w:sz="4" w:space="0"/>
              <w:right w:val="single" w:color="000000" w:sz="6" w:space="0"/>
            </w:tcBorders>
            <w:vAlign w:val="center"/>
          </w:tcPr>
          <w:p>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XXX</w:t>
            </w:r>
          </w:p>
        </w:tc>
        <w:tc>
          <w:tcPr>
            <w:tcW w:w="1399" w:type="dxa"/>
            <w:tcBorders>
              <w:top w:val="single" w:color="000000" w:sz="6" w:space="0"/>
              <w:left w:val="single" w:color="000000" w:sz="6" w:space="0"/>
              <w:bottom w:val="single" w:color="000000" w:sz="4" w:space="0"/>
              <w:right w:val="single" w:color="000000" w:sz="6" w:space="0"/>
            </w:tcBorders>
            <w:vAlign w:val="center"/>
          </w:tcPr>
          <w:p>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XXX</w:t>
            </w:r>
          </w:p>
        </w:tc>
        <w:tc>
          <w:tcPr>
            <w:tcW w:w="1133" w:type="dxa"/>
            <w:tcBorders>
              <w:top w:val="single" w:color="000000" w:sz="6" w:space="0"/>
              <w:left w:val="single" w:color="000000" w:sz="6" w:space="0"/>
              <w:bottom w:val="single" w:color="000000" w:sz="4" w:space="0"/>
              <w:right w:val="single" w:color="000000" w:sz="6" w:space="0"/>
            </w:tcBorders>
            <w:vAlign w:val="center"/>
          </w:tcPr>
          <w:p>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w:t>
            </w:r>
            <w:r>
              <w:rPr>
                <w:rFonts w:ascii="Times New Roman" w:hAnsi="Times New Roman" w:eastAsia="Arial" w:cs="Times New Roman"/>
                <w:color w:val="000000"/>
                <w:sz w:val="22"/>
                <w:szCs w:val="22"/>
                <w:highlight w:val="none"/>
              </w:rPr>
              <w:t>R$ xxxxx</w:t>
            </w:r>
          </w:p>
        </w:tc>
        <w:tc>
          <w:tcPr>
            <w:tcW w:w="1554" w:type="dxa"/>
            <w:tcBorders>
              <w:top w:val="single" w:color="000000" w:sz="6" w:space="0"/>
              <w:left w:val="single" w:color="000000" w:sz="6" w:space="0"/>
              <w:bottom w:val="single" w:color="000000" w:sz="4" w:space="0"/>
              <w:right w:val="single" w:color="000000" w:sz="4" w:space="0"/>
            </w:tcBorders>
            <w:vAlign w:val="center"/>
          </w:tcPr>
          <w:p>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w:t>
            </w:r>
            <w:r>
              <w:rPr>
                <w:rFonts w:ascii="Times New Roman" w:hAnsi="Times New Roman" w:eastAsia="Arial" w:cs="Times New Roman"/>
                <w:color w:val="000000"/>
                <w:sz w:val="22"/>
                <w:szCs w:val="22"/>
                <w:highlight w:val="none"/>
              </w:rPr>
              <w:t>R$xxxxxxx</w:t>
            </w:r>
          </w:p>
        </w:tc>
      </w:tr>
    </w:tbl>
    <w:p>
      <w:pPr>
        <w:pStyle w:val="28"/>
        <w:numPr>
          <w:ilvl w:val="1"/>
          <w:numId w:val="13"/>
        </w:numPr>
        <w:tabs>
          <w:tab w:val="left" w:pos="993"/>
        </w:tabs>
        <w:spacing w:before="120" w:beforeAutospacing="0" w:after="0" w:afterAutospacing="0"/>
        <w:ind w:left="0" w:firstLine="567"/>
        <w:jc w:val="both"/>
        <w:rPr>
          <w:rFonts w:ascii="Times New Roman" w:hAnsi="Times New Roman"/>
          <w:sz w:val="22"/>
          <w:szCs w:val="22"/>
        </w:rPr>
      </w:pPr>
      <w:r>
        <w:rPr>
          <w:sz w:val="22"/>
          <w:szCs w:val="22"/>
          <w:highlight w:val="none"/>
        </w:rPr>
        <w:t>Como a presente contratação</w:t>
      </w:r>
      <w:r>
        <w:rPr>
          <w:sz w:val="22"/>
          <w:szCs w:val="22"/>
        </w:rPr>
        <w:t xml:space="preserve"> é decorrente de Ata de Registro de Preços, poderá haver a emissão de novos empenhos adicionais, dentro da vigência da referida ARP, que serão registrados por intermédio de apostilamento e farão parte integrante do presente contrato.</w:t>
      </w:r>
    </w:p>
    <w:p>
      <w:pPr>
        <w:pStyle w:val="28"/>
        <w:numPr>
          <w:ilvl w:val="1"/>
          <w:numId w:val="13"/>
        </w:numPr>
        <w:tabs>
          <w:tab w:val="left" w:pos="993"/>
        </w:tabs>
        <w:spacing w:before="0" w:beforeAutospacing="0" w:after="0" w:afterAutospacing="0"/>
        <w:ind w:left="0" w:firstLine="567"/>
        <w:jc w:val="both"/>
        <w:rPr>
          <w:rFonts w:ascii="Times New Roman" w:hAnsi="Times New Roman"/>
          <w:sz w:val="22"/>
          <w:szCs w:val="22"/>
        </w:rPr>
      </w:pPr>
      <w:r>
        <w:rPr>
          <w:sz w:val="22"/>
          <w:szCs w:val="22"/>
        </w:rPr>
        <w:t>Fazem parte integrante do presente Termo de Contrato e a ele se vinculam, independentemente de transcrição:</w:t>
      </w:r>
    </w:p>
    <w:p>
      <w:pPr>
        <w:pStyle w:val="28"/>
        <w:numPr>
          <w:ilvl w:val="0"/>
          <w:numId w:val="0"/>
        </w:numPr>
        <w:tabs>
          <w:tab w:val="left" w:pos="993"/>
        </w:tabs>
        <w:spacing w:before="0" w:beforeAutospacing="0" w:after="0" w:afterAutospacing="0"/>
        <w:ind w:left="0" w:firstLine="0"/>
        <w:jc w:val="both"/>
        <w:rPr>
          <w:rFonts w:ascii="Times New Roman" w:hAnsi="Times New Roman"/>
          <w:sz w:val="22"/>
          <w:szCs w:val="22"/>
        </w:rPr>
      </w:pPr>
    </w:p>
    <w:p>
      <w:pPr>
        <w:pStyle w:val="28"/>
        <w:numPr>
          <w:ilvl w:val="2"/>
          <w:numId w:val="13"/>
        </w:numPr>
        <w:tabs>
          <w:tab w:val="left" w:pos="993"/>
        </w:tabs>
        <w:spacing w:before="0" w:beforeAutospacing="0" w:after="0" w:afterAutospacing="0"/>
        <w:ind w:left="1077" w:hanging="357"/>
        <w:jc w:val="both"/>
      </w:pPr>
      <w:r>
        <w:rPr>
          <w:sz w:val="22"/>
          <w:szCs w:val="22"/>
        </w:rPr>
        <w:t xml:space="preserve">O </w:t>
      </w:r>
      <w:r>
        <w:rPr>
          <w:rStyle w:val="45"/>
          <w:color w:val="000000"/>
          <w:sz w:val="22"/>
          <w:szCs w:val="22"/>
        </w:rPr>
        <w:t>Termo de Referência</w:t>
      </w:r>
      <w:r>
        <w:rPr>
          <w:sz w:val="22"/>
          <w:szCs w:val="22"/>
        </w:rPr>
        <w:t>;</w:t>
      </w:r>
    </w:p>
    <w:p>
      <w:pPr>
        <w:pStyle w:val="28"/>
        <w:numPr>
          <w:ilvl w:val="2"/>
          <w:numId w:val="13"/>
        </w:numPr>
        <w:tabs>
          <w:tab w:val="left" w:pos="993"/>
        </w:tabs>
        <w:spacing w:before="0" w:beforeAutospacing="0" w:after="0" w:afterAutospacing="0"/>
        <w:jc w:val="both"/>
        <w:rPr>
          <w:rFonts w:ascii="Times New Roman" w:hAnsi="Times New Roman"/>
          <w:sz w:val="22"/>
          <w:szCs w:val="22"/>
        </w:rPr>
      </w:pPr>
      <w:r>
        <w:rPr>
          <w:sz w:val="22"/>
          <w:szCs w:val="22"/>
        </w:rPr>
        <w:t xml:space="preserve">O Edital do </w:t>
      </w:r>
      <w:r>
        <w:rPr>
          <w:rFonts w:eastAsia="Arial"/>
          <w:sz w:val="22"/>
          <w:szCs w:val="22"/>
          <w:lang w:val="pt-BR"/>
        </w:rPr>
        <w:t>Pregão nº 006/2024</w:t>
      </w:r>
      <w:r>
        <w:rPr>
          <w:rFonts w:eastAsiaTheme="minorHAnsi" w:cstheme="minorBidi"/>
          <w:color w:val="000000"/>
          <w:sz w:val="22"/>
          <w:szCs w:val="22"/>
          <w:shd w:val="clear" w:fill="auto"/>
        </w:rPr>
        <w:t>;</w:t>
      </w:r>
    </w:p>
    <w:p>
      <w:pPr>
        <w:pStyle w:val="28"/>
        <w:numPr>
          <w:ilvl w:val="2"/>
          <w:numId w:val="13"/>
        </w:numPr>
        <w:tabs>
          <w:tab w:val="left" w:pos="993"/>
        </w:tabs>
        <w:spacing w:before="0" w:beforeAutospacing="0" w:after="0" w:afterAutospacing="0"/>
        <w:jc w:val="both"/>
        <w:rPr>
          <w:rFonts w:ascii="Times New Roman" w:hAnsi="Times New Roman"/>
          <w:sz w:val="22"/>
          <w:szCs w:val="22"/>
        </w:rPr>
      </w:pPr>
      <w:r>
        <w:rPr>
          <w:sz w:val="22"/>
          <w:szCs w:val="22"/>
        </w:rPr>
        <w:t>A Proposta da Contratada;</w:t>
      </w:r>
    </w:p>
    <w:p>
      <w:pPr>
        <w:pStyle w:val="28"/>
        <w:numPr>
          <w:ilvl w:val="2"/>
          <w:numId w:val="13"/>
        </w:numPr>
        <w:tabs>
          <w:tab w:val="left" w:pos="993"/>
        </w:tabs>
        <w:spacing w:before="0" w:beforeAutospacing="0" w:after="0" w:afterAutospacing="0"/>
        <w:jc w:val="both"/>
        <w:rPr>
          <w:rFonts w:ascii="Times New Roman" w:hAnsi="Times New Roman"/>
          <w:sz w:val="22"/>
          <w:szCs w:val="22"/>
        </w:rPr>
      </w:pPr>
      <w:r>
        <w:rPr>
          <w:sz w:val="22"/>
          <w:szCs w:val="22"/>
        </w:rPr>
        <w:t xml:space="preserve">As Notas de Empenho emitidas a partir da ARP nº </w:t>
      </w:r>
      <w:r>
        <w:rPr>
          <w:rFonts w:eastAsiaTheme="minorHAnsi" w:cstheme="minorBidi"/>
          <w:sz w:val="22"/>
          <w:szCs w:val="22"/>
          <w:shd w:val="clear" w:fill="auto"/>
        </w:rPr>
        <w:t>003/2024;</w:t>
      </w:r>
    </w:p>
    <w:p>
      <w:pPr>
        <w:pStyle w:val="28"/>
        <w:numPr>
          <w:ilvl w:val="2"/>
          <w:numId w:val="13"/>
        </w:numPr>
        <w:tabs>
          <w:tab w:val="left" w:pos="993"/>
        </w:tabs>
        <w:spacing w:before="0" w:beforeAutospacing="0" w:after="0" w:afterAutospacing="0"/>
        <w:jc w:val="both"/>
        <w:rPr>
          <w:rFonts w:ascii="Times New Roman" w:hAnsi="Times New Roman"/>
          <w:sz w:val="22"/>
          <w:szCs w:val="22"/>
        </w:rPr>
      </w:pPr>
      <w:r>
        <w:rPr>
          <w:sz w:val="22"/>
          <w:szCs w:val="22"/>
        </w:rPr>
        <w:t>Eventuais anexos dos documentos supracitados.</w:t>
      </w:r>
    </w:p>
    <w:p>
      <w:pPr>
        <w:pStyle w:val="28"/>
        <w:numPr>
          <w:ilvl w:val="0"/>
          <w:numId w:val="0"/>
        </w:numPr>
        <w:tabs>
          <w:tab w:val="left" w:pos="993"/>
        </w:tabs>
        <w:spacing w:before="0" w:beforeAutospacing="0" w:after="0" w:afterAutospacing="0"/>
        <w:ind w:left="1080" w:firstLine="0"/>
        <w:jc w:val="both"/>
        <w:rPr>
          <w:rFonts w:ascii="Times New Roman" w:hAnsi="Times New Roman"/>
          <w:sz w:val="22"/>
          <w:szCs w:val="22"/>
        </w:rPr>
      </w:pPr>
    </w:p>
    <w:p>
      <w:pPr>
        <w:pStyle w:val="28"/>
        <w:numPr>
          <w:ilvl w:val="0"/>
          <w:numId w:val="13"/>
        </w:numPr>
        <w:pBdr>
          <w:bottom w:val="single" w:color="000000" w:themeColor="dark1" w:sz="4" w:space="1"/>
        </w:pBdr>
        <w:shd w:val="clear" w:color="auto" w:fill="BEBEBE" w:themeFill="background1" w:themeFillShade="BF"/>
        <w:spacing w:before="0" w:beforeAutospacing="0" w:after="0" w:afterAutospacing="0"/>
        <w:jc w:val="both"/>
      </w:pPr>
      <w:r>
        <w:rPr>
          <w:rStyle w:val="12"/>
          <w:color w:val="000000"/>
          <w:sz w:val="22"/>
          <w:szCs w:val="22"/>
        </w:rPr>
        <w:t>VIGÊNCIA E PRORROGAÇÃO</w:t>
      </w:r>
    </w:p>
    <w:p>
      <w:pPr>
        <w:pStyle w:val="28"/>
        <w:numPr>
          <w:ilvl w:val="1"/>
          <w:numId w:val="13"/>
        </w:numPr>
        <w:tabs>
          <w:tab w:val="left" w:pos="993"/>
        </w:tabs>
        <w:spacing w:before="0" w:beforeAutospacing="0" w:after="0" w:afterAutospacing="0"/>
        <w:ind w:left="0" w:firstLine="567"/>
        <w:jc w:val="both"/>
      </w:pPr>
      <w:r>
        <w:rPr>
          <w:sz w:val="22"/>
          <w:szCs w:val="22"/>
        </w:rPr>
        <w:t>O prazo de vigência da contratação é de 1 (um) ano contado da contratação, sendo automaticamente prorrogado, independentemente de termo aditivo, quando o objeto não for concluído no período firmado acima (</w:t>
      </w:r>
      <w:r>
        <w:fldChar w:fldCharType="begin"/>
      </w:r>
      <w:r>
        <w:rPr>
          <w:rStyle w:val="54"/>
          <w:sz w:val="22"/>
          <w:szCs w:val="22"/>
        </w:rPr>
        <w:instrText xml:space="preserve"> HYPERLINK "http://www.planalto.gov.br/ccivil_03/_ato2019-2022/2021/lei/L14133.htm" \l "art111"</w:instrText>
      </w:r>
      <w:r>
        <w:rPr>
          <w:rStyle w:val="54"/>
          <w:sz w:val="22"/>
          <w:szCs w:val="22"/>
        </w:rPr>
        <w:fldChar w:fldCharType="separate"/>
      </w:r>
      <w:r>
        <w:rPr>
          <w:rStyle w:val="54"/>
          <w:sz w:val="22"/>
          <w:szCs w:val="22"/>
        </w:rPr>
        <w:t>art. 111 da Lei Federal nº 14.133, de 2021</w:t>
      </w:r>
      <w:r>
        <w:rPr>
          <w:rStyle w:val="54"/>
          <w:sz w:val="22"/>
          <w:szCs w:val="22"/>
        </w:rPr>
        <w:fldChar w:fldCharType="end"/>
      </w:r>
      <w:r>
        <w:rPr>
          <w:sz w:val="22"/>
          <w:szCs w:val="22"/>
        </w:rPr>
        <w:t>), ressalvadas as providências cabíveis no caso de culpa da Contratada, previstas neste instrumento.</w:t>
      </w:r>
    </w:p>
    <w:p>
      <w:pPr>
        <w:pStyle w:val="28"/>
        <w:numPr>
          <w:ilvl w:val="1"/>
          <w:numId w:val="13"/>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não tem direito subjetivo à prorrogação contratual.</w:t>
      </w:r>
    </w:p>
    <w:p>
      <w:pPr>
        <w:pStyle w:val="28"/>
        <w:numPr>
          <w:ilvl w:val="1"/>
          <w:numId w:val="13"/>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A prorrogação de contrato, sempre que possível, deverá ser promovida mediante celebração de termo aditivo. </w:t>
      </w:r>
    </w:p>
    <w:p>
      <w:pPr>
        <w:pStyle w:val="28"/>
        <w:numPr>
          <w:ilvl w:val="1"/>
          <w:numId w:val="13"/>
        </w:numPr>
        <w:tabs>
          <w:tab w:val="left" w:pos="993"/>
        </w:tabs>
        <w:spacing w:before="0" w:beforeAutospacing="0" w:after="0" w:afterAutospacing="0"/>
        <w:ind w:left="0" w:firstLine="567"/>
        <w:jc w:val="both"/>
        <w:rPr>
          <w:rFonts w:ascii="Times New Roman" w:hAnsi="Times New Roman"/>
          <w:sz w:val="22"/>
          <w:szCs w:val="22"/>
        </w:rPr>
      </w:pPr>
      <w:r>
        <w:rPr>
          <w:sz w:val="22"/>
          <w:szCs w:val="22"/>
        </w:rPr>
        <w:t>Nas eventuais prorrogações contratuais, os custos não renováveis já pagos ou amortizados ao longo do primeiro período de vigência da contratação deverão ser reduzidos ou eliminados como condição para a renovação.</w:t>
      </w:r>
    </w:p>
    <w:p>
      <w:pPr>
        <w:pStyle w:val="28"/>
        <w:numPr>
          <w:ilvl w:val="1"/>
          <w:numId w:val="13"/>
        </w:numPr>
        <w:tabs>
          <w:tab w:val="left" w:pos="993"/>
        </w:tabs>
        <w:spacing w:before="0" w:beforeAutospacing="0" w:after="0" w:afterAutospacing="0"/>
        <w:ind w:left="0" w:firstLine="567"/>
        <w:jc w:val="both"/>
        <w:rPr>
          <w:rFonts w:ascii="Times New Roman" w:hAnsi="Times New Roman"/>
          <w:sz w:val="22"/>
          <w:szCs w:val="22"/>
        </w:rPr>
      </w:pPr>
      <w:r>
        <w:rPr>
          <w:sz w:val="22"/>
          <w:szCs w:val="22"/>
        </w:rPr>
        <w:t>O contrato não poderá ser prorrogado quando a Contratada tiver sido penalizada nas sanções de declaração de inidoneidade ou impedimento de licitar e contratar com poder público, observadas as abrangências de aplicação.</w:t>
      </w:r>
    </w:p>
    <w:p>
      <w:pPr>
        <w:pStyle w:val="28"/>
        <w:numPr>
          <w:ilvl w:val="0"/>
          <w:numId w:val="13"/>
        </w:numPr>
        <w:pBdr>
          <w:bottom w:val="single" w:color="000000" w:themeColor="dark1" w:sz="4" w:space="1"/>
        </w:pBdr>
        <w:shd w:val="clear" w:color="auto" w:fill="BEBEBE" w:themeFill="background1" w:themeFillShade="BF"/>
        <w:spacing w:before="0" w:beforeAutospacing="0" w:after="0" w:afterAutospacing="0"/>
        <w:jc w:val="both"/>
      </w:pPr>
      <w:bookmarkStart w:id="72" w:name="_Hlk114497577"/>
      <w:bookmarkEnd w:id="72"/>
      <w:bookmarkStart w:id="73" w:name="_Hlk114497502"/>
      <w:bookmarkEnd w:id="73"/>
      <w:r>
        <w:rPr>
          <w:rStyle w:val="12"/>
          <w:color w:val="000000"/>
          <w:sz w:val="22"/>
          <w:szCs w:val="22"/>
        </w:rPr>
        <w:t>LEGISLAÇÃO APLICÁVEL</w:t>
      </w:r>
      <w:r>
        <w:rPr>
          <w:sz w:val="22"/>
          <w:szCs w:val="22"/>
        </w:rPr>
        <w:t xml:space="preserve"> (</w:t>
      </w:r>
      <w:r>
        <w:fldChar w:fldCharType="begin"/>
      </w:r>
      <w:r>
        <w:rPr>
          <w:rStyle w:val="54"/>
          <w:sz w:val="22"/>
          <w:szCs w:val="22"/>
        </w:rPr>
        <w:instrText xml:space="preserve"> HYPERLINK "http://www.planalto.gov.br/ccivil_03/_ato2019-2022/2021/lei/L14133.htm" \l "art92"</w:instrText>
      </w:r>
      <w:r>
        <w:rPr>
          <w:rStyle w:val="54"/>
          <w:sz w:val="22"/>
          <w:szCs w:val="22"/>
        </w:rPr>
        <w:fldChar w:fldCharType="separate"/>
      </w:r>
      <w:r>
        <w:rPr>
          <w:rStyle w:val="54"/>
          <w:sz w:val="22"/>
          <w:szCs w:val="22"/>
        </w:rPr>
        <w:t>art. 92, III, da Lei Federal nº 14.133, de 2021)</w:t>
      </w:r>
      <w:r>
        <w:rPr>
          <w:rStyle w:val="54"/>
          <w:sz w:val="22"/>
          <w:szCs w:val="22"/>
        </w:rPr>
        <w:fldChar w:fldCharType="end"/>
      </w:r>
    </w:p>
    <w:p>
      <w:pPr>
        <w:pStyle w:val="28"/>
        <w:numPr>
          <w:ilvl w:val="1"/>
          <w:numId w:val="13"/>
        </w:numPr>
        <w:tabs>
          <w:tab w:val="left" w:pos="993"/>
        </w:tabs>
        <w:spacing w:before="0" w:beforeAutospacing="0" w:after="0" w:afterAutospacing="0"/>
        <w:ind w:left="0" w:firstLine="567"/>
        <w:jc w:val="both"/>
      </w:pPr>
      <w:r>
        <w:rPr>
          <w:sz w:val="22"/>
          <w:szCs w:val="22"/>
        </w:rPr>
        <w:t xml:space="preserve">O presente Termo de Contrato se vincula à </w:t>
      </w:r>
      <w:r>
        <w:fldChar w:fldCharType="begin"/>
      </w:r>
      <w:r>
        <w:instrText xml:space="preserve"> HYPERLINK "http://www.planalto.gov.br/ccivil_03/_ato2019-2022/2021/lei/L14133.htm" \h </w:instrText>
      </w:r>
      <w:r>
        <w:fldChar w:fldCharType="separate"/>
      </w:r>
      <w:r>
        <w:rPr>
          <w:rStyle w:val="54"/>
          <w:sz w:val="22"/>
          <w:szCs w:val="22"/>
        </w:rPr>
        <w:t>Lei Federal nº 14.133, de 2021</w:t>
      </w:r>
      <w:r>
        <w:rPr>
          <w:rStyle w:val="54"/>
          <w:sz w:val="22"/>
          <w:szCs w:val="22"/>
        </w:rPr>
        <w:fldChar w:fldCharType="end"/>
      </w:r>
      <w:r>
        <w:rPr>
          <w:sz w:val="22"/>
          <w:szCs w:val="22"/>
        </w:rPr>
        <w:t>, e, subsidiariamente, às seguintes leis:</w:t>
      </w:r>
    </w:p>
    <w:p>
      <w:pPr>
        <w:pStyle w:val="28"/>
        <w:numPr>
          <w:ilvl w:val="2"/>
          <w:numId w:val="13"/>
        </w:numPr>
        <w:tabs>
          <w:tab w:val="left" w:pos="993"/>
        </w:tabs>
        <w:spacing w:before="0" w:beforeAutospacing="0" w:after="0" w:afterAutospacing="0"/>
        <w:jc w:val="both"/>
      </w:pPr>
      <w:r>
        <w:fldChar w:fldCharType="begin"/>
      </w:r>
      <w:r>
        <w:instrText xml:space="preserve"> HYPERLINK "https://www.planalto.gov.br/ccivil_03/leis/lcp/lcp123.htm" \h </w:instrText>
      </w:r>
      <w:r>
        <w:fldChar w:fldCharType="separate"/>
      </w:r>
      <w:r>
        <w:rPr>
          <w:rStyle w:val="54"/>
          <w:sz w:val="22"/>
          <w:szCs w:val="22"/>
        </w:rPr>
        <w:t>Lei Complementar Federal nº 123, de 2006</w:t>
      </w:r>
      <w:r>
        <w:rPr>
          <w:rStyle w:val="54"/>
          <w:sz w:val="22"/>
          <w:szCs w:val="22"/>
        </w:rPr>
        <w:fldChar w:fldCharType="end"/>
      </w:r>
      <w:r>
        <w:rPr>
          <w:sz w:val="22"/>
          <w:szCs w:val="22"/>
        </w:rPr>
        <w:t xml:space="preserve"> (Estatuto Nacional da Microempresa e Pequena Empresa);</w:t>
      </w:r>
    </w:p>
    <w:p>
      <w:pPr>
        <w:pStyle w:val="28"/>
        <w:numPr>
          <w:ilvl w:val="2"/>
          <w:numId w:val="13"/>
        </w:numPr>
        <w:tabs>
          <w:tab w:val="left" w:pos="993"/>
        </w:tabs>
        <w:spacing w:before="0" w:beforeAutospacing="0" w:after="0" w:afterAutospacing="0"/>
        <w:jc w:val="both"/>
      </w:pPr>
      <w:r>
        <w:fldChar w:fldCharType="begin"/>
      </w:r>
      <w:r>
        <w:instrText xml:space="preserve"> HYPERLINK "https://www.planalto.gov.br/ccivil_03/leis/2002/l10406compilada.htm" \h </w:instrText>
      </w:r>
      <w:r>
        <w:fldChar w:fldCharType="separate"/>
      </w:r>
      <w:r>
        <w:rPr>
          <w:rStyle w:val="54"/>
          <w:sz w:val="22"/>
          <w:szCs w:val="22"/>
        </w:rPr>
        <w:t>Lei Federal nº 10.406, de 2002</w:t>
      </w:r>
      <w:r>
        <w:rPr>
          <w:rStyle w:val="54"/>
          <w:sz w:val="22"/>
          <w:szCs w:val="22"/>
        </w:rPr>
        <w:fldChar w:fldCharType="end"/>
      </w:r>
      <w:r>
        <w:rPr>
          <w:sz w:val="22"/>
          <w:szCs w:val="22"/>
        </w:rPr>
        <w:t xml:space="preserve"> (Código Civil);</w:t>
      </w:r>
    </w:p>
    <w:p>
      <w:pPr>
        <w:pStyle w:val="28"/>
        <w:numPr>
          <w:ilvl w:val="2"/>
          <w:numId w:val="13"/>
        </w:numPr>
        <w:tabs>
          <w:tab w:val="left" w:pos="993"/>
        </w:tabs>
        <w:spacing w:before="0" w:beforeAutospacing="0" w:after="0" w:afterAutospacing="0"/>
        <w:jc w:val="both"/>
      </w:pPr>
      <w:r>
        <w:fldChar w:fldCharType="begin"/>
      </w:r>
      <w:r>
        <w:instrText xml:space="preserve"> HYPERLINK "https://www.planalto.gov.br/ccivil_03/leis/l8078compilado.htm" \h </w:instrText>
      </w:r>
      <w:r>
        <w:fldChar w:fldCharType="separate"/>
      </w:r>
      <w:r>
        <w:rPr>
          <w:rStyle w:val="54"/>
          <w:sz w:val="22"/>
          <w:szCs w:val="22"/>
        </w:rPr>
        <w:t>Lei Federal nº 8.078, de 1990</w:t>
      </w:r>
      <w:r>
        <w:rPr>
          <w:rStyle w:val="54"/>
          <w:sz w:val="22"/>
          <w:szCs w:val="22"/>
        </w:rPr>
        <w:fldChar w:fldCharType="end"/>
      </w:r>
      <w:r>
        <w:rPr>
          <w:sz w:val="22"/>
          <w:szCs w:val="22"/>
        </w:rPr>
        <w:t xml:space="preserve"> (Código de Defesa do Consumidor);</w:t>
      </w:r>
    </w:p>
    <w:p>
      <w:pPr>
        <w:pStyle w:val="28"/>
        <w:numPr>
          <w:ilvl w:val="2"/>
          <w:numId w:val="13"/>
        </w:numPr>
        <w:tabs>
          <w:tab w:val="left" w:pos="993"/>
        </w:tabs>
        <w:spacing w:before="0" w:beforeAutospacing="0" w:after="0" w:afterAutospacing="0"/>
        <w:jc w:val="both"/>
      </w:pPr>
      <w:r>
        <w:fldChar w:fldCharType="begin"/>
      </w:r>
      <w:r>
        <w:instrText xml:space="preserve"> HYPERLINK "https://www.planalto.gov.br/ccivil_03/_ato2011-2014/2013/lei/l12846.htm" \h </w:instrText>
      </w:r>
      <w:r>
        <w:fldChar w:fldCharType="separate"/>
      </w:r>
      <w:r>
        <w:rPr>
          <w:rStyle w:val="54"/>
          <w:sz w:val="22"/>
          <w:szCs w:val="22"/>
        </w:rPr>
        <w:t>Lei Federal nº 12.846, de 2013</w:t>
      </w:r>
      <w:r>
        <w:rPr>
          <w:rStyle w:val="54"/>
          <w:sz w:val="22"/>
          <w:szCs w:val="22"/>
        </w:rPr>
        <w:fldChar w:fldCharType="end"/>
      </w:r>
      <w:r>
        <w:rPr>
          <w:sz w:val="22"/>
          <w:szCs w:val="22"/>
        </w:rPr>
        <w:t xml:space="preserve"> (Dispõe sobre a responsabilização administrativa e civil de pessoas jurídicas pela prática de atos contra a administração pública, nacional ou estrangeira, e dá outras providências);</w:t>
      </w:r>
    </w:p>
    <w:p>
      <w:pPr>
        <w:pStyle w:val="28"/>
        <w:numPr>
          <w:ilvl w:val="2"/>
          <w:numId w:val="13"/>
        </w:numPr>
        <w:tabs>
          <w:tab w:val="left" w:pos="993"/>
        </w:tabs>
        <w:spacing w:before="0" w:beforeAutospacing="0" w:after="0" w:afterAutospacing="0"/>
        <w:jc w:val="both"/>
      </w:pPr>
      <w:r>
        <w:fldChar w:fldCharType="begin"/>
      </w:r>
      <w:r>
        <w:instrText xml:space="preserve"> HYPERLINK "https://www.planalto.gov.br/ccivil_03/_ato2011-2014/2011/lei/l12527.htm" \h </w:instrText>
      </w:r>
      <w:r>
        <w:fldChar w:fldCharType="separate"/>
      </w:r>
      <w:r>
        <w:rPr>
          <w:rStyle w:val="54"/>
          <w:sz w:val="22"/>
          <w:szCs w:val="22"/>
        </w:rPr>
        <w:t>Lei Federal nº 12.527, de 2011</w:t>
      </w:r>
      <w:r>
        <w:rPr>
          <w:rStyle w:val="54"/>
          <w:sz w:val="22"/>
          <w:szCs w:val="22"/>
        </w:rPr>
        <w:fldChar w:fldCharType="end"/>
      </w:r>
      <w:r>
        <w:rPr>
          <w:sz w:val="22"/>
          <w:szCs w:val="22"/>
        </w:rPr>
        <w:t xml:space="preserve"> (Lei de Acesso à Informação);</w:t>
      </w:r>
    </w:p>
    <w:p>
      <w:pPr>
        <w:pStyle w:val="28"/>
        <w:numPr>
          <w:ilvl w:val="2"/>
          <w:numId w:val="13"/>
        </w:numPr>
        <w:tabs>
          <w:tab w:val="left" w:pos="993"/>
        </w:tabs>
        <w:spacing w:before="0" w:beforeAutospacing="0" w:after="0" w:afterAutospacing="0"/>
        <w:jc w:val="both"/>
      </w:pPr>
      <w:r>
        <w:fldChar w:fldCharType="begin"/>
      </w:r>
      <w:r>
        <w:instrText xml:space="preserve"> HYPERLINK "https://www.planalto.gov.br/ccivil_03/_ato2015-2018/2018/lei/l13709.htm" \h </w:instrText>
      </w:r>
      <w:r>
        <w:fldChar w:fldCharType="separate"/>
      </w:r>
      <w:r>
        <w:rPr>
          <w:rStyle w:val="54"/>
          <w:sz w:val="22"/>
          <w:szCs w:val="22"/>
        </w:rPr>
        <w:t>Lei Federal nº 13.709, de 2018</w:t>
      </w:r>
      <w:r>
        <w:rPr>
          <w:rStyle w:val="54"/>
          <w:sz w:val="22"/>
          <w:szCs w:val="22"/>
        </w:rPr>
        <w:fldChar w:fldCharType="end"/>
      </w:r>
      <w:r>
        <w:rPr>
          <w:sz w:val="22"/>
          <w:szCs w:val="22"/>
        </w:rPr>
        <w:t xml:space="preserve"> (Lei Geral de Proteção de Dados - LGPD).</w:t>
      </w:r>
    </w:p>
    <w:p>
      <w:pPr>
        <w:pStyle w:val="28"/>
        <w:numPr>
          <w:ilvl w:val="0"/>
          <w:numId w:val="13"/>
        </w:numPr>
        <w:pBdr>
          <w:bottom w:val="single" w:color="000000" w:themeColor="dark1" w:sz="4" w:space="1"/>
        </w:pBdr>
        <w:shd w:val="clear" w:color="auto" w:fill="BEBEBE" w:themeFill="background1" w:themeFillShade="BF"/>
        <w:spacing w:before="0" w:beforeAutospacing="0" w:after="0" w:afterAutospacing="0"/>
        <w:jc w:val="both"/>
      </w:pPr>
      <w:r>
        <w:rPr>
          <w:rStyle w:val="12"/>
          <w:color w:val="000000"/>
          <w:sz w:val="22"/>
          <w:szCs w:val="22"/>
        </w:rPr>
        <w:t xml:space="preserve">REGIME DE EXECUÇÃO </w:t>
      </w:r>
      <w:r>
        <w:rPr>
          <w:sz w:val="22"/>
          <w:szCs w:val="22"/>
        </w:rPr>
        <w:t>(</w:t>
      </w:r>
      <w:r>
        <w:fldChar w:fldCharType="begin"/>
      </w:r>
      <w:r>
        <w:rPr>
          <w:rStyle w:val="54"/>
          <w:sz w:val="22"/>
          <w:szCs w:val="22"/>
        </w:rPr>
        <w:instrText xml:space="preserve"> HYPERLINK "https://www.planalto.gov.br/ccivil_03/_ato2019-2022/2021/lei/l14133.htm" \l "art92"</w:instrText>
      </w:r>
      <w:r>
        <w:rPr>
          <w:rStyle w:val="54"/>
          <w:sz w:val="22"/>
          <w:szCs w:val="22"/>
        </w:rPr>
        <w:fldChar w:fldCharType="separate"/>
      </w:r>
      <w:r>
        <w:rPr>
          <w:rStyle w:val="54"/>
          <w:sz w:val="22"/>
          <w:szCs w:val="22"/>
        </w:rPr>
        <w:t>art. 92, IV, da Lei Federal nº 14.133, de 2021</w:t>
      </w:r>
      <w:r>
        <w:rPr>
          <w:rStyle w:val="54"/>
          <w:sz w:val="22"/>
          <w:szCs w:val="22"/>
        </w:rPr>
        <w:fldChar w:fldCharType="end"/>
      </w:r>
      <w:r>
        <w:rPr>
          <w:sz w:val="22"/>
          <w:szCs w:val="22"/>
        </w:rPr>
        <w:t>)</w:t>
      </w:r>
    </w:p>
    <w:p>
      <w:pPr>
        <w:pStyle w:val="28"/>
        <w:numPr>
          <w:ilvl w:val="1"/>
          <w:numId w:val="13"/>
        </w:numPr>
        <w:tabs>
          <w:tab w:val="left" w:pos="993"/>
        </w:tabs>
        <w:spacing w:before="0" w:beforeAutospacing="0" w:after="0" w:afterAutospacing="0"/>
        <w:ind w:left="0" w:firstLine="567"/>
        <w:jc w:val="both"/>
      </w:pPr>
      <w:r>
        <w:rPr>
          <w:sz w:val="22"/>
          <w:szCs w:val="22"/>
        </w:rPr>
        <w:t>O regime de execução é o de empreitada por preço global (</w:t>
      </w:r>
      <w:r>
        <w:fldChar w:fldCharType="begin"/>
      </w:r>
      <w:r>
        <w:rPr>
          <w:rStyle w:val="54"/>
          <w:sz w:val="22"/>
          <w:szCs w:val="22"/>
        </w:rPr>
        <w:instrText xml:space="preserve"> HYPERLINK "http://www.planalto.gov.br/ccivil_03/_ato2019-2022/2021/lei/L14133.htm" \l "art46"</w:instrText>
      </w:r>
      <w:r>
        <w:rPr>
          <w:rStyle w:val="54"/>
          <w:sz w:val="22"/>
          <w:szCs w:val="22"/>
        </w:rPr>
        <w:fldChar w:fldCharType="separate"/>
      </w:r>
      <w:r>
        <w:rPr>
          <w:rStyle w:val="54"/>
          <w:sz w:val="22"/>
          <w:szCs w:val="22"/>
        </w:rPr>
        <w:t>art. 46, II, da Lei Federal nº 14.133, de 2021</w:t>
      </w:r>
      <w:r>
        <w:rPr>
          <w:rStyle w:val="54"/>
          <w:sz w:val="22"/>
          <w:szCs w:val="22"/>
        </w:rPr>
        <w:fldChar w:fldCharType="end"/>
      </w:r>
      <w:r>
        <w:rPr>
          <w:sz w:val="22"/>
          <w:szCs w:val="22"/>
        </w:rPr>
        <w:t>).</w:t>
      </w:r>
    </w:p>
    <w:p>
      <w:pPr>
        <w:pStyle w:val="28"/>
        <w:numPr>
          <w:ilvl w:val="0"/>
          <w:numId w:val="13"/>
        </w:numPr>
        <w:pBdr>
          <w:bottom w:val="single" w:color="000000" w:themeColor="dark1" w:sz="4" w:space="1"/>
        </w:pBdr>
        <w:shd w:val="clear" w:color="auto" w:fill="BEBEBE" w:themeFill="background1" w:themeFillShade="BF"/>
        <w:spacing w:before="0" w:beforeAutospacing="0" w:after="0" w:afterAutospacing="0"/>
        <w:jc w:val="both"/>
      </w:pPr>
      <w:r>
        <w:rPr>
          <w:rStyle w:val="12"/>
          <w:color w:val="000000"/>
          <w:sz w:val="22"/>
          <w:szCs w:val="22"/>
        </w:rPr>
        <w:t xml:space="preserve">SUBCONTRATAÇÃO </w:t>
      </w:r>
      <w:r>
        <w:rPr>
          <w:rStyle w:val="12"/>
          <w:b w:val="0"/>
          <w:bCs w:val="0"/>
          <w:color w:val="000000"/>
          <w:sz w:val="22"/>
          <w:szCs w:val="22"/>
        </w:rPr>
        <w:t>(</w:t>
      </w:r>
      <w:r>
        <w:fldChar w:fldCharType="begin"/>
      </w:r>
      <w:r>
        <w:rPr>
          <w:rStyle w:val="54"/>
          <w:sz w:val="22"/>
          <w:szCs w:val="22"/>
        </w:rPr>
        <w:instrText xml:space="preserve"> HYPERLINK "https://www.planalto.gov.br/ccivil_03/_ato2019-2022/2021/lei/l14133.htm" \l "art122"</w:instrText>
      </w:r>
      <w:r>
        <w:rPr>
          <w:rStyle w:val="54"/>
          <w:sz w:val="22"/>
          <w:szCs w:val="22"/>
        </w:rPr>
        <w:fldChar w:fldCharType="separate"/>
      </w:r>
      <w:r>
        <w:rPr>
          <w:rStyle w:val="54"/>
          <w:sz w:val="22"/>
          <w:szCs w:val="22"/>
        </w:rPr>
        <w:t>art. 122 da Lei Federal nº 14.133, de 2021</w:t>
      </w:r>
      <w:r>
        <w:rPr>
          <w:rStyle w:val="54"/>
          <w:sz w:val="22"/>
          <w:szCs w:val="22"/>
        </w:rPr>
        <w:fldChar w:fldCharType="end"/>
      </w:r>
      <w:r>
        <w:rPr>
          <w:rStyle w:val="12"/>
          <w:b w:val="0"/>
          <w:bCs w:val="0"/>
          <w:color w:val="000000"/>
          <w:sz w:val="22"/>
          <w:szCs w:val="22"/>
        </w:rPr>
        <w:t>)</w:t>
      </w:r>
    </w:p>
    <w:p>
      <w:pPr>
        <w:pStyle w:val="28"/>
        <w:numPr>
          <w:ilvl w:val="1"/>
          <w:numId w:val="13"/>
        </w:numPr>
        <w:tabs>
          <w:tab w:val="left" w:pos="993"/>
        </w:tabs>
        <w:spacing w:before="0" w:beforeAutospacing="0" w:after="0" w:afterAutospacing="0"/>
        <w:ind w:left="0" w:firstLine="567"/>
        <w:jc w:val="both"/>
        <w:rPr>
          <w:rFonts w:ascii="Times New Roman" w:hAnsi="Times New Roman"/>
          <w:sz w:val="22"/>
          <w:szCs w:val="22"/>
        </w:rPr>
      </w:pPr>
      <w:r>
        <w:rPr>
          <w:sz w:val="22"/>
          <w:szCs w:val="22"/>
        </w:rPr>
        <w:t>Não será admitida a subcontratação do objeto contratual.</w:t>
      </w:r>
    </w:p>
    <w:p>
      <w:pPr>
        <w:pStyle w:val="28"/>
        <w:numPr>
          <w:ilvl w:val="0"/>
          <w:numId w:val="13"/>
        </w:numPr>
        <w:pBdr>
          <w:bottom w:val="single" w:color="000000" w:themeColor="dark1" w:sz="4" w:space="1"/>
        </w:pBdr>
        <w:shd w:val="clear" w:color="auto" w:fill="BEBEBE" w:themeFill="background1" w:themeFillShade="BF"/>
        <w:spacing w:before="0" w:beforeAutospacing="0" w:after="0" w:afterAutospacing="0"/>
        <w:jc w:val="both"/>
      </w:pPr>
      <w:r>
        <w:rPr>
          <w:rStyle w:val="12"/>
          <w:color w:val="000000"/>
          <w:sz w:val="22"/>
          <w:szCs w:val="22"/>
        </w:rPr>
        <w:t>OBRIGAÇÕES DO CONTRATANTE</w:t>
      </w:r>
      <w:r>
        <w:rPr>
          <w:sz w:val="22"/>
          <w:szCs w:val="22"/>
        </w:rPr>
        <w:t xml:space="preserve"> (</w:t>
      </w:r>
      <w:r>
        <w:fldChar w:fldCharType="begin"/>
      </w:r>
      <w:r>
        <w:rPr>
          <w:rStyle w:val="54"/>
          <w:sz w:val="22"/>
          <w:szCs w:val="22"/>
        </w:rPr>
        <w:instrText xml:space="preserve"> HYPERLINK "https://www.planalto.gov.br/ccivil_03/_ato2019-2022/2021/lei/l14133.htm" \l "art92"</w:instrText>
      </w:r>
      <w:r>
        <w:rPr>
          <w:rStyle w:val="54"/>
          <w:sz w:val="22"/>
          <w:szCs w:val="22"/>
        </w:rPr>
        <w:fldChar w:fldCharType="separate"/>
      </w:r>
      <w:r>
        <w:rPr>
          <w:rStyle w:val="54"/>
          <w:sz w:val="22"/>
          <w:szCs w:val="22"/>
        </w:rPr>
        <w:t>art. 92, X, XI e XIV, da Lei Federal nº 14.133, de 2021</w:t>
      </w:r>
      <w:r>
        <w:rPr>
          <w:rStyle w:val="54"/>
          <w:sz w:val="22"/>
          <w:szCs w:val="22"/>
        </w:rPr>
        <w:fldChar w:fldCharType="end"/>
      </w:r>
      <w:r>
        <w:rPr>
          <w:sz w:val="22"/>
          <w:szCs w:val="22"/>
        </w:rPr>
        <w:t>)</w:t>
      </w:r>
    </w:p>
    <w:p>
      <w:pPr>
        <w:pStyle w:val="28"/>
        <w:numPr>
          <w:ilvl w:val="1"/>
          <w:numId w:val="13"/>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São </w:t>
      </w:r>
      <w:r>
        <w:rPr>
          <w:color w:val="000000" w:themeColor="text1"/>
          <w:sz w:val="22"/>
          <w:szCs w:val="22"/>
        </w:rPr>
        <w:t>obrigações</w:t>
      </w:r>
      <w:r>
        <w:rPr>
          <w:sz w:val="22"/>
          <w:szCs w:val="22"/>
        </w:rPr>
        <w:t xml:space="preserve"> do Contratante:</w:t>
      </w:r>
    </w:p>
    <w:p>
      <w:pPr>
        <w:pStyle w:val="28"/>
        <w:numPr>
          <w:ilvl w:val="2"/>
          <w:numId w:val="13"/>
        </w:numPr>
        <w:tabs>
          <w:tab w:val="left" w:pos="993"/>
        </w:tabs>
        <w:spacing w:before="0" w:beforeAutospacing="0" w:after="0" w:afterAutospacing="0"/>
        <w:jc w:val="both"/>
        <w:rPr>
          <w:rFonts w:ascii="Times New Roman" w:hAnsi="Times New Roman"/>
          <w:sz w:val="22"/>
          <w:szCs w:val="22"/>
        </w:rPr>
      </w:pPr>
      <w:r>
        <w:rPr>
          <w:sz w:val="22"/>
          <w:szCs w:val="22"/>
        </w:rPr>
        <w:t>exigir o cumprimento de todas as obrigações assumidas pela Contratada, de acordo com o contrato e seus anexos;</w:t>
      </w:r>
    </w:p>
    <w:p>
      <w:pPr>
        <w:pStyle w:val="28"/>
        <w:numPr>
          <w:ilvl w:val="2"/>
          <w:numId w:val="13"/>
        </w:numPr>
        <w:tabs>
          <w:tab w:val="left" w:pos="993"/>
        </w:tabs>
        <w:spacing w:before="0" w:beforeAutospacing="0" w:after="0" w:afterAutospacing="0"/>
        <w:jc w:val="both"/>
      </w:pPr>
      <w:r>
        <w:rPr>
          <w:color w:val="000000"/>
          <w:sz w:val="22"/>
          <w:szCs w:val="22"/>
        </w:rPr>
        <w:t xml:space="preserve">Não exigir da Contratada, serviços estranhos às atividades especificadas no </w:t>
      </w:r>
      <w:r>
        <w:rPr>
          <w:rStyle w:val="45"/>
          <w:color w:val="000000"/>
          <w:sz w:val="22"/>
          <w:szCs w:val="22"/>
        </w:rPr>
        <w:t>Termo de Referência</w:t>
      </w:r>
      <w:r>
        <w:rPr>
          <w:color w:val="000000"/>
          <w:sz w:val="22"/>
          <w:szCs w:val="22"/>
        </w:rPr>
        <w:t>;</w:t>
      </w:r>
    </w:p>
    <w:p>
      <w:pPr>
        <w:pStyle w:val="28"/>
        <w:numPr>
          <w:ilvl w:val="2"/>
          <w:numId w:val="13"/>
        </w:numPr>
        <w:tabs>
          <w:tab w:val="left" w:pos="993"/>
        </w:tabs>
        <w:spacing w:before="0" w:beforeAutospacing="0" w:after="0" w:afterAutospacing="0"/>
        <w:jc w:val="both"/>
        <w:rPr>
          <w:rFonts w:ascii="Times New Roman" w:hAnsi="Times New Roman"/>
          <w:sz w:val="22"/>
          <w:szCs w:val="22"/>
        </w:rPr>
      </w:pPr>
      <w:r>
        <w:rPr>
          <w:sz w:val="22"/>
          <w:szCs w:val="22"/>
        </w:rPr>
        <w:t xml:space="preserve">acompanhar e fiscalizar a execução do contrato e o cumprimento das obrigações pela Contratada, </w:t>
      </w:r>
      <w:r>
        <w:rPr>
          <w:color w:val="000000"/>
          <w:sz w:val="22"/>
          <w:szCs w:val="22"/>
        </w:rPr>
        <w:t>anotando em registro próprio as falhas detectadas e comunicar as ocorrências de quaisquer fatos que exijam medidas corretivas por parte da Contratada</w:t>
      </w:r>
      <w:r>
        <w:rPr>
          <w:sz w:val="22"/>
          <w:szCs w:val="22"/>
        </w:rPr>
        <w:t>;</w:t>
      </w:r>
    </w:p>
    <w:p>
      <w:pPr>
        <w:pStyle w:val="28"/>
        <w:numPr>
          <w:ilvl w:val="2"/>
          <w:numId w:val="13"/>
        </w:numPr>
        <w:tabs>
          <w:tab w:val="left" w:pos="993"/>
        </w:tabs>
        <w:spacing w:before="0" w:beforeAutospacing="0" w:after="0" w:afterAutospacing="0"/>
        <w:jc w:val="both"/>
        <w:rPr>
          <w:rFonts w:ascii="Times New Roman" w:hAnsi="Times New Roman"/>
          <w:sz w:val="22"/>
          <w:szCs w:val="22"/>
        </w:rPr>
      </w:pPr>
      <w:r>
        <w:rPr>
          <w:sz w:val="22"/>
          <w:szCs w:val="22"/>
        </w:rPr>
        <w:t>fornecer as informações necessárias para o desenvolvimento dos serviços objeto do contrato;</w:t>
      </w:r>
    </w:p>
    <w:p>
      <w:pPr>
        <w:pStyle w:val="28"/>
        <w:numPr>
          <w:ilvl w:val="2"/>
          <w:numId w:val="13"/>
        </w:numPr>
        <w:tabs>
          <w:tab w:val="left" w:pos="993"/>
        </w:tabs>
        <w:spacing w:before="0" w:beforeAutospacing="0" w:after="0" w:afterAutospacing="0"/>
        <w:jc w:val="both"/>
        <w:rPr>
          <w:rFonts w:ascii="Times New Roman" w:hAnsi="Times New Roman"/>
          <w:sz w:val="22"/>
          <w:szCs w:val="22"/>
        </w:rPr>
      </w:pPr>
      <w:r>
        <w:rPr>
          <w:sz w:val="22"/>
          <w:szCs w:val="22"/>
        </w:rPr>
        <w:t>previamente à expedição da ordem de serviço, verificar pendências, liberar áreas e/ou adotar providências cabíveis para a regularidade do início da sua execução;</w:t>
      </w:r>
    </w:p>
    <w:p>
      <w:pPr>
        <w:pStyle w:val="28"/>
        <w:numPr>
          <w:ilvl w:val="2"/>
          <w:numId w:val="13"/>
        </w:numPr>
        <w:tabs>
          <w:tab w:val="left" w:pos="993"/>
        </w:tabs>
        <w:spacing w:before="0" w:beforeAutospacing="0" w:after="0" w:afterAutospacing="0"/>
        <w:jc w:val="both"/>
        <w:rPr>
          <w:rFonts w:ascii="Times New Roman" w:hAnsi="Times New Roman"/>
          <w:sz w:val="22"/>
          <w:szCs w:val="22"/>
        </w:rPr>
      </w:pPr>
      <w:r>
        <w:rPr>
          <w:sz w:val="22"/>
          <w:szCs w:val="22"/>
        </w:rPr>
        <w:t>notificar a Contratada, por escrito, da ocorrência de eventuais imperfeições, falhas ou irregularidades constatadas no curso da execução dos serviços, fixando prazo para a sua correção, certificando-se de que as soluções por ele propostas sejam as mais adequadas, para que seja por ele substituído, reparado ou corrigido, no total ou em parte, às suas expensas;</w:t>
      </w:r>
    </w:p>
    <w:p>
      <w:pPr>
        <w:pStyle w:val="28"/>
        <w:numPr>
          <w:ilvl w:val="2"/>
          <w:numId w:val="13"/>
        </w:numPr>
        <w:tabs>
          <w:tab w:val="left" w:pos="993"/>
        </w:tabs>
        <w:spacing w:before="0" w:beforeAutospacing="0" w:after="0" w:afterAutospacing="0"/>
        <w:jc w:val="both"/>
        <w:rPr>
          <w:rFonts w:ascii="Times New Roman" w:hAnsi="Times New Roman"/>
          <w:sz w:val="22"/>
          <w:szCs w:val="22"/>
        </w:rPr>
      </w:pPr>
      <w:r>
        <w:rPr>
          <w:sz w:val="22"/>
          <w:szCs w:val="22"/>
        </w:rPr>
        <w:t>comunicar a Contratada para emissão de Nota Fiscal no que se refere à parcela incontroversa da execução do objeto, para efeito de liquidação;</w:t>
      </w:r>
    </w:p>
    <w:p>
      <w:pPr>
        <w:pStyle w:val="28"/>
        <w:numPr>
          <w:ilvl w:val="2"/>
          <w:numId w:val="13"/>
        </w:numPr>
        <w:tabs>
          <w:tab w:val="left" w:pos="993"/>
        </w:tabs>
        <w:spacing w:before="0" w:beforeAutospacing="0" w:after="0" w:afterAutospacing="0"/>
        <w:jc w:val="both"/>
      </w:pPr>
      <w:r>
        <w:rPr>
          <w:sz w:val="22"/>
          <w:szCs w:val="22"/>
        </w:rPr>
        <w:t xml:space="preserve">receber o objeto no prazo e condições estabelecidas no </w:t>
      </w:r>
      <w:r>
        <w:rPr>
          <w:rStyle w:val="45"/>
          <w:color w:val="000000"/>
          <w:sz w:val="22"/>
          <w:szCs w:val="22"/>
        </w:rPr>
        <w:t>Termo de Referência</w:t>
      </w:r>
      <w:r>
        <w:rPr>
          <w:sz w:val="22"/>
          <w:szCs w:val="22"/>
        </w:rPr>
        <w:t>;</w:t>
      </w:r>
    </w:p>
    <w:p>
      <w:pPr>
        <w:pStyle w:val="28"/>
        <w:numPr>
          <w:ilvl w:val="2"/>
          <w:numId w:val="13"/>
        </w:numPr>
        <w:tabs>
          <w:tab w:val="left" w:pos="993"/>
        </w:tabs>
        <w:spacing w:before="0" w:beforeAutospacing="0" w:after="0" w:afterAutospacing="0"/>
        <w:jc w:val="both"/>
      </w:pPr>
      <w:r>
        <w:rPr>
          <w:sz w:val="22"/>
          <w:szCs w:val="22"/>
        </w:rPr>
        <w:t xml:space="preserve">efetuar o pagamento à Contratada do valor correspondente à execução do objeto, no prazo, forma e condições estabelecidos no presente Contrato e no </w:t>
      </w:r>
      <w:r>
        <w:rPr>
          <w:rStyle w:val="45"/>
          <w:color w:val="000000"/>
          <w:sz w:val="22"/>
          <w:szCs w:val="22"/>
        </w:rPr>
        <w:t>Termo de Referência</w:t>
      </w:r>
      <w:r>
        <w:rPr>
          <w:sz w:val="22"/>
          <w:szCs w:val="22"/>
        </w:rPr>
        <w:t>, salvo no caso de parcela onde houver controvérsia.</w:t>
      </w:r>
    </w:p>
    <w:p>
      <w:pPr>
        <w:pStyle w:val="28"/>
        <w:numPr>
          <w:ilvl w:val="1"/>
          <w:numId w:val="13"/>
        </w:numPr>
        <w:tabs>
          <w:tab w:val="left" w:pos="993"/>
        </w:tabs>
        <w:spacing w:before="0" w:beforeAutospacing="0" w:after="0" w:afterAutospacing="0"/>
        <w:ind w:left="0" w:firstLine="567"/>
        <w:jc w:val="both"/>
      </w:pPr>
      <w:bookmarkStart w:id="74" w:name="_Hlk114499841"/>
      <w:bookmarkEnd w:id="74"/>
      <w:r>
        <w:rPr>
          <w:color w:val="000000"/>
          <w:sz w:val="22"/>
          <w:szCs w:val="22"/>
        </w:rPr>
        <w:t>A Administração terá o prazo de 1 (um) mês, a contar da data do protocolo do requerimento para decidir sobre qualquer requerimento da Contratada sobre todas as solicitações e reclamações relacionadas à execução do presente Contrato, admitida a prorrogação motivada, por igual período, ressalvados os requerimentos manifestamente impertinentes, meramente protelatórios ou de nenhum interesse para a boa execução do ajuste. (</w:t>
      </w:r>
      <w:r>
        <w:fldChar w:fldCharType="begin"/>
      </w:r>
      <w:r>
        <w:rPr>
          <w:rStyle w:val="54"/>
          <w:sz w:val="22"/>
          <w:szCs w:val="22"/>
        </w:rPr>
        <w:instrText xml:space="preserve"> HYPERLINK "https://www.planalto.gov.br/ccivil_03/_ato2019-2022/2021/lei/l14133.htm" \l "art123"</w:instrText>
      </w:r>
      <w:r>
        <w:rPr>
          <w:rStyle w:val="54"/>
          <w:sz w:val="22"/>
          <w:szCs w:val="22"/>
        </w:rPr>
        <w:fldChar w:fldCharType="separate"/>
      </w:r>
      <w:r>
        <w:rPr>
          <w:rStyle w:val="54"/>
          <w:sz w:val="22"/>
          <w:szCs w:val="22"/>
        </w:rPr>
        <w:t>art. 123 da Lei Federal nº 14.133, de 2021</w:t>
      </w:r>
      <w:r>
        <w:rPr>
          <w:rStyle w:val="54"/>
          <w:sz w:val="22"/>
          <w:szCs w:val="22"/>
        </w:rPr>
        <w:fldChar w:fldCharType="end"/>
      </w:r>
      <w:r>
        <w:rPr>
          <w:color w:val="000000"/>
          <w:sz w:val="22"/>
          <w:szCs w:val="22"/>
        </w:rPr>
        <w:t>)</w:t>
      </w:r>
    </w:p>
    <w:p>
      <w:pPr>
        <w:pStyle w:val="28"/>
        <w:numPr>
          <w:ilvl w:val="1"/>
          <w:numId w:val="13"/>
        </w:numPr>
        <w:tabs>
          <w:tab w:val="left" w:pos="993"/>
        </w:tabs>
        <w:spacing w:before="0" w:beforeAutospacing="0" w:after="0" w:afterAutospacing="0"/>
        <w:ind w:left="0" w:firstLine="567"/>
        <w:jc w:val="both"/>
        <w:rPr>
          <w:rFonts w:ascii="Times New Roman" w:hAnsi="Times New Roman"/>
          <w:sz w:val="22"/>
          <w:szCs w:val="22"/>
        </w:rPr>
      </w:pPr>
      <w:r>
        <w:rPr>
          <w:color w:val="000000"/>
          <w:sz w:val="22"/>
          <w:szCs w:val="22"/>
        </w:rPr>
        <w:t>A Administração não responderá por quaisquer compromissos assumidos pela Contratada com terceiros, ainda que vinculados à execução da contratação, bem como por qualquer dano causado a terceiros em decorrência de ato da Contratada, de seus empregados, prepostos ou subordinados.</w:t>
      </w:r>
    </w:p>
    <w:p>
      <w:pPr>
        <w:pStyle w:val="28"/>
        <w:numPr>
          <w:ilvl w:val="0"/>
          <w:numId w:val="13"/>
        </w:numPr>
        <w:pBdr>
          <w:bottom w:val="single" w:color="000000" w:themeColor="dark1" w:sz="4" w:space="1"/>
        </w:pBdr>
        <w:shd w:val="clear" w:color="auto" w:fill="BEBEBE" w:themeFill="background1" w:themeFillShade="BF"/>
        <w:spacing w:before="0" w:beforeAutospacing="0" w:after="0" w:afterAutospacing="0"/>
        <w:jc w:val="both"/>
      </w:pPr>
      <w:r>
        <w:rPr>
          <w:rStyle w:val="12"/>
          <w:color w:val="000000"/>
          <w:sz w:val="22"/>
          <w:szCs w:val="22"/>
        </w:rPr>
        <w:t>OBRIGAÇÕES DA CONTRATADA</w:t>
      </w:r>
      <w:r>
        <w:rPr>
          <w:sz w:val="22"/>
          <w:szCs w:val="22"/>
        </w:rPr>
        <w:t xml:space="preserve"> (</w:t>
      </w:r>
      <w:r>
        <w:fldChar w:fldCharType="begin"/>
      </w:r>
      <w:r>
        <w:rPr>
          <w:rStyle w:val="54"/>
          <w:sz w:val="22"/>
          <w:szCs w:val="22"/>
        </w:rPr>
        <w:instrText xml:space="preserve"> HYPERLINK "http://www.planalto.gov.br/ccivil_03/_ato2019-2022/2021/lei/L14133.htm" \l "art92"</w:instrText>
      </w:r>
      <w:r>
        <w:rPr>
          <w:rStyle w:val="54"/>
          <w:sz w:val="22"/>
          <w:szCs w:val="22"/>
        </w:rPr>
        <w:fldChar w:fldCharType="separate"/>
      </w:r>
      <w:r>
        <w:rPr>
          <w:rStyle w:val="54"/>
          <w:sz w:val="22"/>
          <w:szCs w:val="22"/>
        </w:rPr>
        <w:t>art. 92, XIV, XVI e XVII</w:t>
      </w:r>
      <w:r>
        <w:rPr>
          <w:rStyle w:val="54"/>
          <w:sz w:val="22"/>
          <w:szCs w:val="22"/>
        </w:rPr>
        <w:fldChar w:fldCharType="end"/>
      </w:r>
      <w:r>
        <w:rPr>
          <w:rStyle w:val="54"/>
          <w:sz w:val="22"/>
          <w:szCs w:val="22"/>
        </w:rPr>
        <w:t>, da Lei Federal nº 14.133, de 2021</w:t>
      </w:r>
      <w:r>
        <w:rPr>
          <w:sz w:val="22"/>
          <w:szCs w:val="22"/>
        </w:rPr>
        <w:t>)</w:t>
      </w:r>
    </w:p>
    <w:p>
      <w:pPr>
        <w:pStyle w:val="28"/>
        <w:numPr>
          <w:ilvl w:val="1"/>
          <w:numId w:val="13"/>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obriga-se a cumprir todas as obrigações constantes deste Contrato e de seus anexos, assumindo como exclusivamente seus os riscos e as despesas decorrentes da boa e perfeita execução do objeto, observando, ainda, as obrigações a seguir dispostas:</w:t>
      </w:r>
    </w:p>
    <w:p>
      <w:pPr>
        <w:pStyle w:val="28"/>
        <w:numPr>
          <w:ilvl w:val="2"/>
          <w:numId w:val="13"/>
        </w:numPr>
        <w:tabs>
          <w:tab w:val="left" w:pos="993"/>
        </w:tabs>
        <w:spacing w:before="0" w:beforeAutospacing="0" w:after="0" w:afterAutospacing="0"/>
        <w:jc w:val="both"/>
      </w:pPr>
      <w:r>
        <w:rPr>
          <w:sz w:val="22"/>
          <w:szCs w:val="22"/>
        </w:rPr>
        <w:t>manter preposto aceito pela Administração no local do serviço para representá-lo na execução do contrato (</w:t>
      </w:r>
      <w:r>
        <w:fldChar w:fldCharType="begin"/>
      </w:r>
      <w:r>
        <w:rPr>
          <w:rStyle w:val="54"/>
          <w:sz w:val="22"/>
          <w:szCs w:val="22"/>
        </w:rPr>
        <w:instrText xml:space="preserve"> HYPERLINK "https://www.planalto.gov.br/ccivil_03/_ato2019-2022/2021/lei/l14133.htm" \l "art118"</w:instrText>
      </w:r>
      <w:r>
        <w:rPr>
          <w:rStyle w:val="54"/>
          <w:sz w:val="22"/>
          <w:szCs w:val="22"/>
        </w:rPr>
        <w:fldChar w:fldCharType="separate"/>
      </w:r>
      <w:r>
        <w:rPr>
          <w:rStyle w:val="54"/>
          <w:sz w:val="22"/>
          <w:szCs w:val="22"/>
        </w:rPr>
        <w:t>art. 118 da Lei Federal nº 14.133, de 2021</w:t>
      </w:r>
      <w:r>
        <w:rPr>
          <w:rStyle w:val="54"/>
          <w:sz w:val="22"/>
          <w:szCs w:val="22"/>
        </w:rPr>
        <w:fldChar w:fldCharType="end"/>
      </w:r>
      <w:r>
        <w:rPr>
          <w:sz w:val="22"/>
          <w:szCs w:val="22"/>
        </w:rPr>
        <w:t>), sendo que a indicação ou a manutenção do preposto da Contratada poderá ser recusada pelo Contratante, desde que devidamente justificada, devendo a Contratada designar outro para o exercício da atividade;</w:t>
      </w:r>
    </w:p>
    <w:p>
      <w:pPr>
        <w:pStyle w:val="28"/>
        <w:numPr>
          <w:ilvl w:val="2"/>
          <w:numId w:val="13"/>
        </w:numPr>
        <w:tabs>
          <w:tab w:val="left" w:pos="993"/>
        </w:tabs>
        <w:spacing w:before="0" w:beforeAutospacing="0" w:after="0" w:afterAutospacing="0"/>
        <w:jc w:val="both"/>
      </w:pPr>
      <w:r>
        <w:rPr>
          <w:sz w:val="22"/>
          <w:szCs w:val="22"/>
        </w:rPr>
        <w:t>atender às determinações regulares emitidas pelo(a) fiscal do contrato ou autoridade superior (</w:t>
      </w:r>
      <w:r>
        <w:fldChar w:fldCharType="begin"/>
      </w:r>
      <w:r>
        <w:rPr>
          <w:rStyle w:val="54"/>
          <w:sz w:val="22"/>
          <w:szCs w:val="22"/>
        </w:rPr>
        <w:instrText xml:space="preserve"> HYPERLINK "http://www.planalto.gov.br/ccivil_03/_ato2019-2022/2021/lei/L14133.htm" \l "art137"</w:instrText>
      </w:r>
      <w:r>
        <w:rPr>
          <w:rStyle w:val="54"/>
          <w:sz w:val="22"/>
          <w:szCs w:val="22"/>
        </w:rPr>
        <w:fldChar w:fldCharType="separate"/>
      </w:r>
      <w:r>
        <w:rPr>
          <w:rStyle w:val="54"/>
          <w:sz w:val="22"/>
          <w:szCs w:val="22"/>
        </w:rPr>
        <w:t>art. 137, II</w:t>
      </w:r>
      <w:r>
        <w:rPr>
          <w:rStyle w:val="54"/>
          <w:sz w:val="22"/>
          <w:szCs w:val="22"/>
        </w:rPr>
        <w:fldChar w:fldCharType="end"/>
      </w:r>
      <w:r>
        <w:rPr>
          <w:rStyle w:val="54"/>
          <w:sz w:val="22"/>
          <w:szCs w:val="22"/>
        </w:rPr>
        <w:t>, da Lei Federal nº 14.133, de 2021</w:t>
      </w:r>
      <w:r>
        <w:rPr>
          <w:sz w:val="22"/>
          <w:szCs w:val="22"/>
        </w:rPr>
        <w:t>)</w:t>
      </w:r>
      <w:r>
        <w:rPr>
          <w:color w:val="000000" w:themeColor="text1"/>
          <w:sz w:val="22"/>
          <w:szCs w:val="22"/>
        </w:rPr>
        <w:t xml:space="preserve"> e </w:t>
      </w:r>
      <w:r>
        <w:rPr>
          <w:sz w:val="22"/>
          <w:szCs w:val="22"/>
        </w:rPr>
        <w:t>prestar todo esclarecimento ou informação por eles solicitados;</w:t>
      </w:r>
    </w:p>
    <w:p>
      <w:pPr>
        <w:pStyle w:val="28"/>
        <w:numPr>
          <w:ilvl w:val="2"/>
          <w:numId w:val="13"/>
        </w:numPr>
        <w:tabs>
          <w:tab w:val="left" w:pos="993"/>
        </w:tabs>
        <w:spacing w:before="0" w:beforeAutospacing="0" w:after="0" w:afterAutospacing="0"/>
        <w:jc w:val="both"/>
      </w:pPr>
      <w:r>
        <w:rPr>
          <w:sz w:val="22"/>
          <w:szCs w:val="22"/>
        </w:rPr>
        <w:t xml:space="preserve">alocar os empregados necessários ao perfeito cumprimento das cláusulas deste contrato, com habilitação e conhecimento adequados, em especial aqueles descritos para execução dos serviços previstos no </w:t>
      </w:r>
      <w:r>
        <w:rPr>
          <w:rStyle w:val="45"/>
          <w:color w:val="000000"/>
          <w:sz w:val="22"/>
          <w:szCs w:val="22"/>
        </w:rPr>
        <w:t>Termo de Referência</w:t>
      </w:r>
      <w:r>
        <w:rPr>
          <w:sz w:val="22"/>
          <w:szCs w:val="22"/>
        </w:rPr>
        <w:t>, materiais, equipamentos, ferramentas e utensílios demandados, cuja quantidade, qualidade e tecnologia deverão atender às recomendações de boa técnica e a legislação de regência;</w:t>
      </w:r>
    </w:p>
    <w:p>
      <w:pPr>
        <w:pStyle w:val="28"/>
        <w:numPr>
          <w:ilvl w:val="2"/>
          <w:numId w:val="13"/>
        </w:numPr>
        <w:tabs>
          <w:tab w:val="left" w:pos="993"/>
        </w:tabs>
        <w:spacing w:before="0" w:beforeAutospacing="0" w:after="0" w:afterAutospacing="0"/>
        <w:jc w:val="both"/>
        <w:rPr>
          <w:rFonts w:ascii="Times New Roman" w:hAnsi="Times New Roman"/>
          <w:sz w:val="22"/>
          <w:szCs w:val="22"/>
        </w:rPr>
      </w:pPr>
      <w:r>
        <w:rPr>
          <w:sz w:val="22"/>
          <w:szCs w:val="22"/>
        </w:rPr>
        <w:t>reparar, corrigir, remover, refazer ou substituir, às suas expensas, no total ou em parte, no prazo fixado pelo(a) fiscal do contrato, os serviços nos quais se verificarem vícios, defeitos ou incorreções resultantes da execução;</w:t>
      </w:r>
    </w:p>
    <w:p>
      <w:pPr>
        <w:pStyle w:val="28"/>
        <w:numPr>
          <w:ilvl w:val="2"/>
          <w:numId w:val="13"/>
        </w:numPr>
        <w:tabs>
          <w:tab w:val="left" w:pos="993"/>
        </w:tabs>
        <w:spacing w:before="0" w:beforeAutospacing="0" w:after="0" w:afterAutospacing="0"/>
        <w:jc w:val="both"/>
      </w:pPr>
      <w:r>
        <w:rPr>
          <w:sz w:val="22"/>
          <w:szCs w:val="22"/>
        </w:rPr>
        <w:t xml:space="preserve">responsabilizar-se pelos vícios e danos decorrentes da execução do objeto, de acordo com o </w:t>
      </w:r>
      <w:r>
        <w:fldChar w:fldCharType="begin"/>
      </w:r>
      <w:r>
        <w:instrText xml:space="preserve"> HYPERLINK "https://www.planalto.gov.br/ccivil_03/leis/l8078compilado.htm" \h </w:instrText>
      </w:r>
      <w:r>
        <w:fldChar w:fldCharType="separate"/>
      </w:r>
      <w:r>
        <w:rPr>
          <w:rStyle w:val="54"/>
          <w:sz w:val="22"/>
          <w:szCs w:val="22"/>
        </w:rPr>
        <w:t>Código de Defesa do Consumidor (Lei Federal nº 8.078, de 1990</w:t>
      </w:r>
      <w:r>
        <w:rPr>
          <w:rStyle w:val="54"/>
          <w:sz w:val="22"/>
          <w:szCs w:val="22"/>
        </w:rPr>
        <w:fldChar w:fldCharType="end"/>
      </w:r>
      <w:r>
        <w:rPr>
          <w:sz w:val="22"/>
          <w:szCs w:val="22"/>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pPr>
        <w:pStyle w:val="28"/>
        <w:numPr>
          <w:ilvl w:val="2"/>
          <w:numId w:val="13"/>
        </w:numPr>
        <w:tabs>
          <w:tab w:val="left" w:pos="993"/>
        </w:tabs>
        <w:spacing w:before="0" w:beforeAutospacing="0" w:after="0" w:afterAutospacing="0"/>
        <w:jc w:val="both"/>
        <w:rPr>
          <w:rFonts w:ascii="Times New Roman" w:hAnsi="Times New Roman"/>
          <w:sz w:val="22"/>
          <w:szCs w:val="22"/>
        </w:rPr>
      </w:pPr>
      <w:r>
        <w:rPr>
          <w:sz w:val="22"/>
          <w:szCs w:val="22"/>
        </w:rPr>
        <w:t>efetuar comunicação ao Contratante, assim que tiver ciência da impossibilidade de realização ou finalização do serviço no prazo estabelecido, para adoção de ações de contingência cabíveis;</w:t>
      </w:r>
    </w:p>
    <w:p>
      <w:pPr>
        <w:pStyle w:val="28"/>
        <w:numPr>
          <w:ilvl w:val="2"/>
          <w:numId w:val="13"/>
        </w:numPr>
        <w:tabs>
          <w:tab w:val="left" w:pos="993"/>
        </w:tabs>
        <w:spacing w:before="0" w:beforeAutospacing="0" w:after="0" w:afterAutospacing="0"/>
        <w:jc w:val="both"/>
      </w:pPr>
      <w:r>
        <w:rPr>
          <w:sz w:val="22"/>
          <w:szCs w:val="22"/>
        </w:rPr>
        <w:t xml:space="preserve">não contratar, durante a vigência do contrato, cônjuge, companheiro ou parente em linha reta, colateral ou por afinidade, até o terceiro grau, de dirigente do Contratante ou do(a) fiscal ou gestor(a) do contrato, nos termos do </w:t>
      </w:r>
      <w:r>
        <w:fldChar w:fldCharType="begin"/>
      </w:r>
      <w:r>
        <w:rPr>
          <w:rStyle w:val="54"/>
          <w:sz w:val="22"/>
          <w:szCs w:val="22"/>
        </w:rPr>
        <w:instrText xml:space="preserve"> HYPERLINK "http://www.planalto.gov.br/ccivil_03/_ato2019-2022/2021/lei/L14133.htm" \l "art48"</w:instrText>
      </w:r>
      <w:r>
        <w:rPr>
          <w:rStyle w:val="54"/>
          <w:sz w:val="22"/>
          <w:szCs w:val="22"/>
        </w:rPr>
        <w:fldChar w:fldCharType="separate"/>
      </w:r>
      <w:r>
        <w:rPr>
          <w:rStyle w:val="54"/>
          <w:sz w:val="22"/>
          <w:szCs w:val="22"/>
        </w:rPr>
        <w:t>artigo 48, parágrafo único, da Lei Federal nº 14.133, de 2021</w:t>
      </w:r>
      <w:r>
        <w:rPr>
          <w:rStyle w:val="54"/>
          <w:sz w:val="22"/>
          <w:szCs w:val="22"/>
        </w:rPr>
        <w:fldChar w:fldCharType="end"/>
      </w:r>
      <w:r>
        <w:rPr>
          <w:sz w:val="22"/>
          <w:szCs w:val="22"/>
        </w:rPr>
        <w:t>;</w:t>
      </w:r>
    </w:p>
    <w:p>
      <w:pPr>
        <w:pStyle w:val="28"/>
        <w:numPr>
          <w:ilvl w:val="2"/>
          <w:numId w:val="13"/>
        </w:numPr>
        <w:tabs>
          <w:tab w:val="left" w:pos="993"/>
        </w:tabs>
        <w:spacing w:before="0" w:beforeAutospacing="0" w:after="0" w:afterAutospacing="0"/>
        <w:jc w:val="both"/>
        <w:rPr>
          <w:rFonts w:ascii="Times New Roman" w:hAnsi="Times New Roman"/>
          <w:sz w:val="22"/>
          <w:szCs w:val="22"/>
        </w:rPr>
      </w:pPr>
      <w:r>
        <w:rPr>
          <w:sz w:val="22"/>
          <w:szCs w:val="22"/>
        </w:rPr>
        <w:t xml:space="preserve">manter durante toda a vigência do contrato, em compatibilidade com as obrigações assumidas, todas as condições exigidas para habilitação na licitação, em especial a documentação exigida na habilitação técnica; </w:t>
      </w:r>
    </w:p>
    <w:p>
      <w:pPr>
        <w:pStyle w:val="28"/>
        <w:numPr>
          <w:ilvl w:val="2"/>
          <w:numId w:val="13"/>
        </w:numPr>
        <w:tabs>
          <w:tab w:val="left" w:pos="993"/>
        </w:tabs>
        <w:spacing w:before="0" w:beforeAutospacing="0" w:after="0" w:afterAutospacing="0"/>
        <w:jc w:val="both"/>
        <w:rPr>
          <w:rFonts w:ascii="Times New Roman" w:hAnsi="Times New Roman"/>
          <w:sz w:val="22"/>
          <w:szCs w:val="22"/>
        </w:rPr>
      </w:pPr>
      <w:r>
        <w:rPr>
          <w:sz w:val="22"/>
          <w:szCs w:val="22"/>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pPr>
        <w:pStyle w:val="28"/>
        <w:numPr>
          <w:ilvl w:val="2"/>
          <w:numId w:val="13"/>
        </w:numPr>
        <w:tabs>
          <w:tab w:val="left" w:pos="993"/>
        </w:tabs>
        <w:spacing w:before="0" w:beforeAutospacing="0" w:after="0" w:afterAutospacing="0"/>
        <w:jc w:val="both"/>
        <w:rPr>
          <w:rFonts w:ascii="Times New Roman" w:hAnsi="Times New Roman"/>
          <w:sz w:val="22"/>
          <w:szCs w:val="22"/>
        </w:rPr>
      </w:pPr>
      <w:r>
        <w:rPr>
          <w:sz w:val="22"/>
          <w:szCs w:val="22"/>
        </w:rPr>
        <w:t>comunicar ao(à) fiscal do contrato, no prazo de até 1 (um) dia útil, qualquer ocorrência anormal ou acidente que se verifique no local da execução do objeto contratual;</w:t>
      </w:r>
    </w:p>
    <w:p>
      <w:pPr>
        <w:pStyle w:val="28"/>
        <w:numPr>
          <w:ilvl w:val="2"/>
          <w:numId w:val="13"/>
        </w:numPr>
        <w:tabs>
          <w:tab w:val="left" w:pos="993"/>
        </w:tabs>
        <w:spacing w:before="0" w:beforeAutospacing="0" w:after="0" w:afterAutospacing="0"/>
        <w:jc w:val="both"/>
        <w:rPr>
          <w:rFonts w:ascii="Times New Roman" w:hAnsi="Times New Roman"/>
          <w:sz w:val="22"/>
          <w:szCs w:val="22"/>
        </w:rPr>
      </w:pPr>
      <w:r>
        <w:rPr>
          <w:sz w:val="22"/>
          <w:szCs w:val="22"/>
        </w:rPr>
        <w:t>prestar todo esclarecimento ou informação solicitada pelo Contratante, garantindo-lhe o acesso, a qualquer tempo, ao local dos trabalhos, bem como aos documentos relativos à execução do(s) serviço(s);</w:t>
      </w:r>
    </w:p>
    <w:p>
      <w:pPr>
        <w:pStyle w:val="28"/>
        <w:numPr>
          <w:ilvl w:val="2"/>
          <w:numId w:val="13"/>
        </w:numPr>
        <w:tabs>
          <w:tab w:val="left" w:pos="993"/>
        </w:tabs>
        <w:spacing w:before="0" w:beforeAutospacing="0" w:after="0" w:afterAutospacing="0"/>
        <w:jc w:val="both"/>
        <w:rPr>
          <w:rFonts w:ascii="Times New Roman" w:hAnsi="Times New Roman"/>
          <w:sz w:val="22"/>
          <w:szCs w:val="22"/>
        </w:rPr>
      </w:pPr>
      <w:r>
        <w:rPr>
          <w:sz w:val="22"/>
          <w:szCs w:val="22"/>
        </w:rPr>
        <w:t>paralisar, por determinação do Contratante, qualquer atividade que não esteja sendo executada de acordo com a boa técnica ou que ponha em risco a segurança de pessoas ou bens de terceiros;</w:t>
      </w:r>
    </w:p>
    <w:p>
      <w:pPr>
        <w:pStyle w:val="28"/>
        <w:numPr>
          <w:ilvl w:val="2"/>
          <w:numId w:val="13"/>
        </w:numPr>
        <w:tabs>
          <w:tab w:val="left" w:pos="993"/>
        </w:tabs>
        <w:spacing w:before="0" w:beforeAutospacing="0" w:after="0" w:afterAutospacing="0"/>
        <w:jc w:val="both"/>
        <w:rPr>
          <w:rFonts w:ascii="Times New Roman" w:hAnsi="Times New Roman"/>
          <w:sz w:val="22"/>
          <w:szCs w:val="22"/>
        </w:rPr>
      </w:pPr>
      <w:r>
        <w:rPr>
          <w:sz w:val="22"/>
          <w:szCs w:val="22"/>
        </w:rPr>
        <w:t>promover a guarda, manutenção e vigilância de materiais, ferramentas, e tudo o que for necessário à execução do objeto, durante a vigência do contrato;</w:t>
      </w:r>
    </w:p>
    <w:p>
      <w:pPr>
        <w:pStyle w:val="28"/>
        <w:numPr>
          <w:ilvl w:val="2"/>
          <w:numId w:val="13"/>
        </w:numPr>
        <w:tabs>
          <w:tab w:val="left" w:pos="993"/>
        </w:tabs>
        <w:spacing w:before="0" w:beforeAutospacing="0" w:after="0" w:afterAutospacing="0"/>
        <w:jc w:val="both"/>
        <w:rPr>
          <w:rFonts w:ascii="Times New Roman" w:hAnsi="Times New Roman"/>
          <w:sz w:val="22"/>
          <w:szCs w:val="22"/>
        </w:rPr>
      </w:pPr>
      <w:r>
        <w:rPr>
          <w:sz w:val="22"/>
          <w:szCs w:val="22"/>
        </w:rPr>
        <w:t>submeter previamente, por escrito, ao Contratante, para análise e aprovação, quaisquer mudanças nos métodos executivos que fujam às especificações do memorial descritivo ou instrumento congênere;</w:t>
      </w:r>
    </w:p>
    <w:p>
      <w:pPr>
        <w:pStyle w:val="28"/>
        <w:numPr>
          <w:ilvl w:val="2"/>
          <w:numId w:val="13"/>
        </w:numPr>
        <w:tabs>
          <w:tab w:val="left" w:pos="993"/>
        </w:tabs>
        <w:spacing w:before="0" w:beforeAutospacing="0" w:after="0" w:afterAutospacing="0"/>
        <w:jc w:val="both"/>
        <w:rPr>
          <w:rFonts w:ascii="Times New Roman" w:hAnsi="Times New Roman"/>
          <w:sz w:val="22"/>
          <w:szCs w:val="22"/>
        </w:rPr>
      </w:pPr>
      <w:r>
        <w:rPr>
          <w:sz w:val="22"/>
          <w:szCs w:val="22"/>
        </w:rPr>
        <w:t>não permitir a utilização de qualquer trabalho do menor de dezesseis anos, exceto na condição de aprendiz para os maiores de quatorze anos, nem permitir a utilização do trabalho do menor de dezoito anos em trabalho noturno, perigoso ou insalubre;</w:t>
      </w:r>
    </w:p>
    <w:p>
      <w:pPr>
        <w:pStyle w:val="28"/>
        <w:numPr>
          <w:ilvl w:val="2"/>
          <w:numId w:val="13"/>
        </w:numPr>
        <w:tabs>
          <w:tab w:val="left" w:pos="993"/>
        </w:tabs>
        <w:spacing w:before="0" w:beforeAutospacing="0" w:after="0" w:afterAutospacing="0"/>
        <w:jc w:val="both"/>
      </w:pPr>
      <w:r>
        <w:rPr>
          <w:sz w:val="22"/>
          <w:szCs w:val="22"/>
        </w:rPr>
        <w:t xml:space="preserve">cumprir, durante todo o período de execução do contrato, a reserva de cargos prevista no </w:t>
      </w:r>
      <w:r>
        <w:fldChar w:fldCharType="begin"/>
      </w:r>
      <w:r>
        <w:rPr>
          <w:rStyle w:val="54"/>
          <w:sz w:val="22"/>
          <w:szCs w:val="22"/>
        </w:rPr>
        <w:instrText xml:space="preserve"> HYPERLINK "https://www.planalto.gov.br/ccivil_03/leis/l8213cons.htm" \l "art93"</w:instrText>
      </w:r>
      <w:r>
        <w:rPr>
          <w:rStyle w:val="54"/>
          <w:sz w:val="22"/>
          <w:szCs w:val="22"/>
        </w:rPr>
        <w:fldChar w:fldCharType="separate"/>
      </w:r>
      <w:r>
        <w:rPr>
          <w:rStyle w:val="54"/>
          <w:sz w:val="22"/>
          <w:szCs w:val="22"/>
        </w:rPr>
        <w:t>art. 93, da Lei Federal nº 8.213, de 1991</w:t>
      </w:r>
      <w:r>
        <w:rPr>
          <w:rStyle w:val="54"/>
          <w:sz w:val="22"/>
          <w:szCs w:val="22"/>
        </w:rPr>
        <w:fldChar w:fldCharType="end"/>
      </w:r>
      <w:r>
        <w:rPr>
          <w:sz w:val="22"/>
          <w:szCs w:val="22"/>
        </w:rPr>
        <w:t>, para pessoa com deficiência, para reabilitado da Previdência Social e para aprendiz, bem como as reservas de cargos previstas na legislação (</w:t>
      </w:r>
      <w:r>
        <w:fldChar w:fldCharType="begin"/>
      </w:r>
      <w:r>
        <w:rPr>
          <w:rStyle w:val="54"/>
          <w:sz w:val="22"/>
          <w:szCs w:val="22"/>
        </w:rPr>
        <w:instrText xml:space="preserve"> HYPERLINK "http://www.planalto.gov.br/ccivil_03/_ato2019-2022/2021/lei/L14133.htm" \l "art116"</w:instrText>
      </w:r>
      <w:r>
        <w:rPr>
          <w:rStyle w:val="54"/>
          <w:sz w:val="22"/>
          <w:szCs w:val="22"/>
        </w:rPr>
        <w:fldChar w:fldCharType="separate"/>
      </w:r>
      <w:r>
        <w:rPr>
          <w:rStyle w:val="54"/>
          <w:sz w:val="22"/>
          <w:szCs w:val="22"/>
        </w:rPr>
        <w:t>art. 116</w:t>
      </w:r>
      <w:r>
        <w:rPr>
          <w:rStyle w:val="54"/>
          <w:sz w:val="22"/>
          <w:szCs w:val="22"/>
        </w:rPr>
        <w:fldChar w:fldCharType="end"/>
      </w:r>
      <w:r>
        <w:rPr>
          <w:rStyle w:val="54"/>
          <w:sz w:val="22"/>
          <w:szCs w:val="22"/>
        </w:rPr>
        <w:t xml:space="preserve"> da Lei Federal nº 14.133, de 2021</w:t>
      </w:r>
      <w:r>
        <w:rPr>
          <w:sz w:val="22"/>
          <w:szCs w:val="22"/>
        </w:rPr>
        <w:t>), comprovando o cumprimento da legislação, no prazo fixado pelo(a) fiscal do contrato, com a indicação dos empregados que preencheram as referidas vagas e mantendo durante todo o período de contratação as cotas exigidas por Lei;</w:t>
      </w:r>
    </w:p>
    <w:p>
      <w:pPr>
        <w:pStyle w:val="28"/>
        <w:numPr>
          <w:ilvl w:val="2"/>
          <w:numId w:val="13"/>
        </w:numPr>
        <w:tabs>
          <w:tab w:val="left" w:pos="993"/>
        </w:tabs>
        <w:spacing w:before="0" w:beforeAutospacing="0" w:after="0" w:afterAutospacing="0"/>
        <w:jc w:val="both"/>
        <w:rPr>
          <w:rFonts w:ascii="Times New Roman" w:hAnsi="Times New Roman"/>
          <w:sz w:val="22"/>
          <w:szCs w:val="22"/>
        </w:rPr>
      </w:pPr>
      <w:r>
        <w:rPr>
          <w:sz w:val="22"/>
          <w:szCs w:val="22"/>
        </w:rPr>
        <w:t>guardar sigilo sobre todas as informações obtidas em decorrência do cumprimento do contrato;</w:t>
      </w:r>
    </w:p>
    <w:p>
      <w:pPr>
        <w:pStyle w:val="28"/>
        <w:numPr>
          <w:ilvl w:val="2"/>
          <w:numId w:val="13"/>
        </w:numPr>
        <w:tabs>
          <w:tab w:val="left" w:pos="993"/>
        </w:tabs>
        <w:spacing w:before="0" w:beforeAutospacing="0" w:after="0" w:afterAutospacing="0"/>
        <w:jc w:val="both"/>
      </w:pPr>
      <w:r>
        <w:rPr>
          <w:sz w:val="22"/>
          <w:szCs w:val="22"/>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rPr>
          <w:rStyle w:val="54"/>
          <w:sz w:val="22"/>
          <w:szCs w:val="22"/>
        </w:rPr>
        <w:instrText xml:space="preserve"> HYPERLINK "http://www.planalto.gov.br/ccivil_03/_ato2019-2022/2021/lei/L14133.htm" \l "art124"</w:instrText>
      </w:r>
      <w:r>
        <w:rPr>
          <w:rStyle w:val="54"/>
          <w:sz w:val="22"/>
          <w:szCs w:val="22"/>
        </w:rPr>
        <w:fldChar w:fldCharType="separate"/>
      </w:r>
      <w:r>
        <w:rPr>
          <w:rStyle w:val="54"/>
          <w:sz w:val="22"/>
          <w:szCs w:val="22"/>
        </w:rPr>
        <w:t>art. 124, II, d, da Lei Federal nº 14.133, de 2021</w:t>
      </w:r>
      <w:r>
        <w:rPr>
          <w:rStyle w:val="54"/>
          <w:sz w:val="22"/>
          <w:szCs w:val="22"/>
        </w:rPr>
        <w:fldChar w:fldCharType="end"/>
      </w:r>
      <w:r>
        <w:rPr>
          <w:sz w:val="22"/>
          <w:szCs w:val="22"/>
        </w:rPr>
        <w:t>;</w:t>
      </w:r>
    </w:p>
    <w:p>
      <w:pPr>
        <w:pStyle w:val="28"/>
        <w:numPr>
          <w:ilvl w:val="2"/>
          <w:numId w:val="13"/>
        </w:numPr>
        <w:tabs>
          <w:tab w:val="left" w:pos="993"/>
        </w:tabs>
        <w:spacing w:before="0" w:beforeAutospacing="0" w:after="0" w:afterAutospacing="0"/>
        <w:jc w:val="both"/>
        <w:rPr>
          <w:rFonts w:ascii="Times New Roman" w:hAnsi="Times New Roman"/>
          <w:sz w:val="22"/>
          <w:szCs w:val="22"/>
        </w:rPr>
      </w:pPr>
      <w:r>
        <w:rPr>
          <w:sz w:val="22"/>
          <w:szCs w:val="22"/>
        </w:rPr>
        <w:t>cumprir, além dos postulados legais vigentes de âmbito federal, estadual ou municipal, as normas de segurança do Contratante, além das recomendações do(a) fiscal de contrato;</w:t>
      </w:r>
    </w:p>
    <w:p>
      <w:pPr>
        <w:pStyle w:val="28"/>
        <w:numPr>
          <w:ilvl w:val="2"/>
          <w:numId w:val="13"/>
        </w:numPr>
        <w:tabs>
          <w:tab w:val="left" w:pos="993"/>
        </w:tabs>
        <w:spacing w:before="0" w:beforeAutospacing="0" w:after="0" w:afterAutospacing="0"/>
        <w:jc w:val="both"/>
        <w:rPr>
          <w:rFonts w:ascii="Times New Roman" w:hAnsi="Times New Roman"/>
          <w:sz w:val="22"/>
          <w:szCs w:val="22"/>
        </w:rPr>
      </w:pPr>
      <w:r>
        <w:rPr>
          <w:sz w:val="22"/>
          <w:szCs w:val="22"/>
        </w:rPr>
        <w:t>apresentar ao Contratante, quando for o caso, a relação nominal dos empregados que atuarão na execução do serviço;</w:t>
      </w:r>
    </w:p>
    <w:p>
      <w:pPr>
        <w:pStyle w:val="28"/>
        <w:numPr>
          <w:ilvl w:val="2"/>
          <w:numId w:val="13"/>
        </w:numPr>
        <w:tabs>
          <w:tab w:val="left" w:pos="993"/>
        </w:tabs>
        <w:spacing w:before="0" w:beforeAutospacing="0" w:after="0" w:afterAutospacing="0"/>
        <w:jc w:val="both"/>
        <w:rPr>
          <w:rFonts w:ascii="Times New Roman" w:hAnsi="Times New Roman"/>
          <w:sz w:val="22"/>
          <w:szCs w:val="22"/>
        </w:rPr>
      </w:pPr>
      <w:r>
        <w:rPr>
          <w:sz w:val="22"/>
          <w:szCs w:val="22"/>
        </w:rPr>
        <w:t>instruir seus empregados quanto à necessidade de acatar as Normas Internas do Contratante, bem como em relação às atividades a serem desempenhadas, alertando-os a não executarem atividades não abrangidas pelo contrato, devendo a Contratada relatar ao Contratante toda e qualquer ocorrência neste sentido, a fim de evitar desvio de função;</w:t>
      </w:r>
    </w:p>
    <w:p>
      <w:pPr>
        <w:pStyle w:val="28"/>
        <w:numPr>
          <w:ilvl w:val="2"/>
          <w:numId w:val="13"/>
        </w:numPr>
        <w:tabs>
          <w:tab w:val="left" w:pos="993"/>
        </w:tabs>
        <w:spacing w:before="0" w:beforeAutospacing="0" w:after="0" w:afterAutospacing="0"/>
        <w:jc w:val="both"/>
        <w:rPr>
          <w:rFonts w:ascii="Times New Roman" w:hAnsi="Times New Roman"/>
          <w:sz w:val="22"/>
          <w:szCs w:val="22"/>
        </w:rPr>
      </w:pPr>
      <w:r>
        <w:rPr>
          <w:sz w:val="22"/>
          <w:szCs w:val="22"/>
        </w:rPr>
        <w:t>obter junto aos órgãos competentes, conforme o caso, as licenças necessárias e demais documentos e autorizações exigíveis, na forma da legislação aplicável;</w:t>
      </w:r>
    </w:p>
    <w:p>
      <w:pPr>
        <w:pStyle w:val="28"/>
        <w:numPr>
          <w:ilvl w:val="2"/>
          <w:numId w:val="13"/>
        </w:numPr>
        <w:tabs>
          <w:tab w:val="left" w:pos="993"/>
        </w:tabs>
        <w:spacing w:before="0" w:beforeAutospacing="0" w:after="0" w:afterAutospacing="0"/>
        <w:jc w:val="both"/>
      </w:pPr>
      <w:r>
        <w:rPr>
          <w:sz w:val="22"/>
          <w:szCs w:val="22"/>
        </w:rPr>
        <w:t>atender</w:t>
      </w:r>
      <w:r>
        <w:rPr>
          <w:color w:val="000000"/>
          <w:sz w:val="22"/>
          <w:szCs w:val="22"/>
        </w:rPr>
        <w:t xml:space="preserve"> às determinações regulares emitidas pelo(a) fiscal ou gestor(a) do contrato ou autoridade superior (</w:t>
      </w:r>
      <w:r>
        <w:fldChar w:fldCharType="begin"/>
      </w:r>
      <w:r>
        <w:rPr>
          <w:rStyle w:val="54"/>
          <w:sz w:val="22"/>
          <w:szCs w:val="22"/>
        </w:rPr>
        <w:instrText xml:space="preserve"> HYPERLINK "https://www.planalto.gov.br/ccivil_03/_ato2019-2022/2021/lei/l14133.htm" \l "art137"</w:instrText>
      </w:r>
      <w:r>
        <w:rPr>
          <w:rStyle w:val="54"/>
          <w:sz w:val="22"/>
          <w:szCs w:val="22"/>
        </w:rPr>
        <w:fldChar w:fldCharType="separate"/>
      </w:r>
      <w:r>
        <w:rPr>
          <w:rStyle w:val="54"/>
          <w:sz w:val="22"/>
          <w:szCs w:val="22"/>
        </w:rPr>
        <w:t>art. 137, II, da Lei Federal nº 14.133, de 2021</w:t>
      </w:r>
      <w:r>
        <w:rPr>
          <w:rStyle w:val="54"/>
          <w:sz w:val="22"/>
          <w:szCs w:val="22"/>
        </w:rPr>
        <w:fldChar w:fldCharType="end"/>
      </w:r>
      <w:r>
        <w:rPr>
          <w:color w:val="000000"/>
          <w:sz w:val="22"/>
          <w:szCs w:val="22"/>
        </w:rPr>
        <w:t>) e prestar todo esclarecimento ou informação por eles solicitados;</w:t>
      </w:r>
    </w:p>
    <w:p>
      <w:pPr>
        <w:pStyle w:val="28"/>
        <w:numPr>
          <w:ilvl w:val="2"/>
          <w:numId w:val="13"/>
        </w:numPr>
        <w:tabs>
          <w:tab w:val="left" w:pos="993"/>
        </w:tabs>
        <w:spacing w:before="0" w:beforeAutospacing="0" w:after="0" w:afterAutospacing="0"/>
        <w:jc w:val="both"/>
        <w:rPr>
          <w:rFonts w:ascii="Times New Roman" w:hAnsi="Times New Roman"/>
          <w:sz w:val="22"/>
          <w:szCs w:val="22"/>
        </w:rPr>
      </w:pPr>
      <w:r>
        <w:rPr>
          <w:sz w:val="22"/>
          <w:szCs w:val="22"/>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pPr>
        <w:pStyle w:val="28"/>
        <w:numPr>
          <w:ilvl w:val="2"/>
          <w:numId w:val="13"/>
        </w:numPr>
        <w:tabs>
          <w:tab w:val="left" w:pos="993"/>
        </w:tabs>
        <w:spacing w:before="0" w:beforeAutospacing="0" w:after="0" w:afterAutospacing="0"/>
        <w:jc w:val="both"/>
        <w:rPr>
          <w:rFonts w:ascii="Times New Roman" w:hAnsi="Times New Roman"/>
          <w:sz w:val="22"/>
          <w:szCs w:val="22"/>
        </w:rPr>
      </w:pPr>
      <w:r>
        <w:rPr>
          <w:sz w:val="22"/>
          <w:szCs w:val="22"/>
        </w:rPr>
        <w:t>entregar, junto com a Nota Fiscal, as certidões que comprovem a regularidade perante a Fazenda estadual e municipal do domicílio ou sede da Contratada, além das certidões federais que não estejam sendo emitidas pela rede mundial de computadores;</w:t>
      </w:r>
    </w:p>
    <w:p>
      <w:pPr>
        <w:pStyle w:val="28"/>
        <w:numPr>
          <w:ilvl w:val="2"/>
          <w:numId w:val="13"/>
        </w:numPr>
        <w:tabs>
          <w:tab w:val="left" w:pos="993"/>
        </w:tabs>
        <w:spacing w:before="0" w:beforeAutospacing="0" w:after="0" w:afterAutospacing="0"/>
        <w:jc w:val="both"/>
        <w:rPr>
          <w:rFonts w:ascii="Times New Roman" w:hAnsi="Times New Roman"/>
          <w:sz w:val="22"/>
          <w:szCs w:val="22"/>
        </w:rPr>
      </w:pPr>
      <w:r>
        <w:rPr>
          <w:sz w:val="22"/>
          <w:szCs w:val="22"/>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pPr>
        <w:pStyle w:val="28"/>
        <w:numPr>
          <w:ilvl w:val="2"/>
          <w:numId w:val="13"/>
        </w:numPr>
        <w:tabs>
          <w:tab w:val="left" w:pos="993"/>
        </w:tabs>
        <w:spacing w:before="0" w:beforeAutospacing="0" w:after="0" w:afterAutospacing="0"/>
        <w:jc w:val="both"/>
        <w:rPr>
          <w:rFonts w:ascii="Times New Roman" w:hAnsi="Times New Roman"/>
          <w:sz w:val="22"/>
          <w:szCs w:val="22"/>
        </w:rPr>
      </w:pPr>
      <w:r>
        <w:rPr>
          <w:sz w:val="22"/>
          <w:szCs w:val="22"/>
        </w:rPr>
        <w:t>paralisar, por determinação do Contratante, qualquer atividade que não esteja sendo executada de acordo com a boa técnica ou que ponha em risco a segurança de pessoas ou bens de terceiros;</w:t>
      </w:r>
    </w:p>
    <w:p>
      <w:pPr>
        <w:pStyle w:val="28"/>
        <w:numPr>
          <w:ilvl w:val="2"/>
          <w:numId w:val="13"/>
        </w:numPr>
        <w:tabs>
          <w:tab w:val="left" w:pos="993"/>
        </w:tabs>
        <w:spacing w:before="0" w:beforeAutospacing="0" w:after="0" w:afterAutospacing="0"/>
        <w:jc w:val="both"/>
        <w:rPr>
          <w:rFonts w:ascii="Times New Roman" w:hAnsi="Times New Roman"/>
          <w:sz w:val="22"/>
          <w:szCs w:val="22"/>
        </w:rPr>
      </w:pPr>
      <w:r>
        <w:rPr>
          <w:sz w:val="22"/>
          <w:szCs w:val="22"/>
        </w:rPr>
        <w:t xml:space="preserve">manter durante toda a vigência do contrato, em compatibilidade com as obrigações assumidas, todas as condições exigidas para habilitação na licitação; </w:t>
      </w:r>
    </w:p>
    <w:p>
      <w:pPr>
        <w:pStyle w:val="28"/>
        <w:numPr>
          <w:ilvl w:val="2"/>
          <w:numId w:val="13"/>
        </w:numPr>
        <w:tabs>
          <w:tab w:val="left" w:pos="993"/>
        </w:tabs>
        <w:spacing w:before="0" w:beforeAutospacing="0" w:after="0" w:afterAutospacing="0"/>
        <w:jc w:val="both"/>
        <w:rPr>
          <w:rFonts w:ascii="Times New Roman" w:hAnsi="Times New Roman"/>
          <w:sz w:val="22"/>
          <w:szCs w:val="22"/>
        </w:rPr>
      </w:pPr>
      <w:r>
        <w:rPr>
          <w:sz w:val="22"/>
          <w:szCs w:val="22"/>
        </w:rPr>
        <w:t xml:space="preserve">guardar sigilo sobre todas as informações obtidas em decorrência do cumprimento do contrato; </w:t>
      </w:r>
    </w:p>
    <w:p>
      <w:pPr>
        <w:pStyle w:val="28"/>
        <w:numPr>
          <w:ilvl w:val="2"/>
          <w:numId w:val="13"/>
        </w:numPr>
        <w:tabs>
          <w:tab w:val="left" w:pos="993"/>
        </w:tabs>
        <w:spacing w:before="0" w:beforeAutospacing="0" w:after="0" w:afterAutospacing="0"/>
        <w:jc w:val="both"/>
        <w:rPr>
          <w:rFonts w:ascii="Times New Roman" w:hAnsi="Times New Roman"/>
          <w:sz w:val="22"/>
          <w:szCs w:val="22"/>
        </w:rPr>
      </w:pPr>
      <w:bookmarkStart w:id="75" w:name="_Ref118293001"/>
      <w:r>
        <w:rPr>
          <w:color w:val="000000"/>
          <w:sz w:val="22"/>
          <w:szCs w:val="22"/>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75"/>
    </w:p>
    <w:p>
      <w:pPr>
        <w:pStyle w:val="28"/>
        <w:numPr>
          <w:ilvl w:val="2"/>
          <w:numId w:val="13"/>
        </w:numPr>
        <w:tabs>
          <w:tab w:val="left" w:pos="993"/>
        </w:tabs>
        <w:spacing w:before="0" w:beforeAutospacing="0" w:after="0" w:afterAutospacing="0"/>
        <w:jc w:val="both"/>
      </w:pPr>
      <w:r>
        <w:rPr>
          <w:color w:val="000000"/>
          <w:sz w:val="22"/>
          <w:szCs w:val="22"/>
        </w:rPr>
        <w:t xml:space="preserve">orientar e treinar seus empregados sobre os deveres previstos na </w:t>
      </w:r>
      <w:r>
        <w:fldChar w:fldCharType="begin"/>
      </w:r>
      <w:r>
        <w:instrText xml:space="preserve"> HYPERLINK "https://www.planalto.gov.br/ccivil_03/_ato2015-2018/2018/lei/l13709.htm" \h </w:instrText>
      </w:r>
      <w:r>
        <w:fldChar w:fldCharType="separate"/>
      </w:r>
      <w:r>
        <w:rPr>
          <w:rStyle w:val="54"/>
          <w:sz w:val="22"/>
          <w:szCs w:val="22"/>
        </w:rPr>
        <w:t>Lei Federal nº 13.709, de 2018</w:t>
      </w:r>
      <w:r>
        <w:rPr>
          <w:rStyle w:val="54"/>
          <w:sz w:val="22"/>
          <w:szCs w:val="22"/>
        </w:rPr>
        <w:fldChar w:fldCharType="end"/>
      </w:r>
      <w:r>
        <w:rPr>
          <w:color w:val="000000"/>
          <w:sz w:val="22"/>
          <w:szCs w:val="22"/>
        </w:rPr>
        <w:t>, adotando medidas eficazes para proteção de dados pessoais a que tenha acesso por força da execução deste contrato;</w:t>
      </w:r>
    </w:p>
    <w:p>
      <w:pPr>
        <w:pStyle w:val="28"/>
        <w:numPr>
          <w:ilvl w:val="2"/>
          <w:numId w:val="13"/>
        </w:numPr>
        <w:tabs>
          <w:tab w:val="left" w:pos="993"/>
        </w:tabs>
        <w:spacing w:before="0" w:beforeAutospacing="0" w:after="0" w:afterAutospacing="0"/>
        <w:jc w:val="both"/>
        <w:rPr>
          <w:rFonts w:ascii="Times New Roman" w:hAnsi="Times New Roman"/>
          <w:sz w:val="22"/>
          <w:szCs w:val="22"/>
        </w:rPr>
      </w:pPr>
      <w:r>
        <w:rPr>
          <w:color w:val="000000"/>
          <w:sz w:val="22"/>
          <w:szCs w:val="22"/>
        </w:rPr>
        <w:t>conduzir os trabalhos com estrita observância às normas da legislação pertinente, cumprindo as determinações dos Poderes Públicos, mantendo sempre limpo o local de execução do objeto e nas melhores condições de segurança, higiene e disciplina;</w:t>
      </w:r>
    </w:p>
    <w:p>
      <w:pPr>
        <w:pStyle w:val="28"/>
        <w:numPr>
          <w:ilvl w:val="2"/>
          <w:numId w:val="13"/>
        </w:numPr>
        <w:tabs>
          <w:tab w:val="left" w:pos="993"/>
        </w:tabs>
        <w:spacing w:before="0" w:beforeAutospacing="0" w:after="0" w:afterAutospacing="0"/>
        <w:jc w:val="both"/>
        <w:rPr>
          <w:rFonts w:ascii="Times New Roman" w:hAnsi="Times New Roman"/>
          <w:sz w:val="22"/>
          <w:szCs w:val="22"/>
        </w:rPr>
      </w:pPr>
      <w:r>
        <w:rPr>
          <w:color w:val="000000"/>
          <w:sz w:val="22"/>
          <w:szCs w:val="22"/>
        </w:rPr>
        <w:t>submeter previamente, por escrito, ao Contratante, para análise e aprovação, quaisquer mudanças nos métodos executivos que fujam às especificações do memorial descritivo ou instrumento congênere;</w:t>
      </w:r>
    </w:p>
    <w:p>
      <w:pPr>
        <w:pStyle w:val="28"/>
        <w:numPr>
          <w:ilvl w:val="2"/>
          <w:numId w:val="13"/>
        </w:numPr>
        <w:tabs>
          <w:tab w:val="left" w:pos="993"/>
        </w:tabs>
        <w:spacing w:before="0" w:beforeAutospacing="0" w:after="0" w:afterAutospacing="0"/>
        <w:jc w:val="both"/>
        <w:rPr>
          <w:rFonts w:ascii="Times New Roman" w:hAnsi="Times New Roman"/>
          <w:sz w:val="22"/>
          <w:szCs w:val="22"/>
        </w:rPr>
      </w:pPr>
      <w:r>
        <w:rPr>
          <w:color w:val="000000"/>
          <w:sz w:val="22"/>
          <w:szCs w:val="22"/>
        </w:rPr>
        <w:t>executar os serviços objeto desta contratação com presteza e rapidez, conforme as necessidades do Contratante;</w:t>
      </w:r>
    </w:p>
    <w:p>
      <w:pPr>
        <w:pStyle w:val="28"/>
        <w:numPr>
          <w:ilvl w:val="2"/>
          <w:numId w:val="13"/>
        </w:numPr>
        <w:tabs>
          <w:tab w:val="left" w:pos="993"/>
        </w:tabs>
        <w:spacing w:before="0" w:beforeAutospacing="0" w:after="0" w:afterAutospacing="0"/>
        <w:jc w:val="both"/>
        <w:rPr>
          <w:rFonts w:ascii="Times New Roman" w:hAnsi="Times New Roman"/>
          <w:sz w:val="22"/>
          <w:szCs w:val="22"/>
        </w:rPr>
      </w:pPr>
      <w:r>
        <w:rPr>
          <w:color w:val="000000"/>
          <w:sz w:val="22"/>
          <w:szCs w:val="22"/>
        </w:rPr>
        <w:t>não transferir a outrem, no todo ou em parte, o objeto do contrato a ser firmado, sem prévia anuência do Contratante;</w:t>
      </w:r>
    </w:p>
    <w:p>
      <w:pPr>
        <w:pStyle w:val="28"/>
        <w:numPr>
          <w:ilvl w:val="2"/>
          <w:numId w:val="13"/>
        </w:numPr>
        <w:tabs>
          <w:tab w:val="left" w:pos="993"/>
        </w:tabs>
        <w:spacing w:before="0" w:beforeAutospacing="0" w:after="0" w:afterAutospacing="0"/>
        <w:jc w:val="both"/>
        <w:rPr>
          <w:rFonts w:ascii="Times New Roman" w:hAnsi="Times New Roman"/>
          <w:sz w:val="22"/>
          <w:szCs w:val="22"/>
        </w:rPr>
      </w:pPr>
      <w:r>
        <w:rPr>
          <w:color w:val="000000"/>
          <w:sz w:val="22"/>
          <w:szCs w:val="22"/>
        </w:rPr>
        <w:t>não caucionar nem utilizar o contrato a ser firmado para qualquer operação financeira, sem prévia e expressa anuência da administração deste Regional;</w:t>
      </w:r>
    </w:p>
    <w:p>
      <w:pPr>
        <w:pStyle w:val="28"/>
        <w:numPr>
          <w:ilvl w:val="2"/>
          <w:numId w:val="13"/>
        </w:numPr>
        <w:tabs>
          <w:tab w:val="left" w:pos="993"/>
        </w:tabs>
        <w:spacing w:before="0" w:beforeAutospacing="0" w:after="0" w:afterAutospacing="0"/>
        <w:jc w:val="both"/>
        <w:rPr>
          <w:rFonts w:ascii="Times New Roman" w:hAnsi="Times New Roman"/>
          <w:sz w:val="22"/>
          <w:szCs w:val="22"/>
        </w:rPr>
      </w:pPr>
      <w:r>
        <w:rPr>
          <w:color w:val="000000"/>
          <w:sz w:val="22"/>
          <w:szCs w:val="22"/>
        </w:rPr>
        <w:t>arcar com todos os encargos diretos e indiretos que incidirem sobre a contratação, inclusive os trabalhistas, previdenciários, fiscais e comerciais resultantes da execução contratual devendo apresentar, sempre que solicitada pelo(a) gestor(a) do contrato, a documentação comprobatória dos recolhimentos devidos;</w:t>
      </w:r>
    </w:p>
    <w:p>
      <w:pPr>
        <w:pStyle w:val="28"/>
        <w:numPr>
          <w:ilvl w:val="2"/>
          <w:numId w:val="13"/>
        </w:numPr>
        <w:tabs>
          <w:tab w:val="left" w:pos="993"/>
        </w:tabs>
        <w:spacing w:before="0" w:beforeAutospacing="0" w:after="0" w:afterAutospacing="0"/>
        <w:jc w:val="both"/>
        <w:rPr>
          <w:rFonts w:ascii="Times New Roman" w:hAnsi="Times New Roman"/>
          <w:sz w:val="22"/>
          <w:szCs w:val="22"/>
        </w:rPr>
      </w:pPr>
      <w:r>
        <w:rPr>
          <w:color w:val="000000"/>
          <w:sz w:val="22"/>
          <w:szCs w:val="22"/>
        </w:rPr>
        <w:t>recolher, no prazo estabelecido, valores referentes a penalidades de multa aplicadas, em procedimento administrativo, decorrentes de descumprimento de obrigações contratuais;</w:t>
      </w:r>
    </w:p>
    <w:p>
      <w:pPr>
        <w:pStyle w:val="28"/>
        <w:numPr>
          <w:ilvl w:val="2"/>
          <w:numId w:val="13"/>
        </w:numPr>
        <w:tabs>
          <w:tab w:val="left" w:pos="993"/>
        </w:tabs>
        <w:spacing w:before="0" w:beforeAutospacing="0" w:after="0" w:afterAutospacing="0"/>
        <w:jc w:val="both"/>
        <w:rPr>
          <w:rFonts w:ascii="Times New Roman" w:hAnsi="Times New Roman"/>
          <w:sz w:val="22"/>
          <w:szCs w:val="22"/>
        </w:rPr>
      </w:pPr>
      <w:r>
        <w:rPr>
          <w:color w:val="000000"/>
          <w:sz w:val="22"/>
          <w:szCs w:val="22"/>
        </w:rPr>
        <w:t>acatar a fiscalização, a orientação e o gerenciamento dos trabalhos por parte do(a) gestor(a) e/ou do fiscal do contrato designado pela Administração.</w:t>
      </w:r>
    </w:p>
    <w:p>
      <w:pPr>
        <w:pStyle w:val="28"/>
        <w:numPr>
          <w:ilvl w:val="0"/>
          <w:numId w:val="13"/>
        </w:numPr>
        <w:pBdr>
          <w:bottom w:val="single" w:color="000000" w:themeColor="dark1" w:sz="4" w:space="1"/>
        </w:pBdr>
        <w:shd w:val="clear" w:color="auto" w:fill="BEBEBE" w:themeFill="background1" w:themeFillShade="BF"/>
        <w:spacing w:before="0" w:beforeAutospacing="0" w:after="0" w:afterAutospacing="0"/>
        <w:jc w:val="both"/>
      </w:pPr>
      <w:r>
        <w:rPr>
          <w:rStyle w:val="12"/>
          <w:color w:val="000000"/>
          <w:sz w:val="22"/>
          <w:szCs w:val="22"/>
        </w:rPr>
        <w:t xml:space="preserve">OBRIGAÇÕES PERTINENTES À LGPD </w:t>
      </w:r>
      <w:r>
        <w:rPr>
          <w:rStyle w:val="12"/>
          <w:b w:val="0"/>
          <w:bCs w:val="0"/>
          <w:color w:val="000000"/>
          <w:sz w:val="22"/>
          <w:szCs w:val="22"/>
        </w:rPr>
        <w:t>(</w:t>
      </w:r>
      <w:r>
        <w:fldChar w:fldCharType="begin"/>
      </w:r>
      <w:r>
        <w:instrText xml:space="preserve"> HYPERLINK "https://www.planalto.gov.br/ccivil_03/_ato2015-2018/2018/lei/l13709.htm" \h </w:instrText>
      </w:r>
      <w:r>
        <w:fldChar w:fldCharType="separate"/>
      </w:r>
      <w:r>
        <w:rPr>
          <w:rStyle w:val="54"/>
          <w:sz w:val="22"/>
          <w:szCs w:val="22"/>
        </w:rPr>
        <w:t>Lei Federal nº 13.709, de 2018</w:t>
      </w:r>
      <w:r>
        <w:rPr>
          <w:rStyle w:val="54"/>
          <w:sz w:val="22"/>
          <w:szCs w:val="22"/>
        </w:rPr>
        <w:fldChar w:fldCharType="end"/>
      </w:r>
      <w:r>
        <w:rPr>
          <w:rStyle w:val="12"/>
          <w:b w:val="0"/>
          <w:bCs w:val="0"/>
          <w:color w:val="000000"/>
          <w:sz w:val="22"/>
          <w:szCs w:val="22"/>
        </w:rPr>
        <w:t>)</w:t>
      </w:r>
    </w:p>
    <w:p>
      <w:pPr>
        <w:pStyle w:val="28"/>
        <w:numPr>
          <w:ilvl w:val="1"/>
          <w:numId w:val="13"/>
        </w:numPr>
        <w:tabs>
          <w:tab w:val="left" w:pos="993"/>
        </w:tabs>
        <w:spacing w:before="0" w:beforeAutospacing="0" w:after="0" w:afterAutospacing="0"/>
        <w:ind w:left="0" w:firstLine="567"/>
        <w:jc w:val="both"/>
      </w:pPr>
      <w:r>
        <w:rPr>
          <w:sz w:val="22"/>
          <w:szCs w:val="22"/>
        </w:rPr>
        <w:t xml:space="preserve">As partes deverão cumprir a </w:t>
      </w:r>
      <w:r>
        <w:fldChar w:fldCharType="begin"/>
      </w:r>
      <w:r>
        <w:instrText xml:space="preserve"> HYPERLINK "https://www.planalto.gov.br/ccivil_03/_ato2015-2018/2018/lei/l13709.htm" \h </w:instrText>
      </w:r>
      <w:r>
        <w:fldChar w:fldCharType="separate"/>
      </w:r>
      <w:r>
        <w:rPr>
          <w:rStyle w:val="54"/>
          <w:sz w:val="22"/>
          <w:szCs w:val="22"/>
        </w:rPr>
        <w:t>Lei Federal nº 13.709, de 2018 (LGPD)</w:t>
      </w:r>
      <w:r>
        <w:rPr>
          <w:rStyle w:val="54"/>
          <w:sz w:val="22"/>
          <w:szCs w:val="22"/>
        </w:rPr>
        <w:fldChar w:fldCharType="end"/>
      </w:r>
      <w:r>
        <w:rPr>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pPr>
        <w:pStyle w:val="28"/>
        <w:numPr>
          <w:ilvl w:val="1"/>
          <w:numId w:val="13"/>
        </w:numPr>
        <w:tabs>
          <w:tab w:val="left" w:pos="993"/>
        </w:tabs>
        <w:spacing w:before="0" w:beforeAutospacing="0" w:after="0" w:afterAutospacing="0"/>
        <w:ind w:left="0" w:firstLine="567"/>
        <w:jc w:val="both"/>
      </w:pPr>
      <w:r>
        <w:rPr>
          <w:sz w:val="22"/>
          <w:szCs w:val="22"/>
        </w:rPr>
        <w:t xml:space="preserve">Os dados obtidos somente poderão ser utilizados para as finalidades que justificaram seu acesso e de acordo com a boa-fé e com os princípios do </w:t>
      </w:r>
      <w:r>
        <w:fldChar w:fldCharType="begin"/>
      </w:r>
      <w:r>
        <w:rPr>
          <w:rStyle w:val="54"/>
          <w:sz w:val="22"/>
          <w:szCs w:val="22"/>
        </w:rPr>
        <w:instrText xml:space="preserve"> HYPERLINK "https://www.planalto.gov.br/ccivil_03/_ato2015-2018/2018/lei/l13709.htm" \l "art6"</w:instrText>
      </w:r>
      <w:r>
        <w:rPr>
          <w:rStyle w:val="54"/>
          <w:sz w:val="22"/>
          <w:szCs w:val="22"/>
        </w:rPr>
        <w:fldChar w:fldCharType="separate"/>
      </w:r>
      <w:r>
        <w:rPr>
          <w:rStyle w:val="54"/>
          <w:sz w:val="22"/>
          <w:szCs w:val="22"/>
        </w:rPr>
        <w:t>art. 6º da Lei Federal nº 13.709, de 2018</w:t>
      </w:r>
      <w:r>
        <w:rPr>
          <w:rStyle w:val="54"/>
          <w:sz w:val="22"/>
          <w:szCs w:val="22"/>
        </w:rPr>
        <w:fldChar w:fldCharType="end"/>
      </w:r>
      <w:r>
        <w:rPr>
          <w:sz w:val="22"/>
          <w:szCs w:val="22"/>
        </w:rPr>
        <w:t>.</w:t>
      </w:r>
    </w:p>
    <w:p>
      <w:pPr>
        <w:pStyle w:val="28"/>
        <w:numPr>
          <w:ilvl w:val="1"/>
          <w:numId w:val="13"/>
        </w:numPr>
        <w:tabs>
          <w:tab w:val="left" w:pos="993"/>
        </w:tabs>
        <w:spacing w:before="0" w:beforeAutospacing="0" w:after="0" w:afterAutospacing="0"/>
        <w:ind w:left="0" w:firstLine="567"/>
        <w:jc w:val="both"/>
        <w:rPr>
          <w:rFonts w:ascii="Times New Roman" w:hAnsi="Times New Roman"/>
          <w:sz w:val="22"/>
          <w:szCs w:val="22"/>
        </w:rPr>
      </w:pPr>
      <w:r>
        <w:rPr>
          <w:sz w:val="22"/>
          <w:szCs w:val="22"/>
        </w:rPr>
        <w:t>É vedado o compartilhamento com terceiros dos dados obtidos fora das hipóteses permitidas em Lei.</w:t>
      </w:r>
    </w:p>
    <w:p>
      <w:pPr>
        <w:pStyle w:val="28"/>
        <w:numPr>
          <w:ilvl w:val="1"/>
          <w:numId w:val="13"/>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A Administração deverá ser informada no prazo de 5 (cinco) dias úteis sobre todos os contratos de suboperação firmados ou que venham a ser celebrados pela Contratada. </w:t>
      </w:r>
    </w:p>
    <w:p>
      <w:pPr>
        <w:pStyle w:val="28"/>
        <w:numPr>
          <w:ilvl w:val="1"/>
          <w:numId w:val="13"/>
        </w:numPr>
        <w:tabs>
          <w:tab w:val="left" w:pos="993"/>
        </w:tabs>
        <w:spacing w:before="0" w:beforeAutospacing="0" w:after="0" w:afterAutospacing="0"/>
        <w:ind w:left="0" w:firstLine="567"/>
        <w:jc w:val="both"/>
      </w:pPr>
      <w:r>
        <w:rPr>
          <w:sz w:val="22"/>
          <w:szCs w:val="22"/>
        </w:rPr>
        <w:t xml:space="preserve">Terminado o tratamento dos dados nos termos do </w:t>
      </w:r>
      <w:r>
        <w:fldChar w:fldCharType="begin"/>
      </w:r>
      <w:r>
        <w:rPr>
          <w:rStyle w:val="54"/>
          <w:sz w:val="22"/>
          <w:szCs w:val="22"/>
        </w:rPr>
        <w:instrText xml:space="preserve"> HYPERLINK "https://www.planalto.gov.br/ccivil_03/_ato2015-2018/2018/lei/l13709.htm" \l "art15"</w:instrText>
      </w:r>
      <w:r>
        <w:rPr>
          <w:rStyle w:val="54"/>
          <w:sz w:val="22"/>
          <w:szCs w:val="22"/>
        </w:rPr>
        <w:fldChar w:fldCharType="separate"/>
      </w:r>
      <w:r>
        <w:rPr>
          <w:rStyle w:val="54"/>
          <w:sz w:val="22"/>
          <w:szCs w:val="22"/>
        </w:rPr>
        <w:t>art. 15 da Lei Federal nº 13.709, de 2018</w:t>
      </w:r>
      <w:r>
        <w:rPr>
          <w:rStyle w:val="54"/>
          <w:sz w:val="22"/>
          <w:szCs w:val="22"/>
        </w:rPr>
        <w:fldChar w:fldCharType="end"/>
      </w:r>
      <w:r>
        <w:rPr>
          <w:sz w:val="22"/>
          <w:szCs w:val="22"/>
        </w:rPr>
        <w:t xml:space="preserve">, é dever da Contratada eliminá-los, com exceção das hipóteses do </w:t>
      </w:r>
      <w:r>
        <w:fldChar w:fldCharType="begin"/>
      </w:r>
      <w:r>
        <w:rPr>
          <w:rStyle w:val="54"/>
          <w:sz w:val="22"/>
          <w:szCs w:val="22"/>
        </w:rPr>
        <w:instrText xml:space="preserve"> HYPERLINK "https://www.planalto.gov.br/ccivil_03/_ato2015-2018/2018/lei/l13709.htm" \l "art16"</w:instrText>
      </w:r>
      <w:r>
        <w:rPr>
          <w:rStyle w:val="54"/>
          <w:sz w:val="22"/>
          <w:szCs w:val="22"/>
        </w:rPr>
        <w:fldChar w:fldCharType="separate"/>
      </w:r>
      <w:r>
        <w:rPr>
          <w:rStyle w:val="54"/>
          <w:sz w:val="22"/>
          <w:szCs w:val="22"/>
        </w:rPr>
        <w:t>art. 16 da Lei Federal nº 13.709, de 2018</w:t>
      </w:r>
      <w:r>
        <w:rPr>
          <w:rStyle w:val="54"/>
          <w:sz w:val="22"/>
          <w:szCs w:val="22"/>
        </w:rPr>
        <w:fldChar w:fldCharType="end"/>
      </w:r>
      <w:r>
        <w:rPr>
          <w:sz w:val="22"/>
          <w:szCs w:val="22"/>
        </w:rPr>
        <w:t xml:space="preserve">, incluindo aquelas em que houver necessidade de guarda de documentação para fins de comprovação do cumprimento de obrigações legais ou contratuais e somente enquanto não prescritas essas obrigações. </w:t>
      </w:r>
    </w:p>
    <w:p>
      <w:pPr>
        <w:pStyle w:val="28"/>
        <w:numPr>
          <w:ilvl w:val="1"/>
          <w:numId w:val="13"/>
        </w:numPr>
        <w:tabs>
          <w:tab w:val="left" w:pos="993"/>
        </w:tabs>
        <w:spacing w:before="0" w:beforeAutospacing="0" w:after="0" w:afterAutospacing="0"/>
        <w:ind w:left="0" w:firstLine="567"/>
        <w:jc w:val="both"/>
      </w:pPr>
      <w:r>
        <w:rPr>
          <w:sz w:val="22"/>
          <w:szCs w:val="22"/>
        </w:rPr>
        <w:t xml:space="preserve">É dever da Contratada orientar e treinar seus empregados sobre os deveres, requisitos e responsabilidades decorrentes da </w:t>
      </w:r>
      <w:r>
        <w:fldChar w:fldCharType="begin"/>
      </w:r>
      <w:r>
        <w:instrText xml:space="preserve"> HYPERLINK "https://www.planalto.gov.br/ccivil_03/_ato2015-2018/2018/lei/l13709.htm" \h </w:instrText>
      </w:r>
      <w:r>
        <w:fldChar w:fldCharType="separate"/>
      </w:r>
      <w:r>
        <w:rPr>
          <w:rStyle w:val="54"/>
          <w:sz w:val="22"/>
          <w:szCs w:val="22"/>
        </w:rPr>
        <w:t>Lei Federal nº 13.709, de 2018</w:t>
      </w:r>
      <w:r>
        <w:rPr>
          <w:rStyle w:val="54"/>
          <w:sz w:val="22"/>
          <w:szCs w:val="22"/>
        </w:rPr>
        <w:fldChar w:fldCharType="end"/>
      </w:r>
      <w:r>
        <w:rPr>
          <w:sz w:val="22"/>
          <w:szCs w:val="22"/>
        </w:rPr>
        <w:t xml:space="preserve">. </w:t>
      </w:r>
    </w:p>
    <w:p>
      <w:pPr>
        <w:pStyle w:val="28"/>
        <w:numPr>
          <w:ilvl w:val="1"/>
          <w:numId w:val="13"/>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deverá exigir de suboperadores e subcontratadas o cumprimento dos deveres da presente cláusula, permanecendo integralmente responsável por garantir sua observância.</w:t>
      </w:r>
    </w:p>
    <w:p>
      <w:pPr>
        <w:pStyle w:val="28"/>
        <w:numPr>
          <w:ilvl w:val="1"/>
          <w:numId w:val="13"/>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O Contratante poderá realizar diligência para aferir o cumprimento dessa cláusula, devendo a Contratada atender prontamente eventuais pedidos de comprovação formulados. </w:t>
      </w:r>
    </w:p>
    <w:p>
      <w:pPr>
        <w:pStyle w:val="28"/>
        <w:numPr>
          <w:ilvl w:val="1"/>
          <w:numId w:val="13"/>
        </w:numPr>
        <w:tabs>
          <w:tab w:val="left" w:pos="993"/>
        </w:tabs>
        <w:spacing w:before="0" w:beforeAutospacing="0" w:after="0" w:afterAutospacing="0"/>
        <w:ind w:left="0" w:firstLine="567"/>
        <w:jc w:val="both"/>
      </w:pPr>
      <w:r>
        <w:rPr>
          <w:sz w:val="22"/>
          <w:szCs w:val="22"/>
        </w:rPr>
        <w:t xml:space="preserve">A Contratada deverá prestar, no prazo fixado pelo Contratante, prorrogável justificadamente, quaisquer informações acerca dos dados pessoais para cumprimento da </w:t>
      </w:r>
      <w:r>
        <w:fldChar w:fldCharType="begin"/>
      </w:r>
      <w:r>
        <w:instrText xml:space="preserve"> HYPERLINK "https://www.planalto.gov.br/ccivil_03/_ato2015-2018/2018/lei/l13709.htm" \h </w:instrText>
      </w:r>
      <w:r>
        <w:fldChar w:fldCharType="separate"/>
      </w:r>
      <w:r>
        <w:rPr>
          <w:rStyle w:val="54"/>
          <w:sz w:val="22"/>
          <w:szCs w:val="22"/>
        </w:rPr>
        <w:t>Lei Federal nº 13.709, de 2018</w:t>
      </w:r>
      <w:r>
        <w:rPr>
          <w:rStyle w:val="54"/>
          <w:sz w:val="22"/>
          <w:szCs w:val="22"/>
        </w:rPr>
        <w:fldChar w:fldCharType="end"/>
      </w:r>
      <w:r>
        <w:rPr>
          <w:sz w:val="22"/>
          <w:szCs w:val="22"/>
        </w:rPr>
        <w:t xml:space="preserve">, inclusive quanto a eventual descarte realizado. </w:t>
      </w:r>
    </w:p>
    <w:p>
      <w:pPr>
        <w:pStyle w:val="28"/>
        <w:numPr>
          <w:ilvl w:val="1"/>
          <w:numId w:val="13"/>
        </w:numPr>
        <w:tabs>
          <w:tab w:val="left" w:pos="993"/>
        </w:tabs>
        <w:spacing w:before="0" w:beforeAutospacing="0" w:after="0" w:afterAutospacing="0"/>
        <w:ind w:left="0" w:firstLine="567"/>
        <w:jc w:val="both"/>
      </w:pPr>
      <w:r>
        <w:rPr>
          <w:sz w:val="22"/>
          <w:szCs w:val="22"/>
        </w:rPr>
        <w:t>Bancos de dados formados a partir de contratos administrativos, notadamente aqueles que se proponham a armazenar dados pessoais, devem ser mantidos em ambiente virtual controlado, com registro individual rastreável de tratamentos realizados (</w:t>
      </w:r>
      <w:r>
        <w:fldChar w:fldCharType="begin"/>
      </w:r>
      <w:r>
        <w:instrText xml:space="preserve"> HYPERLINK "https://www.planalto.gov.br/ccivil_03/_ato2015-2018/2018/lei/l13709.htm" \h </w:instrText>
      </w:r>
      <w:r>
        <w:fldChar w:fldCharType="separate"/>
      </w:r>
      <w:r>
        <w:rPr>
          <w:rStyle w:val="54"/>
          <w:sz w:val="22"/>
          <w:szCs w:val="22"/>
        </w:rPr>
        <w:t>art. 37 da Lei Federal nº 13.709, de 2018</w:t>
      </w:r>
      <w:r>
        <w:rPr>
          <w:rStyle w:val="54"/>
          <w:sz w:val="22"/>
          <w:szCs w:val="22"/>
        </w:rPr>
        <w:fldChar w:fldCharType="end"/>
      </w:r>
      <w:r>
        <w:rPr>
          <w:sz w:val="22"/>
          <w:szCs w:val="22"/>
        </w:rPr>
        <w:t>), com cada acesso, data, horário e registro da finalidade, para efeito de responsabilização, em caso de eventuais omissões, desvios ou abusos.</w:t>
      </w:r>
    </w:p>
    <w:p>
      <w:pPr>
        <w:pStyle w:val="28"/>
        <w:numPr>
          <w:ilvl w:val="1"/>
          <w:numId w:val="13"/>
        </w:numPr>
        <w:tabs>
          <w:tab w:val="left" w:pos="993"/>
        </w:tabs>
        <w:spacing w:before="0" w:beforeAutospacing="0" w:after="0" w:afterAutospacing="0"/>
        <w:ind w:left="0" w:firstLine="567"/>
        <w:jc w:val="both"/>
      </w:pPr>
      <w:r>
        <w:rPr>
          <w:sz w:val="22"/>
          <w:szCs w:val="22"/>
        </w:rPr>
        <w:t xml:space="preserve">Os referidos bancos de dados devem ser desenvolvidos em formato interoperável, a fim de garantir a reutilização desses dados pela Administração nas hipóteses previstas na </w:t>
      </w:r>
      <w:r>
        <w:fldChar w:fldCharType="begin"/>
      </w:r>
      <w:r>
        <w:instrText xml:space="preserve"> HYPERLINK "https://www.planalto.gov.br/ccivil_03/_ato2015-2018/2018/lei/l13709.htm" \h </w:instrText>
      </w:r>
      <w:r>
        <w:fldChar w:fldCharType="separate"/>
      </w:r>
      <w:r>
        <w:rPr>
          <w:rStyle w:val="54"/>
          <w:sz w:val="22"/>
          <w:szCs w:val="22"/>
        </w:rPr>
        <w:t>Lei Federal nº 13.709, de 2018</w:t>
      </w:r>
      <w:r>
        <w:rPr>
          <w:rStyle w:val="54"/>
          <w:sz w:val="22"/>
          <w:szCs w:val="22"/>
        </w:rPr>
        <w:fldChar w:fldCharType="end"/>
      </w:r>
      <w:r>
        <w:rPr>
          <w:sz w:val="22"/>
          <w:szCs w:val="22"/>
        </w:rPr>
        <w:t>.</w:t>
      </w:r>
    </w:p>
    <w:p>
      <w:pPr>
        <w:pStyle w:val="28"/>
        <w:numPr>
          <w:ilvl w:val="1"/>
          <w:numId w:val="13"/>
        </w:numPr>
        <w:tabs>
          <w:tab w:val="left" w:pos="993"/>
        </w:tabs>
        <w:spacing w:before="0" w:beforeAutospacing="0" w:after="0" w:afterAutospacing="0"/>
        <w:ind w:left="0" w:firstLine="567"/>
        <w:jc w:val="both"/>
      </w:pPr>
      <w:r>
        <w:rPr>
          <w:sz w:val="22"/>
          <w:szCs w:val="22"/>
        </w:rPr>
        <w:t xml:space="preserve">O contrato está sujeito a ser alterado nos procedimentos pertinentes ao tratamento de dados pessoais, quando indicado pela autoridade competente, em especial a ANPD por meio de opiniões técnicas ou recomendações, editadas na forma da </w:t>
      </w:r>
      <w:r>
        <w:fldChar w:fldCharType="begin"/>
      </w:r>
      <w:r>
        <w:instrText xml:space="preserve"> HYPERLINK "https://www.planalto.gov.br/ccivil_03/_ato2015-2018/2018/lei/l13709.htm" \h </w:instrText>
      </w:r>
      <w:r>
        <w:fldChar w:fldCharType="separate"/>
      </w:r>
      <w:r>
        <w:rPr>
          <w:rStyle w:val="54"/>
          <w:sz w:val="22"/>
          <w:szCs w:val="22"/>
        </w:rPr>
        <w:t>Lei Federal nº 13.709, de 2018</w:t>
      </w:r>
      <w:r>
        <w:rPr>
          <w:rStyle w:val="54"/>
          <w:sz w:val="22"/>
          <w:szCs w:val="22"/>
        </w:rPr>
        <w:fldChar w:fldCharType="end"/>
      </w:r>
      <w:r>
        <w:rPr>
          <w:sz w:val="22"/>
          <w:szCs w:val="22"/>
        </w:rPr>
        <w:t>.</w:t>
      </w:r>
    </w:p>
    <w:p>
      <w:pPr>
        <w:pStyle w:val="28"/>
        <w:numPr>
          <w:ilvl w:val="0"/>
          <w:numId w:val="13"/>
        </w:numPr>
        <w:pBdr>
          <w:bottom w:val="single" w:color="000000" w:themeColor="dark1" w:sz="4" w:space="1"/>
        </w:pBdr>
        <w:shd w:val="clear" w:color="auto" w:fill="BEBEBE" w:themeFill="background1" w:themeFillShade="BF"/>
        <w:spacing w:before="0" w:beforeAutospacing="0" w:after="0" w:afterAutospacing="0"/>
        <w:jc w:val="both"/>
      </w:pPr>
      <w:r>
        <w:rPr>
          <w:rStyle w:val="12"/>
          <w:color w:val="000000"/>
          <w:sz w:val="22"/>
          <w:szCs w:val="22"/>
        </w:rPr>
        <w:t xml:space="preserve">PRAZOS </w:t>
      </w:r>
      <w:r>
        <w:rPr>
          <w:rStyle w:val="12"/>
          <w:b w:val="0"/>
          <w:bCs w:val="0"/>
          <w:color w:val="000000"/>
          <w:sz w:val="22"/>
          <w:szCs w:val="22"/>
        </w:rPr>
        <w:t>(</w:t>
      </w:r>
      <w:r>
        <w:fldChar w:fldCharType="begin"/>
      </w:r>
      <w:r>
        <w:rPr>
          <w:rStyle w:val="54"/>
          <w:sz w:val="22"/>
          <w:szCs w:val="22"/>
        </w:rPr>
        <w:instrText xml:space="preserve"> HYPERLINK "http://www.planalto.gov.br/ccivil_03/_ato2019-2022/2021/lei/L14133.htm" \l "art92"</w:instrText>
      </w:r>
      <w:r>
        <w:rPr>
          <w:rStyle w:val="54"/>
          <w:sz w:val="22"/>
          <w:szCs w:val="22"/>
        </w:rPr>
        <w:fldChar w:fldCharType="separate"/>
      </w:r>
      <w:r>
        <w:rPr>
          <w:rStyle w:val="54"/>
          <w:sz w:val="22"/>
          <w:szCs w:val="22"/>
        </w:rPr>
        <w:t>art. 92, VII, da Lei Federal nº 14.133, de 2021</w:t>
      </w:r>
      <w:r>
        <w:rPr>
          <w:rStyle w:val="54"/>
          <w:sz w:val="22"/>
          <w:szCs w:val="22"/>
        </w:rPr>
        <w:fldChar w:fldCharType="end"/>
      </w:r>
      <w:r>
        <w:rPr>
          <w:rStyle w:val="12"/>
          <w:b w:val="0"/>
          <w:bCs w:val="0"/>
          <w:color w:val="000000"/>
          <w:sz w:val="22"/>
          <w:szCs w:val="22"/>
        </w:rPr>
        <w:t>)</w:t>
      </w:r>
    </w:p>
    <w:p>
      <w:pPr>
        <w:pStyle w:val="28"/>
        <w:numPr>
          <w:ilvl w:val="1"/>
          <w:numId w:val="13"/>
        </w:numPr>
        <w:tabs>
          <w:tab w:val="left" w:pos="993"/>
        </w:tabs>
        <w:spacing w:before="0" w:beforeAutospacing="0" w:after="0" w:afterAutospacing="0"/>
        <w:ind w:left="0" w:firstLine="567"/>
        <w:jc w:val="both"/>
      </w:pPr>
      <w:r>
        <w:rPr>
          <w:color w:val="000000"/>
          <w:sz w:val="22"/>
          <w:szCs w:val="22"/>
        </w:rPr>
        <w:t>A execução dos serviços será precedida de solicitação com, no mínimo, 48 (quarenta e oito) horas de antecedência e deverá ser executado nas datas e horários solicitados, salvo em caso fortuito ou de força maior (</w:t>
      </w:r>
      <w:r>
        <w:fldChar w:fldCharType="begin"/>
      </w:r>
      <w:r>
        <w:instrText xml:space="preserve"> HYPERLINK "https://www.planalto.gov.br/ccivil_03/leis/2002/l10406compilada.htm" \h </w:instrText>
      </w:r>
      <w:r>
        <w:fldChar w:fldCharType="separate"/>
      </w:r>
      <w:r>
        <w:rPr>
          <w:rStyle w:val="54"/>
          <w:sz w:val="22"/>
          <w:szCs w:val="22"/>
        </w:rPr>
        <w:t>art. 393 da Lei Federal nº 10.406, de 2002</w:t>
      </w:r>
      <w:r>
        <w:rPr>
          <w:rStyle w:val="54"/>
          <w:sz w:val="22"/>
          <w:szCs w:val="22"/>
        </w:rPr>
        <w:fldChar w:fldCharType="end"/>
      </w:r>
      <w:r>
        <w:rPr>
          <w:color w:val="000000"/>
          <w:sz w:val="22"/>
          <w:szCs w:val="22"/>
        </w:rPr>
        <w:t>).</w:t>
      </w:r>
    </w:p>
    <w:p>
      <w:pPr>
        <w:pStyle w:val="28"/>
        <w:numPr>
          <w:ilvl w:val="0"/>
          <w:numId w:val="13"/>
        </w:numPr>
        <w:pBdr>
          <w:bottom w:val="single" w:color="000000" w:themeColor="dark1" w:sz="4" w:space="1"/>
        </w:pBdr>
        <w:shd w:val="clear" w:color="auto" w:fill="BEBEBE" w:themeFill="background1" w:themeFillShade="BF"/>
        <w:spacing w:before="0" w:beforeAutospacing="0" w:after="0" w:afterAutospacing="0"/>
        <w:jc w:val="both"/>
      </w:pPr>
      <w:r>
        <w:rPr>
          <w:rStyle w:val="12"/>
          <w:color w:val="000000"/>
          <w:sz w:val="22"/>
          <w:szCs w:val="22"/>
        </w:rPr>
        <w:t xml:space="preserve">RECEBIMENTO DO OBJETO </w:t>
      </w:r>
      <w:r>
        <w:rPr>
          <w:rStyle w:val="12"/>
          <w:b w:val="0"/>
          <w:bCs w:val="0"/>
          <w:color w:val="000000"/>
          <w:sz w:val="22"/>
          <w:szCs w:val="22"/>
        </w:rPr>
        <w:t>(</w:t>
      </w:r>
      <w:r>
        <w:fldChar w:fldCharType="begin"/>
      </w:r>
      <w:r>
        <w:rPr>
          <w:rStyle w:val="54"/>
          <w:sz w:val="22"/>
          <w:szCs w:val="22"/>
        </w:rPr>
        <w:instrText xml:space="preserve"> HYPERLINK "https://www.planalto.gov.br/ccivil_03/_ato2019-2022/2021/lei/l14133.htm" \l "art140"</w:instrText>
      </w:r>
      <w:r>
        <w:rPr>
          <w:rStyle w:val="54"/>
          <w:sz w:val="22"/>
          <w:szCs w:val="22"/>
        </w:rPr>
        <w:fldChar w:fldCharType="separate"/>
      </w:r>
      <w:r>
        <w:rPr>
          <w:rStyle w:val="54"/>
          <w:sz w:val="22"/>
          <w:szCs w:val="22"/>
        </w:rPr>
        <w:t>art. 140, I, da Lei Federal nº 14.133, de 2021</w:t>
      </w:r>
      <w:r>
        <w:rPr>
          <w:rStyle w:val="54"/>
          <w:sz w:val="22"/>
          <w:szCs w:val="22"/>
        </w:rPr>
        <w:fldChar w:fldCharType="end"/>
      </w:r>
      <w:r>
        <w:rPr>
          <w:rStyle w:val="12"/>
          <w:b w:val="0"/>
          <w:bCs w:val="0"/>
          <w:color w:val="000000"/>
          <w:sz w:val="22"/>
          <w:szCs w:val="22"/>
        </w:rPr>
        <w:t>)</w:t>
      </w:r>
    </w:p>
    <w:p>
      <w:pPr>
        <w:pStyle w:val="28"/>
        <w:numPr>
          <w:ilvl w:val="1"/>
          <w:numId w:val="13"/>
        </w:numPr>
        <w:tabs>
          <w:tab w:val="left" w:pos="993"/>
        </w:tabs>
        <w:spacing w:before="0" w:beforeAutospacing="0" w:after="0" w:afterAutospacing="0"/>
        <w:ind w:left="0" w:firstLine="567"/>
        <w:jc w:val="both"/>
        <w:rPr>
          <w:color w:val="000000"/>
        </w:rPr>
      </w:pPr>
      <w:r>
        <w:rPr>
          <w:color w:val="000000"/>
          <w:sz w:val="22"/>
          <w:szCs w:val="22"/>
        </w:rPr>
        <w:t xml:space="preserve">A entrega do(s) serviço(s) será(ão) realizada(s) preferencialmente de forma única por etapa, de acordo com a descrição dos serviços contida no </w:t>
      </w:r>
      <w:r>
        <w:rPr>
          <w:rStyle w:val="45"/>
          <w:color w:val="000000"/>
          <w:sz w:val="22"/>
          <w:szCs w:val="22"/>
        </w:rPr>
        <w:t>Termo de Referência</w:t>
      </w:r>
      <w:r>
        <w:rPr>
          <w:color w:val="000000"/>
          <w:sz w:val="22"/>
          <w:szCs w:val="22"/>
        </w:rPr>
        <w:t xml:space="preserve">, acompanhada de Nota Fiscal correspondente, a qual deverá ser preenchida com as especificações apresentadas neste Instrumento de Contrato e/ou no </w:t>
      </w:r>
      <w:r>
        <w:rPr>
          <w:rStyle w:val="45"/>
          <w:color w:val="000000"/>
          <w:sz w:val="22"/>
          <w:szCs w:val="22"/>
        </w:rPr>
        <w:t>Termo de Referência</w:t>
      </w:r>
      <w:r>
        <w:rPr>
          <w:color w:val="000000"/>
          <w:sz w:val="22"/>
          <w:szCs w:val="22"/>
        </w:rPr>
        <w:t>.</w:t>
      </w:r>
    </w:p>
    <w:p>
      <w:pPr>
        <w:pStyle w:val="28"/>
        <w:numPr>
          <w:ilvl w:val="1"/>
          <w:numId w:val="13"/>
        </w:numPr>
        <w:tabs>
          <w:tab w:val="left" w:pos="993"/>
        </w:tabs>
        <w:spacing w:before="0" w:beforeAutospacing="0" w:after="0" w:afterAutospacing="0"/>
        <w:ind w:left="0" w:firstLine="567"/>
        <w:jc w:val="both"/>
        <w:rPr>
          <w:color w:val="000000"/>
        </w:rPr>
      </w:pPr>
      <w:r>
        <w:rPr>
          <w:color w:val="000000"/>
          <w:sz w:val="22"/>
          <w:szCs w:val="22"/>
        </w:rPr>
        <w:t>A entrega deverá ocorrer:</w:t>
      </w:r>
    </w:p>
    <w:p>
      <w:pPr>
        <w:pStyle w:val="130"/>
        <w:numPr>
          <w:ilvl w:val="2"/>
          <w:numId w:val="14"/>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Endereço: </w:t>
      </w:r>
      <w:r>
        <w:rPr>
          <w:rFonts w:hint="default" w:ascii="Times New Roman" w:hAnsi="Times New Roman" w:eastAsia="Arial" w:cs="Times New Roman"/>
          <w:b/>
          <w:bCs/>
          <w:sz w:val="24"/>
          <w:szCs w:val="24"/>
          <w:highlight w:val="none"/>
          <w:lang w:val="pt-BR"/>
        </w:rPr>
        <w:t>Av. Primavera, nº 300, Bairro Primavera II</w:t>
      </w:r>
      <w:r>
        <w:rPr>
          <w:rFonts w:hint="default" w:ascii="Times New Roman" w:hAnsi="Times New Roman" w:cs="Times New Roman"/>
          <w:color w:val="000000"/>
        </w:rPr>
        <w:t>;</w:t>
      </w:r>
    </w:p>
    <w:p>
      <w:pPr>
        <w:pStyle w:val="130"/>
        <w:numPr>
          <w:ilvl w:val="2"/>
          <w:numId w:val="15"/>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Responsável:</w:t>
      </w:r>
      <w:r>
        <w:rPr>
          <w:rFonts w:hint="default" w:ascii="Times New Roman" w:hAnsi="Times New Roman" w:cs="Times New Roman"/>
          <w:b/>
          <w:bCs/>
          <w:color w:val="000000"/>
          <w:lang w:val="pt-BR"/>
        </w:rPr>
        <w:t xml:space="preserve"> Fiscal de Contrato designados por Ato Formal</w:t>
      </w:r>
      <w:r>
        <w:rPr>
          <w:rFonts w:hint="default" w:ascii="Times New Roman" w:hAnsi="Times New Roman" w:cs="Times New Roman"/>
          <w:color w:val="000000"/>
        </w:rPr>
        <w:t>;</w:t>
      </w:r>
    </w:p>
    <w:p>
      <w:pPr>
        <w:pStyle w:val="130"/>
        <w:numPr>
          <w:ilvl w:val="2"/>
          <w:numId w:val="15"/>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Telefone:</w:t>
      </w:r>
      <w:r>
        <w:rPr>
          <w:rFonts w:hint="default" w:ascii="Times New Roman" w:hAnsi="Times New Roman" w:cs="Times New Roman"/>
          <w:color w:val="000000"/>
          <w:lang w:val="pt-BR"/>
        </w:rPr>
        <w:t xml:space="preserve"> </w:t>
      </w:r>
      <w:r>
        <w:rPr>
          <w:rFonts w:hint="default" w:ascii="Times New Roman" w:hAnsi="Times New Roman" w:cs="Times New Roman"/>
          <w:b/>
          <w:bCs/>
          <w:color w:val="000000"/>
          <w:lang w:val="pt-BR"/>
        </w:rPr>
        <w:t>(66) 3498-3590</w:t>
      </w:r>
      <w:r>
        <w:rPr>
          <w:rFonts w:hint="default" w:ascii="Times New Roman" w:hAnsi="Times New Roman" w:cs="Times New Roman"/>
          <w:color w:val="000000"/>
        </w:rPr>
        <w:t>;</w:t>
      </w:r>
    </w:p>
    <w:p>
      <w:pPr>
        <w:pStyle w:val="130"/>
        <w:numPr>
          <w:ilvl w:val="2"/>
          <w:numId w:val="15"/>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E-mail:</w:t>
      </w:r>
      <w:r>
        <w:rPr>
          <w:rFonts w:hint="default" w:ascii="Times New Roman" w:hAnsi="Times New Roman" w:cs="Times New Roman"/>
          <w:color w:val="000000"/>
          <w:lang w:val="pt-BR"/>
        </w:rPr>
        <w:t xml:space="preserve"> </w:t>
      </w:r>
      <w:r>
        <w:rPr>
          <w:rFonts w:hint="default" w:ascii="Times New Roman" w:hAnsi="Times New Roman" w:cs="Times New Roman"/>
          <w:b/>
          <w:bCs/>
          <w:color w:val="000000"/>
          <w:lang w:val="pt-BR"/>
        </w:rPr>
        <w:t>licitacao@primaveradoleste.mt.leg.br</w:t>
      </w:r>
      <w:r>
        <w:rPr>
          <w:rFonts w:hint="default" w:ascii="Times New Roman" w:hAnsi="Times New Roman" w:cs="Times New Roman"/>
          <w:color w:val="000000"/>
        </w:rPr>
        <w:t>;</w:t>
      </w:r>
    </w:p>
    <w:p>
      <w:pPr>
        <w:pStyle w:val="130"/>
        <w:numPr>
          <w:ilvl w:val="2"/>
          <w:numId w:val="15"/>
        </w:numPr>
        <w:tabs>
          <w:tab w:val="left" w:pos="1134"/>
        </w:tabs>
        <w:spacing w:before="120" w:beforeAutospacing="0" w:after="120" w:afterAutospacing="0"/>
        <w:jc w:val="both"/>
        <w:textAlignment w:val="baseline"/>
        <w:rPr>
          <w:rFonts w:ascii="Times New Roman" w:hAnsi="Times New Roman"/>
          <w:sz w:val="22"/>
          <w:szCs w:val="22"/>
        </w:rPr>
      </w:pPr>
      <w:r>
        <w:rPr>
          <w:rFonts w:hint="default" w:ascii="Times New Roman" w:hAnsi="Times New Roman" w:cs="Times New Roman"/>
          <w:color w:val="000000"/>
        </w:rPr>
        <w:t>Horário de Funcionamento:</w:t>
      </w:r>
      <w:r>
        <w:rPr>
          <w:rFonts w:hint="default" w:ascii="Times New Roman" w:hAnsi="Times New Roman" w:cs="Times New Roman"/>
          <w:color w:val="000000"/>
          <w:lang w:val="pt-BR"/>
        </w:rPr>
        <w:t xml:space="preserve"> </w:t>
      </w:r>
      <w:r>
        <w:rPr>
          <w:rFonts w:hint="default" w:ascii="Times New Roman" w:hAnsi="Times New Roman" w:cs="Times New Roman"/>
          <w:b/>
          <w:bCs/>
          <w:color w:val="000000"/>
          <w:lang w:val="pt-BR"/>
        </w:rPr>
        <w:t>07:00 às 13:00</w:t>
      </w:r>
      <w:r>
        <w:rPr>
          <w:rFonts w:hint="default" w:ascii="Times New Roman" w:hAnsi="Times New Roman" w:cs="Times New Roman"/>
          <w:color w:val="000000"/>
          <w:lang w:val="pt-BR"/>
        </w:rPr>
        <w:t xml:space="preserve"> </w:t>
      </w:r>
      <w:r>
        <w:rPr>
          <w:rFonts w:hint="default" w:ascii="Times New Roman" w:hAnsi="Times New Roman" w:cs="Times New Roman"/>
          <w:color w:val="000000"/>
        </w:rPr>
        <w:t>no horário oficial de Mato Grosso (GMT -04:00);</w:t>
      </w:r>
    </w:p>
    <w:p>
      <w:pPr>
        <w:pStyle w:val="28"/>
        <w:numPr>
          <w:ilvl w:val="1"/>
          <w:numId w:val="13"/>
        </w:numPr>
        <w:tabs>
          <w:tab w:val="left" w:pos="993"/>
        </w:tabs>
        <w:spacing w:before="120" w:beforeAutospacing="0" w:after="0" w:afterAutospacing="0"/>
        <w:ind w:left="0" w:firstLine="567"/>
        <w:jc w:val="both"/>
      </w:pPr>
      <w:r>
        <w:rPr>
          <w:color w:val="000000"/>
          <w:sz w:val="22"/>
          <w:szCs w:val="22"/>
        </w:rPr>
        <w:t xml:space="preserve">O prazo de entrega será conforme cronograma indicado anteriormente, salvo se prazo maior houver sido previsto no </w:t>
      </w:r>
      <w:r>
        <w:rPr>
          <w:rStyle w:val="45"/>
          <w:color w:val="000000"/>
          <w:sz w:val="22"/>
          <w:szCs w:val="22"/>
        </w:rPr>
        <w:t>Termo de Referência</w:t>
      </w:r>
      <w:r>
        <w:rPr>
          <w:color w:val="000000"/>
          <w:sz w:val="22"/>
          <w:szCs w:val="22"/>
        </w:rPr>
        <w:t>.</w:t>
      </w:r>
    </w:p>
    <w:p>
      <w:pPr>
        <w:pStyle w:val="28"/>
        <w:numPr>
          <w:ilvl w:val="1"/>
          <w:numId w:val="13"/>
        </w:numPr>
        <w:tabs>
          <w:tab w:val="left" w:pos="993"/>
        </w:tabs>
        <w:spacing w:before="0" w:beforeAutospacing="0" w:after="120" w:afterAutospacing="0"/>
        <w:ind w:left="0" w:firstLine="567"/>
        <w:jc w:val="both"/>
      </w:pPr>
      <w:r>
        <w:rPr>
          <w:color w:val="000000"/>
          <w:sz w:val="22"/>
          <w:szCs w:val="22"/>
        </w:rPr>
        <w:t>Após a execução, o objeto do contrato será recebido (</w:t>
      </w:r>
      <w:r>
        <w:fldChar w:fldCharType="begin"/>
      </w:r>
      <w:r>
        <w:rPr>
          <w:rStyle w:val="54"/>
          <w:sz w:val="22"/>
          <w:szCs w:val="22"/>
        </w:rPr>
        <w:instrText xml:space="preserve"> HYPERLINK "https://www.planalto.gov.br/ccivil_03/_ato2019-2022/2021/lei/l14133.htm" \l "art140"</w:instrText>
      </w:r>
      <w:r>
        <w:rPr>
          <w:rStyle w:val="54"/>
          <w:sz w:val="22"/>
          <w:szCs w:val="22"/>
        </w:rPr>
        <w:fldChar w:fldCharType="separate"/>
      </w:r>
      <w:r>
        <w:rPr>
          <w:rStyle w:val="54"/>
          <w:sz w:val="22"/>
          <w:szCs w:val="22"/>
        </w:rPr>
        <w:t>art. 140, I, da Lei Federal nº 14.133, de 2021</w:t>
      </w:r>
      <w:r>
        <w:rPr>
          <w:rStyle w:val="54"/>
          <w:sz w:val="22"/>
          <w:szCs w:val="22"/>
        </w:rPr>
        <w:fldChar w:fldCharType="end"/>
      </w:r>
      <w:r>
        <w:rPr>
          <w:color w:val="000000"/>
          <w:sz w:val="22"/>
          <w:szCs w:val="22"/>
        </w:rPr>
        <w:t>):</w:t>
      </w:r>
    </w:p>
    <w:p>
      <w:pPr>
        <w:pStyle w:val="130"/>
        <w:numPr>
          <w:ilvl w:val="2"/>
          <w:numId w:val="16"/>
        </w:numPr>
        <w:tabs>
          <w:tab w:val="left" w:pos="0"/>
          <w:tab w:val="left" w:pos="1134"/>
        </w:tabs>
        <w:spacing w:before="120" w:beforeAutospacing="0" w:after="120" w:afterAutospacing="0"/>
        <w:jc w:val="both"/>
        <w:textAlignment w:val="baseline"/>
      </w:pPr>
      <w:r>
        <w:rPr>
          <w:color w:val="000000"/>
          <w:sz w:val="22"/>
          <w:szCs w:val="22"/>
        </w:rPr>
        <w:t>provisoriamente, pelo responsável por seu acompanhamento e fiscalização, mediante termo detalhado, quando verificado o cumprimento das exigências de caráter técnico (</w:t>
      </w:r>
      <w:r>
        <w:fldChar w:fldCharType="begin"/>
      </w:r>
      <w:r>
        <w:rPr>
          <w:rStyle w:val="54"/>
          <w:sz w:val="22"/>
          <w:szCs w:val="22"/>
        </w:rPr>
        <w:instrText xml:space="preserve"> HYPERLINK "https://www.planalto.gov.br/ccivil_03/_ato2019-2022/2021/lei/l14133.htm" \l "art140"</w:instrText>
      </w:r>
      <w:r>
        <w:rPr>
          <w:rStyle w:val="54"/>
          <w:sz w:val="22"/>
          <w:szCs w:val="22"/>
        </w:rPr>
        <w:fldChar w:fldCharType="separate"/>
      </w:r>
      <w:r>
        <w:rPr>
          <w:rStyle w:val="54"/>
          <w:sz w:val="22"/>
          <w:szCs w:val="22"/>
        </w:rPr>
        <w:t>art. 140, I, “a”, da Lei Federal nº 14.133, de 2021</w:t>
      </w:r>
      <w:r>
        <w:rPr>
          <w:rStyle w:val="54"/>
          <w:sz w:val="22"/>
          <w:szCs w:val="22"/>
        </w:rPr>
        <w:fldChar w:fldCharType="end"/>
      </w:r>
      <w:r>
        <w:rPr>
          <w:color w:val="000000"/>
          <w:sz w:val="22"/>
          <w:szCs w:val="22"/>
        </w:rPr>
        <w:t xml:space="preserve">); e </w:t>
      </w:r>
    </w:p>
    <w:p>
      <w:pPr>
        <w:pStyle w:val="130"/>
        <w:numPr>
          <w:ilvl w:val="2"/>
          <w:numId w:val="1"/>
        </w:numPr>
        <w:tabs>
          <w:tab w:val="left" w:pos="1134"/>
        </w:tabs>
        <w:spacing w:before="120" w:beforeAutospacing="0" w:after="120" w:afterAutospacing="0"/>
        <w:jc w:val="both"/>
        <w:textAlignment w:val="baseline"/>
      </w:pPr>
      <w:r>
        <w:rPr>
          <w:color w:val="000000"/>
          <w:sz w:val="22"/>
          <w:szCs w:val="22"/>
        </w:rPr>
        <w:t>definitivamente, por servidor ou comissão designada pela autoridade competente, mediante termo detalhado que comprove o atendimento das exigências contratuais (</w:t>
      </w:r>
      <w:r>
        <w:fldChar w:fldCharType="begin"/>
      </w:r>
      <w:r>
        <w:rPr>
          <w:rStyle w:val="54"/>
          <w:sz w:val="22"/>
          <w:szCs w:val="22"/>
        </w:rPr>
        <w:instrText xml:space="preserve"> HYPERLINK "https://www.planalto.gov.br/ccivil_03/_ato2019-2022/2021/lei/l14133.htm" \l "art140"</w:instrText>
      </w:r>
      <w:r>
        <w:rPr>
          <w:rStyle w:val="54"/>
          <w:sz w:val="22"/>
          <w:szCs w:val="22"/>
        </w:rPr>
        <w:fldChar w:fldCharType="separate"/>
      </w:r>
      <w:r>
        <w:rPr>
          <w:rStyle w:val="54"/>
          <w:sz w:val="22"/>
          <w:szCs w:val="22"/>
        </w:rPr>
        <w:t>art. 140, I, “b”, da Lei Federal nº 14.133, de 2021</w:t>
      </w:r>
      <w:r>
        <w:rPr>
          <w:rStyle w:val="54"/>
          <w:sz w:val="22"/>
          <w:szCs w:val="22"/>
        </w:rPr>
        <w:fldChar w:fldCharType="end"/>
      </w:r>
      <w:r>
        <w:rPr>
          <w:color w:val="000000"/>
          <w:sz w:val="22"/>
          <w:szCs w:val="22"/>
        </w:rPr>
        <w:t>).</w:t>
      </w:r>
    </w:p>
    <w:p>
      <w:pPr>
        <w:pStyle w:val="28"/>
        <w:numPr>
          <w:ilvl w:val="0"/>
          <w:numId w:val="13"/>
        </w:numPr>
        <w:pBdr>
          <w:bottom w:val="single" w:color="000000" w:themeColor="dark1" w:sz="4" w:space="1"/>
        </w:pBdr>
        <w:shd w:val="clear" w:color="auto" w:fill="BEBEBE" w:themeFill="background1" w:themeFillShade="BF"/>
        <w:spacing w:before="360" w:beforeAutospacing="0" w:after="0" w:afterAutospacing="0"/>
        <w:jc w:val="both"/>
      </w:pPr>
      <w:r>
        <w:rPr>
          <w:rStyle w:val="12"/>
          <w:color w:val="000000"/>
          <w:sz w:val="22"/>
          <w:szCs w:val="22"/>
        </w:rPr>
        <w:t>DOTAÇÃO ORÇAMENTÁRIA</w:t>
      </w:r>
      <w:r>
        <w:rPr>
          <w:sz w:val="22"/>
          <w:szCs w:val="22"/>
        </w:rPr>
        <w:t xml:space="preserve"> (</w:t>
      </w:r>
      <w:r>
        <w:fldChar w:fldCharType="begin"/>
      </w:r>
      <w:r>
        <w:rPr>
          <w:rStyle w:val="54"/>
          <w:sz w:val="22"/>
          <w:szCs w:val="22"/>
        </w:rPr>
        <w:instrText xml:space="preserve"> HYPERLINK "http://www.planalto.gov.br/ccivil_03/_ato2019-2022/2021/lei/L14133.htm" \l "art92"</w:instrText>
      </w:r>
      <w:r>
        <w:rPr>
          <w:rStyle w:val="54"/>
          <w:sz w:val="22"/>
          <w:szCs w:val="22"/>
        </w:rPr>
        <w:fldChar w:fldCharType="separate"/>
      </w:r>
      <w:r>
        <w:rPr>
          <w:rStyle w:val="54"/>
          <w:sz w:val="22"/>
          <w:szCs w:val="22"/>
        </w:rPr>
        <w:t>art. 92, VIII</w:t>
      </w:r>
      <w:r>
        <w:rPr>
          <w:rStyle w:val="54"/>
          <w:sz w:val="22"/>
          <w:szCs w:val="22"/>
        </w:rPr>
        <w:fldChar w:fldCharType="end"/>
      </w:r>
      <w:r>
        <w:rPr>
          <w:rStyle w:val="54"/>
          <w:sz w:val="22"/>
          <w:szCs w:val="22"/>
        </w:rPr>
        <w:t>, da Lei Federal nº 14.133, de 2021</w:t>
      </w:r>
      <w:r>
        <w:rPr>
          <w:sz w:val="22"/>
          <w:szCs w:val="22"/>
        </w:rPr>
        <w:t>)</w:t>
      </w:r>
    </w:p>
    <w:p>
      <w:pPr>
        <w:pStyle w:val="28"/>
        <w:tabs>
          <w:tab w:val="left" w:pos="993"/>
        </w:tabs>
        <w:spacing w:before="0" w:beforeAutospacing="0" w:after="0" w:afterAutospacing="0"/>
        <w:ind w:left="0" w:firstLine="0"/>
        <w:jc w:val="both"/>
        <w:rPr>
          <w:rFonts w:cs="Arial"/>
          <w:color w:val="000000"/>
          <w:sz w:val="22"/>
          <w:szCs w:val="22"/>
        </w:rPr>
      </w:pPr>
      <w:r>
        <w:rPr>
          <w:rFonts w:cs="Arial"/>
          <w:b/>
          <w:bCs/>
          <w:color w:val="000000"/>
          <w:sz w:val="22"/>
          <w:szCs w:val="22"/>
        </w:rPr>
        <w:t xml:space="preserve">11.1 </w:t>
      </w:r>
      <w:r>
        <w:rPr>
          <w:rFonts w:cs="Arial"/>
          <w:color w:val="000000"/>
          <w:sz w:val="22"/>
          <w:szCs w:val="22"/>
        </w:rPr>
        <w:t>As despesas oriundas da presente aquisição correrão por conta de recursos próprios específicos consignados no orçamento da Câmara Municipal de Primavera do Leste nas dotações orçamentárias relacionadas abaixo:</w:t>
      </w:r>
    </w:p>
    <w:tbl>
      <w:tblPr>
        <w:tblStyle w:val="10"/>
        <w:tblW w:w="0" w:type="auto"/>
        <w:tblInd w:w="55" w:type="dxa"/>
        <w:tblLayout w:type="fixed"/>
        <w:tblCellMar>
          <w:top w:w="55" w:type="dxa"/>
          <w:left w:w="55" w:type="dxa"/>
          <w:bottom w:w="55" w:type="dxa"/>
          <w:right w:w="55" w:type="dxa"/>
        </w:tblCellMar>
      </w:tblPr>
      <w:tblGrid>
        <w:gridCol w:w="2160"/>
        <w:gridCol w:w="2657"/>
        <w:gridCol w:w="4256"/>
      </w:tblGrid>
      <w:tr>
        <w:tblPrEx>
          <w:tblCellMar>
            <w:top w:w="55" w:type="dxa"/>
            <w:left w:w="55" w:type="dxa"/>
            <w:bottom w:w="55" w:type="dxa"/>
            <w:right w:w="55" w:type="dxa"/>
          </w:tblCellMar>
        </w:tblPrEx>
        <w:tc>
          <w:tcPr>
            <w:tcW w:w="2160" w:type="dxa"/>
            <w:tcBorders>
              <w:top w:val="single" w:color="000000" w:sz="0" w:space="0"/>
              <w:left w:val="single" w:color="000000" w:sz="0" w:space="0"/>
              <w:bottom w:val="single" w:color="000000" w:sz="0" w:space="0"/>
            </w:tcBorders>
            <w:shd w:val="clear" w:color="auto" w:fill="auto"/>
            <w:noWrap w:val="0"/>
            <w:vAlign w:val="top"/>
          </w:tcPr>
          <w:p>
            <w:pPr>
              <w:pStyle w:val="179"/>
              <w:spacing w:line="240" w:lineRule="auto"/>
              <w:rPr>
                <w:rFonts w:hint="default" w:ascii="Times New Roman" w:hAnsi="Times New Roman" w:cs="Times New Roman"/>
                <w:sz w:val="24"/>
                <w:szCs w:val="24"/>
              </w:rPr>
            </w:pPr>
            <w:r>
              <w:rPr>
                <w:rFonts w:hint="default" w:ascii="Times New Roman" w:hAnsi="Times New Roman" w:cs="Times New Roman"/>
                <w:sz w:val="24"/>
                <w:szCs w:val="24"/>
              </w:rPr>
              <w:t>Órgão</w:t>
            </w:r>
          </w:p>
        </w:tc>
        <w:tc>
          <w:tcPr>
            <w:tcW w:w="2657" w:type="dxa"/>
            <w:tcBorders>
              <w:top w:val="single" w:color="000000" w:sz="0" w:space="0"/>
              <w:left w:val="single" w:color="000000" w:sz="0" w:space="0"/>
              <w:bottom w:val="single" w:color="000000" w:sz="0" w:space="0"/>
            </w:tcBorders>
            <w:shd w:val="clear" w:color="auto" w:fill="auto"/>
            <w:noWrap w:val="0"/>
            <w:vAlign w:val="top"/>
          </w:tcPr>
          <w:p>
            <w:pPr>
              <w:pStyle w:val="179"/>
              <w:spacing w:line="240" w:lineRule="auto"/>
              <w:rPr>
                <w:rFonts w:hint="default" w:ascii="Times New Roman" w:hAnsi="Times New Roman" w:cs="Times New Roman"/>
                <w:sz w:val="24"/>
                <w:szCs w:val="24"/>
              </w:rPr>
            </w:pPr>
            <w:r>
              <w:rPr>
                <w:rFonts w:hint="default" w:ascii="Times New Roman" w:hAnsi="Times New Roman" w:cs="Times New Roman"/>
                <w:sz w:val="24"/>
                <w:szCs w:val="24"/>
              </w:rPr>
              <w:t>01</w:t>
            </w:r>
          </w:p>
        </w:tc>
        <w:tc>
          <w:tcPr>
            <w:tcW w:w="4256" w:type="dxa"/>
            <w:tcBorders>
              <w:top w:val="single" w:color="000000" w:sz="0" w:space="0"/>
              <w:left w:val="single" w:color="000000" w:sz="0" w:space="0"/>
              <w:bottom w:val="single" w:color="000000" w:sz="0" w:space="0"/>
              <w:right w:val="single" w:color="000000" w:sz="0" w:space="0"/>
            </w:tcBorders>
            <w:shd w:val="clear" w:color="auto" w:fill="auto"/>
            <w:noWrap w:val="0"/>
            <w:vAlign w:val="top"/>
          </w:tcPr>
          <w:p>
            <w:pPr>
              <w:pStyle w:val="179"/>
              <w:spacing w:line="240" w:lineRule="auto"/>
              <w:rPr>
                <w:rFonts w:hint="default" w:ascii="Times New Roman" w:hAnsi="Times New Roman" w:cs="Times New Roman"/>
              </w:rPr>
            </w:pPr>
            <w:r>
              <w:rPr>
                <w:rFonts w:hint="default" w:ascii="Times New Roman" w:hAnsi="Times New Roman" w:cs="Times New Roman"/>
                <w:sz w:val="24"/>
                <w:szCs w:val="24"/>
              </w:rPr>
              <w:t>CÂMARA MUNICIPAL</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179"/>
              <w:spacing w:line="240" w:lineRule="auto"/>
              <w:rPr>
                <w:rFonts w:hint="default" w:ascii="Times New Roman" w:hAnsi="Times New Roman" w:cs="Times New Roman"/>
                <w:sz w:val="24"/>
                <w:szCs w:val="24"/>
              </w:rPr>
            </w:pPr>
            <w:r>
              <w:rPr>
                <w:rFonts w:hint="default" w:ascii="Times New Roman" w:hAnsi="Times New Roman" w:cs="Times New Roman"/>
                <w:sz w:val="24"/>
                <w:szCs w:val="24"/>
              </w:rPr>
              <w:t>Unid Orçamentária</w:t>
            </w:r>
          </w:p>
        </w:tc>
        <w:tc>
          <w:tcPr>
            <w:tcW w:w="2657" w:type="dxa"/>
            <w:tcBorders>
              <w:left w:val="single" w:color="000000" w:sz="0" w:space="0"/>
              <w:bottom w:val="single" w:color="000000" w:sz="0" w:space="0"/>
            </w:tcBorders>
            <w:shd w:val="clear" w:color="auto" w:fill="auto"/>
            <w:noWrap w:val="0"/>
            <w:vAlign w:val="top"/>
          </w:tcPr>
          <w:p>
            <w:pPr>
              <w:pStyle w:val="179"/>
              <w:spacing w:line="240" w:lineRule="auto"/>
              <w:rPr>
                <w:rFonts w:hint="default" w:ascii="Times New Roman" w:hAnsi="Times New Roman" w:cs="Times New Roman"/>
                <w:sz w:val="24"/>
                <w:szCs w:val="24"/>
              </w:rPr>
            </w:pPr>
            <w:r>
              <w:rPr>
                <w:rFonts w:hint="default" w:ascii="Times New Roman" w:hAnsi="Times New Roman" w:cs="Times New Roman"/>
                <w:sz w:val="24"/>
                <w:szCs w:val="24"/>
              </w:rPr>
              <w:t>01.00.01</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179"/>
              <w:spacing w:line="240" w:lineRule="auto"/>
              <w:rPr>
                <w:rFonts w:hint="default" w:ascii="Times New Roman" w:hAnsi="Times New Roman" w:cs="Times New Roman"/>
              </w:rPr>
            </w:pPr>
            <w:r>
              <w:rPr>
                <w:rFonts w:hint="default" w:ascii="Times New Roman" w:hAnsi="Times New Roman" w:cs="Times New Roman"/>
                <w:sz w:val="24"/>
                <w:szCs w:val="24"/>
              </w:rPr>
              <w:t>DEPARTAMENTO ADMINISTRATIVO</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179"/>
              <w:spacing w:line="240" w:lineRule="auto"/>
              <w:rPr>
                <w:rFonts w:hint="default" w:ascii="Times New Roman" w:hAnsi="Times New Roman" w:cs="Times New Roman"/>
                <w:sz w:val="24"/>
                <w:szCs w:val="24"/>
              </w:rPr>
            </w:pPr>
            <w:r>
              <w:rPr>
                <w:rFonts w:hint="default" w:ascii="Times New Roman" w:hAnsi="Times New Roman" w:cs="Times New Roman"/>
                <w:sz w:val="24"/>
                <w:szCs w:val="24"/>
              </w:rPr>
              <w:t>Unidade Executora</w:t>
            </w:r>
          </w:p>
        </w:tc>
        <w:tc>
          <w:tcPr>
            <w:tcW w:w="2657" w:type="dxa"/>
            <w:tcBorders>
              <w:left w:val="single" w:color="000000" w:sz="0" w:space="0"/>
              <w:bottom w:val="single" w:color="000000" w:sz="0" w:space="0"/>
            </w:tcBorders>
            <w:shd w:val="clear" w:color="auto" w:fill="auto"/>
            <w:noWrap w:val="0"/>
            <w:vAlign w:val="top"/>
          </w:tcPr>
          <w:p>
            <w:pPr>
              <w:pStyle w:val="179"/>
              <w:spacing w:line="240" w:lineRule="auto"/>
              <w:rPr>
                <w:rFonts w:hint="default" w:ascii="Times New Roman" w:hAnsi="Times New Roman" w:cs="Times New Roman"/>
                <w:sz w:val="24"/>
                <w:szCs w:val="24"/>
              </w:rPr>
            </w:pPr>
            <w:r>
              <w:rPr>
                <w:rFonts w:hint="default" w:ascii="Times New Roman" w:hAnsi="Times New Roman" w:cs="Times New Roman"/>
                <w:sz w:val="24"/>
                <w:szCs w:val="24"/>
              </w:rPr>
              <w:t>01.001</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179"/>
              <w:spacing w:line="240" w:lineRule="auto"/>
              <w:rPr>
                <w:rFonts w:hint="default" w:ascii="Times New Roman" w:hAnsi="Times New Roman" w:cs="Times New Roman"/>
              </w:rPr>
            </w:pPr>
            <w:r>
              <w:rPr>
                <w:rFonts w:hint="default" w:ascii="Times New Roman" w:hAnsi="Times New Roman" w:cs="Times New Roman"/>
                <w:sz w:val="24"/>
                <w:szCs w:val="24"/>
              </w:rPr>
              <w:t>DEPARTAMENTO ADMINISTRATIVO</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179"/>
              <w:spacing w:line="240" w:lineRule="auto"/>
              <w:rPr>
                <w:rFonts w:hint="default" w:ascii="Times New Roman" w:hAnsi="Times New Roman" w:cs="Times New Roman"/>
                <w:sz w:val="24"/>
                <w:szCs w:val="24"/>
              </w:rPr>
            </w:pPr>
            <w:r>
              <w:rPr>
                <w:rFonts w:hint="default" w:ascii="Times New Roman" w:hAnsi="Times New Roman" w:cs="Times New Roman"/>
                <w:sz w:val="24"/>
                <w:szCs w:val="24"/>
              </w:rPr>
              <w:t>Função programática</w:t>
            </w:r>
          </w:p>
        </w:tc>
        <w:tc>
          <w:tcPr>
            <w:tcW w:w="2657" w:type="dxa"/>
            <w:tcBorders>
              <w:left w:val="single" w:color="000000" w:sz="0" w:space="0"/>
              <w:bottom w:val="single" w:color="000000" w:sz="0" w:space="0"/>
            </w:tcBorders>
            <w:shd w:val="clear" w:color="auto" w:fill="auto"/>
            <w:noWrap w:val="0"/>
            <w:vAlign w:val="top"/>
          </w:tcPr>
          <w:p>
            <w:pPr>
              <w:pStyle w:val="179"/>
              <w:spacing w:line="240" w:lineRule="auto"/>
              <w:rPr>
                <w:rFonts w:hint="default" w:ascii="Times New Roman" w:hAnsi="Times New Roman" w:cs="Times New Roman"/>
                <w:sz w:val="24"/>
                <w:szCs w:val="24"/>
              </w:rPr>
            </w:pPr>
            <w:r>
              <w:rPr>
                <w:rFonts w:hint="default" w:ascii="Times New Roman" w:hAnsi="Times New Roman" w:cs="Times New Roman"/>
                <w:sz w:val="24"/>
                <w:szCs w:val="24"/>
              </w:rPr>
              <w:t>01.031.0001-2.003</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179"/>
              <w:spacing w:line="240" w:lineRule="auto"/>
              <w:rPr>
                <w:rFonts w:hint="default" w:ascii="Times New Roman" w:hAnsi="Times New Roman" w:cs="Times New Roman"/>
              </w:rPr>
            </w:pPr>
            <w:r>
              <w:rPr>
                <w:rFonts w:hint="default" w:ascii="Times New Roman" w:hAnsi="Times New Roman" w:cs="Times New Roman"/>
                <w:sz w:val="24"/>
                <w:szCs w:val="24"/>
              </w:rPr>
              <w:t>MANUTENÇÃO DA AÇÃO LEGISLATIVA</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179"/>
              <w:spacing w:line="240" w:lineRule="auto"/>
              <w:rPr>
                <w:rFonts w:hint="default" w:ascii="Times New Roman" w:hAnsi="Times New Roman" w:cs="Times New Roman"/>
                <w:sz w:val="24"/>
                <w:szCs w:val="24"/>
              </w:rPr>
            </w:pPr>
            <w:r>
              <w:rPr>
                <w:rFonts w:hint="default" w:ascii="Times New Roman" w:hAnsi="Times New Roman" w:cs="Times New Roman"/>
                <w:sz w:val="24"/>
                <w:szCs w:val="24"/>
              </w:rPr>
              <w:t>Elemento</w:t>
            </w:r>
          </w:p>
        </w:tc>
        <w:tc>
          <w:tcPr>
            <w:tcW w:w="2657" w:type="dxa"/>
            <w:tcBorders>
              <w:left w:val="single" w:color="000000" w:sz="0" w:space="0"/>
              <w:bottom w:val="single" w:color="000000" w:sz="0" w:space="0"/>
            </w:tcBorders>
            <w:shd w:val="clear" w:color="auto" w:fill="auto"/>
            <w:noWrap w:val="0"/>
            <w:vAlign w:val="top"/>
          </w:tcPr>
          <w:p>
            <w:pPr>
              <w:pStyle w:val="179"/>
              <w:spacing w:line="240" w:lineRule="auto"/>
              <w:rPr>
                <w:rFonts w:hint="default" w:ascii="Times New Roman" w:hAnsi="Times New Roman" w:cs="Times New Roman"/>
                <w:sz w:val="24"/>
                <w:szCs w:val="24"/>
              </w:rPr>
            </w:pPr>
            <w:r>
              <w:rPr>
                <w:rFonts w:hint="default" w:ascii="Times New Roman" w:hAnsi="Times New Roman" w:cs="Times New Roman"/>
                <w:sz w:val="24"/>
                <w:szCs w:val="24"/>
              </w:rPr>
              <w:t>3.3.90.30.00</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179"/>
              <w:spacing w:line="240" w:lineRule="auto"/>
              <w:rPr>
                <w:rFonts w:hint="default" w:ascii="Times New Roman" w:hAnsi="Times New Roman" w:cs="Times New Roman"/>
              </w:rPr>
            </w:pPr>
            <w:r>
              <w:rPr>
                <w:rFonts w:hint="default" w:ascii="Times New Roman" w:hAnsi="Times New Roman" w:cs="Times New Roman"/>
                <w:sz w:val="24"/>
                <w:szCs w:val="24"/>
              </w:rPr>
              <w:t>MATERIAL DE CONSUMO</w:t>
            </w:r>
          </w:p>
        </w:tc>
      </w:tr>
    </w:tbl>
    <w:p>
      <w:pPr>
        <w:pStyle w:val="28"/>
        <w:tabs>
          <w:tab w:val="left" w:pos="993"/>
        </w:tabs>
        <w:spacing w:before="0" w:beforeAutospacing="0" w:after="0" w:afterAutospacing="0"/>
        <w:ind w:left="0" w:firstLine="0"/>
        <w:jc w:val="both"/>
        <w:rPr>
          <w:rFonts w:cs="Arial"/>
          <w:color w:val="000000"/>
          <w:sz w:val="22"/>
          <w:szCs w:val="22"/>
        </w:rPr>
      </w:pPr>
    </w:p>
    <w:p>
      <w:pPr>
        <w:pStyle w:val="28"/>
        <w:tabs>
          <w:tab w:val="left" w:pos="993"/>
        </w:tabs>
        <w:spacing w:before="0" w:beforeAutospacing="0" w:after="0" w:afterAutospacing="0"/>
        <w:ind w:left="0" w:firstLine="567"/>
        <w:jc w:val="both"/>
        <w:rPr>
          <w:rFonts w:ascii="Times New Roman" w:hAnsi="Times New Roman" w:cs="Arial"/>
          <w:b/>
          <w:sz w:val="22"/>
          <w:szCs w:val="22"/>
        </w:rPr>
      </w:pPr>
    </w:p>
    <w:p>
      <w:pPr>
        <w:pStyle w:val="28"/>
        <w:numPr>
          <w:ilvl w:val="0"/>
          <w:numId w:val="13"/>
        </w:numPr>
        <w:pBdr>
          <w:bottom w:val="single" w:color="000000" w:themeColor="dark1" w:sz="4" w:space="1"/>
        </w:pBdr>
        <w:shd w:val="clear" w:color="auto" w:fill="BEBEBE" w:themeFill="background1" w:themeFillShade="BF"/>
        <w:spacing w:before="0" w:beforeAutospacing="0" w:after="0" w:afterAutospacing="0"/>
        <w:jc w:val="both"/>
      </w:pPr>
      <w:r>
        <w:rPr>
          <w:rStyle w:val="12"/>
          <w:color w:val="000000"/>
          <w:sz w:val="22"/>
          <w:szCs w:val="22"/>
        </w:rPr>
        <w:t xml:space="preserve">PREÇO </w:t>
      </w:r>
      <w:r>
        <w:rPr>
          <w:sz w:val="22"/>
          <w:szCs w:val="22"/>
        </w:rPr>
        <w:t>(</w:t>
      </w:r>
      <w:r>
        <w:fldChar w:fldCharType="begin"/>
      </w:r>
      <w:r>
        <w:rPr>
          <w:rStyle w:val="54"/>
          <w:sz w:val="22"/>
          <w:szCs w:val="22"/>
        </w:rPr>
        <w:instrText xml:space="preserve"> HYPERLINK "http://www.planalto.gov.br/ccivil_03/_ato2019-2022/2021/lei/L14133.htm" \l "art92"</w:instrText>
      </w:r>
      <w:r>
        <w:rPr>
          <w:rStyle w:val="54"/>
          <w:sz w:val="22"/>
          <w:szCs w:val="22"/>
        </w:rPr>
        <w:fldChar w:fldCharType="separate"/>
      </w:r>
      <w:r>
        <w:rPr>
          <w:rStyle w:val="54"/>
          <w:sz w:val="22"/>
          <w:szCs w:val="22"/>
        </w:rPr>
        <w:t>art. 92, V</w:t>
      </w:r>
      <w:r>
        <w:rPr>
          <w:rStyle w:val="54"/>
          <w:sz w:val="22"/>
          <w:szCs w:val="22"/>
        </w:rPr>
        <w:fldChar w:fldCharType="end"/>
      </w:r>
      <w:r>
        <w:rPr>
          <w:rStyle w:val="54"/>
          <w:sz w:val="22"/>
          <w:szCs w:val="22"/>
        </w:rPr>
        <w:t>, da Lei Federal nº 14.133, de 2021</w:t>
      </w:r>
      <w:r>
        <w:rPr>
          <w:sz w:val="22"/>
          <w:szCs w:val="22"/>
        </w:rPr>
        <w:t>)</w:t>
      </w:r>
    </w:p>
    <w:p>
      <w:pPr>
        <w:pStyle w:val="28"/>
        <w:numPr>
          <w:ilvl w:val="1"/>
          <w:numId w:val="13"/>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O valor total da contratação é de </w:t>
      </w:r>
      <w:r>
        <w:rPr>
          <w:rFonts w:eastAsiaTheme="minorHAnsi" w:cstheme="minorBidi"/>
          <w:sz w:val="22"/>
          <w:szCs w:val="22"/>
          <w:shd w:val="clear" w:fill="auto"/>
          <w:lang w:val="pt-BR"/>
        </w:rPr>
        <w:t>R$ 41.172,50 (quarenta e um mil cento e setenta e dois reais e cinquenta centavos)</w:t>
      </w:r>
      <w:r>
        <w:rPr>
          <w:sz w:val="22"/>
          <w:szCs w:val="22"/>
        </w:rPr>
        <w:t xml:space="preserve"> referente à emissão da Nota de Empenho nº XXX a partir da ARP nº 002/2024, podendo ser emitidos empenhos adicionais a partir da referida ARP, desde que dentro de seus limites e vigência e, consequentemente, aumentando o valor da presente contratação.</w:t>
      </w:r>
    </w:p>
    <w:p>
      <w:pPr>
        <w:pStyle w:val="28"/>
        <w:numPr>
          <w:ilvl w:val="1"/>
          <w:numId w:val="13"/>
        </w:numPr>
        <w:tabs>
          <w:tab w:val="left" w:pos="993"/>
        </w:tabs>
        <w:spacing w:before="0" w:beforeAutospacing="0" w:after="0" w:afterAutospacing="0"/>
        <w:ind w:left="0" w:firstLine="567"/>
        <w:jc w:val="both"/>
        <w:rPr>
          <w:rFonts w:ascii="Times New Roman" w:hAnsi="Times New Roman"/>
          <w:sz w:val="22"/>
          <w:szCs w:val="22"/>
        </w:rPr>
      </w:pPr>
      <w:r>
        <w:rPr>
          <w:sz w:val="22"/>
          <w:szCs w:val="22"/>
        </w:rPr>
        <w:t>No valor acima, e nos empenhos adicionais,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pPr>
        <w:pStyle w:val="28"/>
        <w:numPr>
          <w:ilvl w:val="1"/>
          <w:numId w:val="13"/>
        </w:numPr>
        <w:tabs>
          <w:tab w:val="left" w:pos="993"/>
        </w:tabs>
        <w:spacing w:before="0" w:beforeAutospacing="0" w:after="0" w:afterAutospacing="0"/>
        <w:ind w:left="0" w:firstLine="567"/>
        <w:jc w:val="both"/>
        <w:rPr>
          <w:rFonts w:ascii="Times New Roman" w:hAnsi="Times New Roman"/>
          <w:sz w:val="22"/>
          <w:szCs w:val="22"/>
        </w:rPr>
      </w:pPr>
      <w:r>
        <w:rPr>
          <w:sz w:val="22"/>
          <w:szCs w:val="22"/>
        </w:rPr>
        <w:t>O pagamento poderá conter glosas em virtude dos resultados apurados no Instrumento de Medição de Resultados - IMR (Anexo I-C do Termo de Referência).</w:t>
      </w:r>
    </w:p>
    <w:p>
      <w:pPr>
        <w:pStyle w:val="28"/>
        <w:numPr>
          <w:ilvl w:val="0"/>
          <w:numId w:val="13"/>
        </w:numPr>
        <w:pBdr>
          <w:bottom w:val="single" w:color="000000" w:themeColor="dark1" w:sz="4" w:space="1"/>
        </w:pBdr>
        <w:shd w:val="clear" w:color="auto" w:fill="BEBEBE" w:themeFill="background1" w:themeFillShade="BF"/>
        <w:spacing w:before="0" w:beforeAutospacing="0" w:after="0" w:afterAutospacing="0"/>
        <w:jc w:val="both"/>
      </w:pPr>
      <w:r>
        <w:rPr>
          <w:rStyle w:val="12"/>
          <w:color w:val="000000"/>
          <w:sz w:val="22"/>
          <w:szCs w:val="22"/>
        </w:rPr>
        <w:t>CONDIÇÕES DE PAGAMENTO</w:t>
      </w:r>
      <w:r>
        <w:rPr>
          <w:sz w:val="22"/>
          <w:szCs w:val="22"/>
        </w:rPr>
        <w:t xml:space="preserve"> (</w:t>
      </w:r>
      <w:r>
        <w:fldChar w:fldCharType="begin"/>
      </w:r>
      <w:r>
        <w:rPr>
          <w:rStyle w:val="54"/>
          <w:sz w:val="22"/>
          <w:szCs w:val="22"/>
        </w:rPr>
        <w:instrText xml:space="preserve"> HYPERLINK "http://www.planalto.gov.br/ccivil_03/_ato2019-2022/2021/lei/L14133.htm" \l "art92"</w:instrText>
      </w:r>
      <w:r>
        <w:rPr>
          <w:rStyle w:val="54"/>
          <w:sz w:val="22"/>
          <w:szCs w:val="22"/>
        </w:rPr>
        <w:fldChar w:fldCharType="separate"/>
      </w:r>
      <w:r>
        <w:rPr>
          <w:rStyle w:val="54"/>
          <w:sz w:val="22"/>
          <w:szCs w:val="22"/>
        </w:rPr>
        <w:t>art. 92, V</w:t>
      </w:r>
      <w:r>
        <w:rPr>
          <w:rStyle w:val="54"/>
          <w:sz w:val="22"/>
          <w:szCs w:val="22"/>
        </w:rPr>
        <w:fldChar w:fldCharType="end"/>
      </w:r>
      <w:r>
        <w:rPr>
          <w:rStyle w:val="54"/>
          <w:sz w:val="22"/>
          <w:szCs w:val="22"/>
        </w:rPr>
        <w:t>, da Lei Federal nº 14.133, de 2021</w:t>
      </w:r>
      <w:r>
        <w:rPr>
          <w:sz w:val="22"/>
          <w:szCs w:val="22"/>
        </w:rPr>
        <w:t>)</w:t>
      </w:r>
    </w:p>
    <w:p>
      <w:pPr>
        <w:pStyle w:val="28"/>
        <w:numPr>
          <w:ilvl w:val="1"/>
          <w:numId w:val="13"/>
        </w:numPr>
        <w:tabs>
          <w:tab w:val="left" w:pos="993"/>
        </w:tabs>
        <w:spacing w:before="0" w:beforeAutospacing="0" w:after="0" w:afterAutospacing="0"/>
        <w:ind w:left="0" w:firstLine="567"/>
        <w:jc w:val="both"/>
      </w:pPr>
      <w:r>
        <w:rPr>
          <w:color w:val="000000"/>
          <w:sz w:val="22"/>
          <w:szCs w:val="22"/>
        </w:rPr>
        <w:t>Para que a Nota Fiscal seja encaminhada para liquidação e pagamento será feito o recebimento provisório pelo responsável por seu acompanhamento e fiscalização (</w:t>
      </w:r>
      <w:r>
        <w:fldChar w:fldCharType="begin"/>
      </w:r>
      <w:r>
        <w:rPr>
          <w:rStyle w:val="54"/>
          <w:sz w:val="22"/>
          <w:szCs w:val="22"/>
        </w:rPr>
        <w:instrText xml:space="preserve"> HYPERLINK "https://www.planalto.gov.br/ccivil_03/_ato2019-2022/2021/lei/l14133.htm" \l "art140"</w:instrText>
      </w:r>
      <w:r>
        <w:rPr>
          <w:rStyle w:val="54"/>
          <w:sz w:val="22"/>
          <w:szCs w:val="22"/>
        </w:rPr>
        <w:fldChar w:fldCharType="separate"/>
      </w:r>
      <w:r>
        <w:rPr>
          <w:rStyle w:val="54"/>
          <w:sz w:val="22"/>
          <w:szCs w:val="22"/>
        </w:rPr>
        <w:t>art. 140, I, “a”, da Lei Federal nº 14.133, de 2021</w:t>
      </w:r>
      <w:r>
        <w:rPr>
          <w:rStyle w:val="54"/>
          <w:sz w:val="22"/>
          <w:szCs w:val="22"/>
        </w:rPr>
        <w:fldChar w:fldCharType="end"/>
      </w:r>
      <w:r>
        <w:rPr>
          <w:color w:val="000000"/>
          <w:sz w:val="22"/>
          <w:szCs w:val="22"/>
        </w:rPr>
        <w:t>) e o recebimento definitivo por servidor ou comissão designada pela autoridade competente (</w:t>
      </w:r>
      <w:r>
        <w:fldChar w:fldCharType="begin"/>
      </w:r>
      <w:r>
        <w:rPr>
          <w:rStyle w:val="54"/>
          <w:sz w:val="22"/>
          <w:szCs w:val="22"/>
        </w:rPr>
        <w:instrText xml:space="preserve"> HYPERLINK "https://www.planalto.gov.br/ccivil_03/_ato2019-2022/2021/lei/l14133.htm" \l "art140"</w:instrText>
      </w:r>
      <w:r>
        <w:rPr>
          <w:rStyle w:val="54"/>
          <w:sz w:val="22"/>
          <w:szCs w:val="22"/>
        </w:rPr>
        <w:fldChar w:fldCharType="separate"/>
      </w:r>
      <w:r>
        <w:rPr>
          <w:rStyle w:val="54"/>
          <w:sz w:val="22"/>
          <w:szCs w:val="22"/>
        </w:rPr>
        <w:t>art. 140, I, “b”, da Lei Federal nº 14.133, de 2021</w:t>
      </w:r>
      <w:r>
        <w:rPr>
          <w:rStyle w:val="54"/>
          <w:sz w:val="22"/>
          <w:szCs w:val="22"/>
        </w:rPr>
        <w:fldChar w:fldCharType="end"/>
      </w:r>
      <w:r>
        <w:rPr>
          <w:color w:val="000000"/>
          <w:sz w:val="22"/>
          <w:szCs w:val="22"/>
        </w:rPr>
        <w:t>).</w:t>
      </w:r>
    </w:p>
    <w:p>
      <w:pPr>
        <w:pStyle w:val="28"/>
        <w:numPr>
          <w:ilvl w:val="0"/>
          <w:numId w:val="0"/>
        </w:numPr>
        <w:tabs>
          <w:tab w:val="left" w:pos="993"/>
        </w:tabs>
        <w:spacing w:before="0" w:beforeAutospacing="0" w:after="0" w:afterAutospacing="0"/>
        <w:ind w:left="567" w:leftChars="0"/>
        <w:jc w:val="both"/>
      </w:pPr>
    </w:p>
    <w:p>
      <w:pPr>
        <w:pStyle w:val="28"/>
        <w:numPr>
          <w:ilvl w:val="0"/>
          <w:numId w:val="13"/>
        </w:numPr>
        <w:pBdr>
          <w:bottom w:val="single" w:color="000000" w:themeColor="dark1" w:sz="4" w:space="1"/>
        </w:pBdr>
        <w:shd w:val="clear" w:color="auto" w:fill="BEBEBE" w:themeFill="background1" w:themeFillShade="BF"/>
        <w:spacing w:before="0" w:beforeAutospacing="0" w:after="0" w:afterAutospacing="0"/>
        <w:jc w:val="both"/>
      </w:pPr>
      <w:r>
        <w:rPr>
          <w:rStyle w:val="12"/>
          <w:color w:val="000000"/>
          <w:sz w:val="22"/>
          <w:szCs w:val="22"/>
        </w:rPr>
        <w:t>LIQUIDAÇÃO E PAGAMENTO </w:t>
      </w:r>
      <w:r>
        <w:rPr>
          <w:rStyle w:val="12"/>
          <w:b w:val="0"/>
          <w:bCs w:val="0"/>
          <w:color w:val="000000"/>
          <w:sz w:val="22"/>
          <w:szCs w:val="22"/>
        </w:rPr>
        <w:t>(</w:t>
      </w:r>
      <w:r>
        <w:fldChar w:fldCharType="begin"/>
      </w:r>
      <w:r>
        <w:rPr>
          <w:rStyle w:val="54"/>
          <w:sz w:val="22"/>
          <w:szCs w:val="22"/>
        </w:rPr>
        <w:instrText xml:space="preserve"> HYPERLINK "https://www.planalto.gov.br/ccivil_03/_ato2019-2022/2021/lei/l14133.htm" \l "art143"</w:instrText>
      </w:r>
      <w:r>
        <w:rPr>
          <w:rStyle w:val="54"/>
          <w:sz w:val="22"/>
          <w:szCs w:val="22"/>
        </w:rPr>
        <w:fldChar w:fldCharType="separate"/>
      </w:r>
      <w:r>
        <w:rPr>
          <w:rStyle w:val="54"/>
          <w:sz w:val="22"/>
          <w:szCs w:val="22"/>
        </w:rPr>
        <w:t>art. 143 e 146 da Lei Federal nº 14.133, de 2021</w:t>
      </w:r>
      <w:r>
        <w:rPr>
          <w:rStyle w:val="54"/>
          <w:sz w:val="22"/>
          <w:szCs w:val="22"/>
        </w:rPr>
        <w:fldChar w:fldCharType="end"/>
      </w:r>
      <w:r>
        <w:rPr>
          <w:rStyle w:val="12"/>
          <w:b w:val="0"/>
          <w:bCs w:val="0"/>
          <w:color w:val="000000"/>
          <w:sz w:val="22"/>
          <w:szCs w:val="22"/>
        </w:rPr>
        <w:t xml:space="preserve"> e Resolução 50 de 2023.)</w:t>
      </w:r>
    </w:p>
    <w:p>
      <w:pPr>
        <w:pStyle w:val="28"/>
        <w:numPr>
          <w:ilvl w:val="1"/>
          <w:numId w:val="13"/>
        </w:numPr>
        <w:tabs>
          <w:tab w:val="left" w:pos="993"/>
        </w:tabs>
        <w:spacing w:before="0" w:beforeAutospacing="0" w:after="0" w:afterAutospacing="0"/>
        <w:ind w:left="0" w:firstLine="567"/>
        <w:jc w:val="both"/>
      </w:pPr>
      <w:r>
        <w:rPr>
          <w:color w:val="000000" w:themeColor="text1"/>
          <w:sz w:val="22"/>
          <w:szCs w:val="22"/>
        </w:rPr>
        <w:t xml:space="preserve">A </w:t>
      </w:r>
      <w:r>
        <w:rPr>
          <w:color w:val="000000"/>
          <w:sz w:val="22"/>
          <w:szCs w:val="22"/>
        </w:rPr>
        <w:t>Contratada</w:t>
      </w:r>
      <w:r>
        <w:rPr>
          <w:color w:val="000000" w:themeColor="text1"/>
          <w:sz w:val="22"/>
          <w:szCs w:val="22"/>
        </w:rPr>
        <w:t xml:space="preserve"> deverá entregar a Nota Fiscal após a execução do serviço, </w:t>
      </w:r>
      <w:r>
        <w:rPr>
          <w:color w:val="000000"/>
          <w:sz w:val="22"/>
          <w:szCs w:val="22"/>
        </w:rPr>
        <w:t>sob</w:t>
      </w:r>
      <w:r>
        <w:rPr>
          <w:color w:val="000000" w:themeColor="text1"/>
          <w:sz w:val="22"/>
          <w:szCs w:val="22"/>
        </w:rPr>
        <w:t xml:space="preserve"> pena de não recebimento, e as certidões de regularidade fiscal, social e trabalhista exigidas na habilitação da licitação, ou as justificativas pela impossibilidade de apresentação das referidas certidões, além de outros documentos eventualmente exigidos no </w:t>
      </w:r>
      <w:r>
        <w:rPr>
          <w:rStyle w:val="45"/>
          <w:color w:val="000000"/>
          <w:sz w:val="22"/>
          <w:szCs w:val="22"/>
        </w:rPr>
        <w:t>Termo de Referência</w:t>
      </w:r>
      <w:r>
        <w:rPr>
          <w:color w:val="000000" w:themeColor="text1"/>
          <w:sz w:val="22"/>
          <w:szCs w:val="22"/>
        </w:rPr>
        <w:t xml:space="preserve"> para liquidação e pagamento, em até</w:t>
      </w:r>
      <w:r>
        <w:rPr>
          <w:color w:val="000000" w:themeColor="text1"/>
          <w:sz w:val="22"/>
          <w:szCs w:val="22"/>
          <w:shd w:val="clear" w:fill="auto"/>
        </w:rPr>
        <w:t xml:space="preserve"> 30 (trinta) </w:t>
      </w:r>
      <w:r>
        <w:rPr>
          <w:color w:val="000000" w:themeColor="text1"/>
          <w:sz w:val="22"/>
          <w:szCs w:val="22"/>
        </w:rPr>
        <w:t xml:space="preserve">dias corridos após a entrega do objeto contratado, sob pena de caracterizar a infração tipificada no </w:t>
      </w:r>
      <w:r>
        <w:fldChar w:fldCharType="begin"/>
      </w:r>
      <w:r>
        <w:rPr>
          <w:rStyle w:val="54"/>
          <w:sz w:val="22"/>
          <w:szCs w:val="22"/>
        </w:rPr>
        <w:instrText xml:space="preserve"> HYPERLINK "https://www.planalto.gov.br/ccivil_03/_ato2019-2022/2021/lei/l14133.htm" \l "art155"</w:instrText>
      </w:r>
      <w:r>
        <w:rPr>
          <w:rStyle w:val="54"/>
          <w:sz w:val="22"/>
          <w:szCs w:val="22"/>
        </w:rPr>
        <w:fldChar w:fldCharType="separate"/>
      </w:r>
      <w:r>
        <w:rPr>
          <w:rStyle w:val="54"/>
          <w:sz w:val="22"/>
          <w:szCs w:val="22"/>
        </w:rPr>
        <w:t>art. 155, VII, da Lei Federal nº 14.133, de 2021</w:t>
      </w:r>
      <w:r>
        <w:rPr>
          <w:rStyle w:val="54"/>
          <w:sz w:val="22"/>
          <w:szCs w:val="22"/>
        </w:rPr>
        <w:fldChar w:fldCharType="end"/>
      </w:r>
      <w:r>
        <w:rPr>
          <w:color w:val="000000" w:themeColor="text1"/>
          <w:sz w:val="22"/>
          <w:szCs w:val="22"/>
        </w:rPr>
        <w:t>.</w:t>
      </w:r>
    </w:p>
    <w:p>
      <w:pPr>
        <w:pStyle w:val="28"/>
        <w:numPr>
          <w:ilvl w:val="1"/>
          <w:numId w:val="13"/>
        </w:numPr>
        <w:tabs>
          <w:tab w:val="left" w:pos="993"/>
        </w:tabs>
        <w:spacing w:before="0" w:beforeAutospacing="0" w:after="0" w:afterAutospacing="0"/>
        <w:ind w:left="0" w:firstLine="567"/>
        <w:jc w:val="both"/>
        <w:rPr>
          <w:rFonts w:ascii="Times New Roman" w:hAnsi="Times New Roman"/>
          <w:sz w:val="22"/>
          <w:szCs w:val="22"/>
        </w:rPr>
      </w:pPr>
      <w:r>
        <w:rPr>
          <w:color w:val="000000" w:themeColor="text1"/>
          <w:sz w:val="22"/>
          <w:szCs w:val="22"/>
        </w:rPr>
        <w:t xml:space="preserve">O </w:t>
      </w:r>
      <w:r>
        <w:rPr>
          <w:color w:val="000000"/>
          <w:sz w:val="22"/>
          <w:szCs w:val="22"/>
        </w:rPr>
        <w:t>CNPJ</w:t>
      </w:r>
      <w:r>
        <w:rPr>
          <w:color w:val="000000" w:themeColor="text1"/>
          <w:sz w:val="22"/>
          <w:szCs w:val="22"/>
        </w:rPr>
        <w:t xml:space="preserve"> </w:t>
      </w:r>
      <w:r>
        <w:rPr>
          <w:color w:val="000000"/>
          <w:sz w:val="22"/>
          <w:szCs w:val="22"/>
        </w:rPr>
        <w:t>constante</w:t>
      </w:r>
      <w:r>
        <w:rPr>
          <w:color w:val="000000" w:themeColor="text1"/>
          <w:sz w:val="22"/>
          <w:szCs w:val="22"/>
        </w:rPr>
        <w:t xml:space="preserve"> da Nota Fiscal e/ou DANFE (Documento Auxiliar de Nota Fiscal Eletrônica) deverá ser o mesmo indicado na proposta e neste instrumento de contrato. </w:t>
      </w:r>
    </w:p>
    <w:p>
      <w:pPr>
        <w:pStyle w:val="28"/>
        <w:numPr>
          <w:ilvl w:val="1"/>
          <w:numId w:val="13"/>
        </w:numPr>
        <w:tabs>
          <w:tab w:val="left" w:pos="993"/>
        </w:tabs>
        <w:spacing w:before="0" w:beforeAutospacing="0" w:after="0" w:afterAutospacing="0"/>
        <w:ind w:left="0" w:firstLine="567"/>
        <w:jc w:val="both"/>
      </w:pPr>
      <w:r>
        <w:rPr>
          <w:color w:val="000000"/>
          <w:sz w:val="22"/>
          <w:szCs w:val="22"/>
        </w:rPr>
        <w:t xml:space="preserve">O pagamento do objeto da presente contratação, sujeito à retenção na fonte de tributos e contribuições sociais de acordo com os normativos legais, será efetuado até o 30º (trigésimo) dia, a partir do recebimento definitivo do objeto contratado, com a emissão de ordem bancária para o crédito em conta corrente da Contratada, observada a ordem cronológica estabelecida no </w:t>
      </w:r>
      <w:r>
        <w:fldChar w:fldCharType="begin"/>
      </w:r>
      <w:r>
        <w:rPr>
          <w:rStyle w:val="54"/>
          <w:sz w:val="22"/>
          <w:szCs w:val="22"/>
        </w:rPr>
        <w:instrText xml:space="preserve"> HYPERLINK "https://www.planalto.gov.br/ccivil_03/_ato2019-2022/2021/lei/l14133.htm" \l "art141"</w:instrText>
      </w:r>
      <w:r>
        <w:rPr>
          <w:rStyle w:val="54"/>
          <w:sz w:val="22"/>
          <w:szCs w:val="22"/>
        </w:rPr>
        <w:fldChar w:fldCharType="separate"/>
      </w:r>
      <w:r>
        <w:rPr>
          <w:rStyle w:val="54"/>
          <w:sz w:val="22"/>
          <w:szCs w:val="22"/>
        </w:rPr>
        <w:t>art. 141 da Lei Federal nº 14.133, de 2021</w:t>
      </w:r>
      <w:r>
        <w:rPr>
          <w:rStyle w:val="54"/>
          <w:sz w:val="22"/>
          <w:szCs w:val="22"/>
        </w:rPr>
        <w:fldChar w:fldCharType="end"/>
      </w:r>
      <w:r>
        <w:rPr>
          <w:rStyle w:val="54"/>
          <w:sz w:val="22"/>
          <w:szCs w:val="22"/>
        </w:rPr>
        <w:t>.</w:t>
      </w:r>
    </w:p>
    <w:p>
      <w:pPr>
        <w:pStyle w:val="28"/>
        <w:numPr>
          <w:ilvl w:val="1"/>
          <w:numId w:val="13"/>
        </w:numPr>
        <w:tabs>
          <w:tab w:val="left" w:pos="993"/>
        </w:tabs>
        <w:spacing w:before="0" w:beforeAutospacing="0" w:after="0" w:afterAutospacing="0"/>
        <w:ind w:left="0" w:firstLine="567"/>
        <w:jc w:val="both"/>
      </w:pPr>
      <w:r>
        <w:rPr>
          <w:color w:val="000000"/>
          <w:sz w:val="22"/>
          <w:szCs w:val="22"/>
        </w:rPr>
        <w:t>Nos pagamentos, o Contratante poderá reter cautelarmente valores referente a eventuais multas, prejuízos e indenizações decorrentes de inadimplemento e dano, devendo ser liberada no prazo previsto para pagamento a parcela incontroversa. (</w:t>
      </w:r>
      <w:r>
        <w:fldChar w:fldCharType="begin"/>
      </w:r>
      <w:r>
        <w:rPr>
          <w:rStyle w:val="54"/>
          <w:sz w:val="22"/>
          <w:szCs w:val="22"/>
        </w:rPr>
        <w:instrText xml:space="preserve"> HYPERLINK "http://www.planalto.gov.br/ccivil_03/_ato2019-2022/2021/lei/L14133.htm" \l "art143"</w:instrText>
      </w:r>
      <w:r>
        <w:rPr>
          <w:rStyle w:val="54"/>
          <w:sz w:val="22"/>
          <w:szCs w:val="22"/>
        </w:rPr>
        <w:fldChar w:fldCharType="separate"/>
      </w:r>
      <w:r>
        <w:rPr>
          <w:rStyle w:val="54"/>
          <w:sz w:val="22"/>
          <w:szCs w:val="22"/>
        </w:rPr>
        <w:t>art. 143 da Lei Federal nº 14.133, de 2021</w:t>
      </w:r>
      <w:r>
        <w:rPr>
          <w:rStyle w:val="54"/>
          <w:sz w:val="22"/>
          <w:szCs w:val="22"/>
        </w:rPr>
        <w:fldChar w:fldCharType="end"/>
      </w:r>
      <w:r>
        <w:rPr>
          <w:color w:val="000000"/>
          <w:sz w:val="22"/>
          <w:szCs w:val="22"/>
        </w:rPr>
        <w:t>)</w:t>
      </w:r>
    </w:p>
    <w:p>
      <w:pPr>
        <w:pStyle w:val="28"/>
        <w:numPr>
          <w:ilvl w:val="1"/>
          <w:numId w:val="13"/>
        </w:numPr>
        <w:tabs>
          <w:tab w:val="left" w:pos="993"/>
        </w:tabs>
        <w:spacing w:before="0" w:beforeAutospacing="0" w:after="0" w:afterAutospacing="0"/>
        <w:ind w:left="0" w:firstLine="567"/>
        <w:jc w:val="both"/>
        <w:rPr>
          <w:rFonts w:ascii="Times New Roman" w:hAnsi="Times New Roman"/>
          <w:sz w:val="22"/>
          <w:szCs w:val="22"/>
        </w:rPr>
      </w:pPr>
      <w:r>
        <w:rPr>
          <w:color w:val="000000"/>
          <w:sz w:val="22"/>
          <w:szCs w:val="22"/>
        </w:rPr>
        <w:t>O Contratante não efetuará pagamento de título descontado, ou por meio de cobrança em banco, bem como, os que forem negociados com terceiros por intermédio da operação de “</w:t>
      </w:r>
      <w:r>
        <w:rPr>
          <w:i/>
          <w:iCs/>
          <w:color w:val="000000"/>
          <w:sz w:val="22"/>
          <w:szCs w:val="22"/>
        </w:rPr>
        <w:t>factoring</w:t>
      </w:r>
      <w:r>
        <w:rPr>
          <w:color w:val="000000"/>
          <w:sz w:val="22"/>
          <w:szCs w:val="22"/>
        </w:rPr>
        <w:t>”.</w:t>
      </w:r>
    </w:p>
    <w:p>
      <w:pPr>
        <w:pStyle w:val="28"/>
        <w:numPr>
          <w:ilvl w:val="1"/>
          <w:numId w:val="13"/>
        </w:numPr>
        <w:tabs>
          <w:tab w:val="left" w:pos="993"/>
        </w:tabs>
        <w:spacing w:before="0" w:beforeAutospacing="0" w:after="120" w:afterAutospacing="0"/>
        <w:ind w:left="0" w:firstLine="567"/>
        <w:jc w:val="both"/>
      </w:pPr>
      <w:r>
        <w:rPr>
          <w:color w:val="000000" w:themeColor="text1"/>
          <w:sz w:val="22"/>
          <w:szCs w:val="22"/>
        </w:rPr>
        <w:t xml:space="preserve">Nos termos do </w:t>
      </w:r>
      <w:r>
        <w:fldChar w:fldCharType="begin"/>
      </w:r>
      <w:r>
        <w:rPr>
          <w:rStyle w:val="54"/>
          <w:sz w:val="22"/>
          <w:szCs w:val="22"/>
        </w:rPr>
        <w:instrText xml:space="preserve"> HYPERLINK "https://www.planalto.gov.br/ccivil_03/_ato2019-2022/2021/lei/l14133.htm" \l "art92"</w:instrText>
      </w:r>
      <w:r>
        <w:rPr>
          <w:rStyle w:val="54"/>
          <w:sz w:val="22"/>
          <w:szCs w:val="22"/>
        </w:rPr>
        <w:fldChar w:fldCharType="separate"/>
      </w:r>
      <w:r>
        <w:rPr>
          <w:rStyle w:val="54"/>
          <w:sz w:val="22"/>
          <w:szCs w:val="22"/>
        </w:rPr>
        <w:t>art. 92, V, da Lei Federal nº 14.133, de 2021</w:t>
      </w:r>
      <w:r>
        <w:rPr>
          <w:rStyle w:val="54"/>
          <w:sz w:val="22"/>
          <w:szCs w:val="22"/>
        </w:rPr>
        <w:fldChar w:fldCharType="end"/>
      </w:r>
      <w:r>
        <w:rPr>
          <w:color w:val="000000" w:themeColor="text1"/>
          <w:sz w:val="22"/>
          <w:szCs w:val="22"/>
        </w:rPr>
        <w:t xml:space="preserve">, caso o </w:t>
      </w:r>
      <w:r>
        <w:rPr>
          <w:rFonts w:eastAsia="Cambria"/>
          <w:color w:val="000000" w:themeColor="text1"/>
          <w:sz w:val="22"/>
          <w:szCs w:val="22"/>
        </w:rPr>
        <w:t>pagamento</w:t>
      </w:r>
      <w:r>
        <w:rPr>
          <w:color w:val="000000" w:themeColor="text1"/>
          <w:sz w:val="22"/>
          <w:szCs w:val="22"/>
        </w:rPr>
        <w:t xml:space="preserve"> seja efetuado </w:t>
      </w:r>
      <w:r>
        <w:rPr>
          <w:color w:val="000000"/>
          <w:sz w:val="22"/>
          <w:szCs w:val="22"/>
        </w:rPr>
        <w:t>após</w:t>
      </w:r>
      <w:r>
        <w:rPr>
          <w:color w:val="000000" w:themeColor="text1"/>
          <w:sz w:val="22"/>
          <w:szCs w:val="22"/>
        </w:rPr>
        <w:t xml:space="preserve"> 30 (</w:t>
      </w:r>
      <w:r>
        <w:rPr>
          <w:color w:val="000000"/>
          <w:sz w:val="22"/>
          <w:szCs w:val="22"/>
        </w:rPr>
        <w:t>trinta</w:t>
      </w:r>
      <w:r>
        <w:rPr>
          <w:color w:val="000000" w:themeColor="text1"/>
          <w:sz w:val="22"/>
          <w:szCs w:val="22"/>
        </w:rPr>
        <w:t xml:space="preserve">) dias do recebimento definitivo do objeto contratado, desde que a Contratada não tenha concorrido de alguma forma para tanto, fica convencionado que a taxa de compensação financeira devida pelo </w:t>
      </w:r>
      <w:r>
        <w:rPr>
          <w:color w:val="000000"/>
          <w:sz w:val="22"/>
          <w:szCs w:val="22"/>
        </w:rPr>
        <w:t>Contratante</w:t>
      </w:r>
      <w:r>
        <w:rPr>
          <w:color w:val="000000" w:themeColor="text1"/>
          <w:sz w:val="22"/>
          <w:szCs w:val="22"/>
        </w:rPr>
        <w:t>, entre o 31º (trigésimo primeiro) dia e a data da emissão da ordem bancária, será a seguinte:</w:t>
      </w:r>
    </w:p>
    <w:p>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EM = I x N x VP</w:t>
      </w:r>
    </w:p>
    <w:p>
      <w:pPr>
        <w:spacing w:before="0" w:after="0" w:line="240" w:lineRule="auto"/>
        <w:ind w:firstLine="567"/>
        <w:jc w:val="both"/>
        <w:textAlignment w:val="baseline"/>
        <w:rPr>
          <w:rFonts w:ascii="Times New Roman" w:hAnsi="Times New Roman"/>
          <w:sz w:val="22"/>
          <w:szCs w:val="22"/>
        </w:rPr>
      </w:pPr>
      <w:r>
        <w:rPr>
          <w:rFonts w:ascii="Times New Roman" w:hAnsi="Times New Roman" w:eastAsia="Times New Roman" w:cs="Times New Roman"/>
          <w:color w:val="000000"/>
          <w:sz w:val="22"/>
          <w:szCs w:val="22"/>
          <w:lang w:eastAsia="pt-BR"/>
        </w:rPr>
        <w:t>Onde:</w:t>
      </w:r>
    </w:p>
    <w:p>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EM</w:t>
      </w:r>
      <w:r>
        <w:rPr>
          <w:rFonts w:ascii="Times New Roman" w:hAnsi="Times New Roman" w:eastAsia="Times New Roman" w:cs="Times New Roman"/>
          <w:color w:val="000000"/>
          <w:sz w:val="22"/>
          <w:szCs w:val="22"/>
          <w:lang w:eastAsia="pt-BR"/>
        </w:rPr>
        <w:t xml:space="preserve"> = encargos moratórios;</w:t>
      </w:r>
    </w:p>
    <w:p>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I</w:t>
      </w:r>
      <w:r>
        <w:rPr>
          <w:rFonts w:ascii="Times New Roman" w:hAnsi="Times New Roman" w:eastAsia="Times New Roman" w:cs="Times New Roman"/>
          <w:color w:val="000000"/>
          <w:sz w:val="22"/>
          <w:szCs w:val="22"/>
          <w:lang w:eastAsia="pt-BR"/>
        </w:rPr>
        <w:t xml:space="preserve"> = 0,0001644 (índice de compensação financeira por dia de atraso, assim apurado: I = (6/100/365);</w:t>
      </w:r>
    </w:p>
    <w:p>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N</w:t>
      </w:r>
      <w:r>
        <w:rPr>
          <w:rFonts w:ascii="Times New Roman" w:hAnsi="Times New Roman" w:eastAsia="Times New Roman" w:cs="Times New Roman"/>
          <w:color w:val="000000"/>
          <w:sz w:val="22"/>
          <w:szCs w:val="22"/>
          <w:lang w:eastAsia="pt-BR"/>
        </w:rPr>
        <w:t xml:space="preserve"> = número de dias entre a data limite para o pagamento e a do efetivo pagamento;</w:t>
      </w:r>
    </w:p>
    <w:p>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VP</w:t>
      </w:r>
      <w:r>
        <w:rPr>
          <w:rFonts w:ascii="Times New Roman" w:hAnsi="Times New Roman" w:eastAsia="Times New Roman" w:cs="Times New Roman"/>
          <w:color w:val="000000"/>
          <w:sz w:val="22"/>
          <w:szCs w:val="22"/>
          <w:lang w:eastAsia="pt-BR"/>
        </w:rPr>
        <w:t xml:space="preserve"> = valor da parcela a ser paga.</w:t>
      </w:r>
    </w:p>
    <w:p>
      <w:pPr>
        <w:pStyle w:val="28"/>
        <w:numPr>
          <w:ilvl w:val="0"/>
          <w:numId w:val="13"/>
        </w:numPr>
        <w:pBdr>
          <w:bottom w:val="single" w:color="000000" w:themeColor="dark1" w:sz="4" w:space="1"/>
        </w:pBdr>
        <w:shd w:val="clear" w:color="auto" w:fill="BEBEBE" w:themeFill="background1" w:themeFillShade="BF"/>
        <w:spacing w:before="360" w:beforeAutospacing="0" w:after="0" w:afterAutospacing="0"/>
        <w:jc w:val="both"/>
      </w:pPr>
      <w:bookmarkStart w:id="76" w:name="_REAJUSTE_(art._92,"/>
      <w:bookmarkEnd w:id="76"/>
      <w:r>
        <w:rPr>
          <w:rStyle w:val="12"/>
          <w:color w:val="000000"/>
          <w:sz w:val="22"/>
          <w:szCs w:val="22"/>
        </w:rPr>
        <w:t>GARANTIA DE EXECUÇÃO</w:t>
      </w:r>
      <w:r>
        <w:rPr>
          <w:sz w:val="22"/>
          <w:szCs w:val="22"/>
        </w:rPr>
        <w:t xml:space="preserve"> (</w:t>
      </w:r>
      <w:r>
        <w:fldChar w:fldCharType="begin"/>
      </w:r>
      <w:r>
        <w:rPr>
          <w:rStyle w:val="54"/>
          <w:sz w:val="22"/>
          <w:szCs w:val="22"/>
        </w:rPr>
        <w:instrText xml:space="preserve"> HYPERLINK "http://www.planalto.gov.br/ccivil_03/_ato2019-2022/2021/lei/L14133.htm" \l "art92"</w:instrText>
      </w:r>
      <w:r>
        <w:rPr>
          <w:rStyle w:val="54"/>
          <w:sz w:val="22"/>
          <w:szCs w:val="22"/>
        </w:rPr>
        <w:fldChar w:fldCharType="separate"/>
      </w:r>
      <w:r>
        <w:rPr>
          <w:rStyle w:val="54"/>
          <w:sz w:val="22"/>
          <w:szCs w:val="22"/>
        </w:rPr>
        <w:t>art. 92, XII</w:t>
      </w:r>
      <w:r>
        <w:rPr>
          <w:rStyle w:val="54"/>
          <w:sz w:val="22"/>
          <w:szCs w:val="22"/>
        </w:rPr>
        <w:fldChar w:fldCharType="end"/>
      </w:r>
      <w:r>
        <w:rPr>
          <w:rStyle w:val="54"/>
          <w:sz w:val="22"/>
          <w:szCs w:val="22"/>
        </w:rPr>
        <w:t xml:space="preserve"> e XIII, da Lei Federal nº 14.133, de 2021</w:t>
      </w:r>
      <w:r>
        <w:rPr>
          <w:sz w:val="22"/>
          <w:szCs w:val="22"/>
        </w:rPr>
        <w:t>)</w:t>
      </w:r>
    </w:p>
    <w:p>
      <w:pPr>
        <w:pStyle w:val="28"/>
        <w:numPr>
          <w:ilvl w:val="1"/>
          <w:numId w:val="13"/>
        </w:numPr>
        <w:tabs>
          <w:tab w:val="left" w:pos="993"/>
        </w:tabs>
        <w:spacing w:before="0" w:beforeAutospacing="0" w:after="0" w:afterAutospacing="0"/>
        <w:ind w:left="0" w:firstLine="567"/>
        <w:jc w:val="both"/>
      </w:pPr>
      <w:r>
        <w:rPr>
          <w:color w:val="000000"/>
          <w:sz w:val="22"/>
          <w:szCs w:val="22"/>
        </w:rPr>
        <w:t>A garantia legal de adequação do serviço independe de termo expresso, vedada a exoneração contratual do fornecedor. (</w:t>
      </w:r>
      <w:r>
        <w:fldChar w:fldCharType="begin"/>
      </w:r>
      <w:r>
        <w:rPr>
          <w:rStyle w:val="54"/>
          <w:sz w:val="22"/>
          <w:szCs w:val="22"/>
        </w:rPr>
        <w:instrText xml:space="preserve"> HYPERLINK "https://www.planalto.gov.br/ccivil_03/leis/l8078compilado.htm" \l "art24"</w:instrText>
      </w:r>
      <w:r>
        <w:rPr>
          <w:rStyle w:val="54"/>
          <w:sz w:val="22"/>
          <w:szCs w:val="22"/>
        </w:rPr>
        <w:fldChar w:fldCharType="separate"/>
      </w:r>
      <w:r>
        <w:rPr>
          <w:rStyle w:val="54"/>
          <w:sz w:val="22"/>
          <w:szCs w:val="22"/>
        </w:rPr>
        <w:t>art. 24 da Lei Federal nº 8.078, de 1990</w:t>
      </w:r>
      <w:r>
        <w:rPr>
          <w:rStyle w:val="54"/>
          <w:sz w:val="22"/>
          <w:szCs w:val="22"/>
        </w:rPr>
        <w:fldChar w:fldCharType="end"/>
      </w:r>
      <w:r>
        <w:rPr>
          <w:color w:val="000000"/>
          <w:sz w:val="22"/>
          <w:szCs w:val="22"/>
        </w:rPr>
        <w:t>)</w:t>
      </w:r>
    </w:p>
    <w:p>
      <w:pPr>
        <w:pStyle w:val="28"/>
        <w:numPr>
          <w:ilvl w:val="1"/>
          <w:numId w:val="13"/>
        </w:numPr>
        <w:tabs>
          <w:tab w:val="left" w:pos="993"/>
        </w:tabs>
        <w:spacing w:before="0" w:beforeAutospacing="0" w:after="0" w:afterAutospacing="0"/>
        <w:ind w:left="0" w:firstLine="567"/>
        <w:jc w:val="both"/>
      </w:pPr>
      <w:r>
        <w:rPr>
          <w:color w:val="000000"/>
          <w:sz w:val="22"/>
          <w:szCs w:val="22"/>
        </w:rPr>
        <w:t>A garantia contratual é complementar à legal. (</w:t>
      </w:r>
      <w:r>
        <w:fldChar w:fldCharType="begin"/>
      </w:r>
      <w:r>
        <w:rPr>
          <w:rStyle w:val="54"/>
          <w:sz w:val="22"/>
          <w:szCs w:val="22"/>
        </w:rPr>
        <w:instrText xml:space="preserve"> HYPERLINK "https://www.planalto.gov.br/ccivil_03/leis/l8078compilado.htm" \l "art50"</w:instrText>
      </w:r>
      <w:r>
        <w:rPr>
          <w:rStyle w:val="54"/>
          <w:sz w:val="22"/>
          <w:szCs w:val="22"/>
        </w:rPr>
        <w:fldChar w:fldCharType="separate"/>
      </w:r>
      <w:r>
        <w:rPr>
          <w:rStyle w:val="54"/>
          <w:sz w:val="22"/>
          <w:szCs w:val="22"/>
        </w:rPr>
        <w:t>art. 50 da Lei Federal nº 8.078, de 1990</w:t>
      </w:r>
      <w:r>
        <w:rPr>
          <w:rStyle w:val="54"/>
          <w:sz w:val="22"/>
          <w:szCs w:val="22"/>
        </w:rPr>
        <w:fldChar w:fldCharType="end"/>
      </w:r>
      <w:r>
        <w:rPr>
          <w:color w:val="000000"/>
          <w:sz w:val="22"/>
          <w:szCs w:val="22"/>
        </w:rPr>
        <w:t>)</w:t>
      </w:r>
    </w:p>
    <w:p>
      <w:pPr>
        <w:pStyle w:val="28"/>
        <w:numPr>
          <w:ilvl w:val="0"/>
          <w:numId w:val="13"/>
        </w:numPr>
        <w:pBdr>
          <w:bottom w:val="single" w:color="000000" w:themeColor="dark1" w:sz="4" w:space="1"/>
        </w:pBdr>
        <w:shd w:val="clear" w:color="auto" w:fill="BEBEBE" w:themeFill="background1" w:themeFillShade="BF"/>
        <w:spacing w:before="0" w:beforeAutospacing="0" w:after="0" w:afterAutospacing="0"/>
        <w:jc w:val="both"/>
      </w:pPr>
      <w:r>
        <w:rPr>
          <w:rStyle w:val="12"/>
          <w:color w:val="000000"/>
          <w:sz w:val="22"/>
          <w:szCs w:val="22"/>
        </w:rPr>
        <w:t>REAJUSTE</w:t>
      </w:r>
      <w:r>
        <w:rPr>
          <w:sz w:val="22"/>
          <w:szCs w:val="22"/>
        </w:rPr>
        <w:t xml:space="preserve"> (</w:t>
      </w:r>
      <w:r>
        <w:fldChar w:fldCharType="begin"/>
      </w:r>
      <w:r>
        <w:rPr>
          <w:rStyle w:val="54"/>
          <w:sz w:val="22"/>
          <w:szCs w:val="22"/>
        </w:rPr>
        <w:instrText xml:space="preserve"> HYPERLINK "http://www.planalto.gov.br/ccivil_03/_ato2019-2022/2021/lei/L14133.htm" \l "art92"</w:instrText>
      </w:r>
      <w:r>
        <w:rPr>
          <w:rStyle w:val="54"/>
          <w:sz w:val="22"/>
          <w:szCs w:val="22"/>
        </w:rPr>
        <w:fldChar w:fldCharType="separate"/>
      </w:r>
      <w:r>
        <w:rPr>
          <w:rStyle w:val="54"/>
          <w:sz w:val="22"/>
          <w:szCs w:val="22"/>
        </w:rPr>
        <w:t>art. 92, § 3º, da Lei Federal nº 14.133, de 2021</w:t>
      </w:r>
      <w:r>
        <w:rPr>
          <w:rStyle w:val="54"/>
          <w:sz w:val="22"/>
          <w:szCs w:val="22"/>
        </w:rPr>
        <w:fldChar w:fldCharType="end"/>
      </w:r>
      <w:r>
        <w:rPr>
          <w:sz w:val="22"/>
          <w:szCs w:val="22"/>
        </w:rPr>
        <w:t>)</w:t>
      </w:r>
    </w:p>
    <w:p>
      <w:pPr>
        <w:pStyle w:val="28"/>
        <w:numPr>
          <w:ilvl w:val="1"/>
          <w:numId w:val="13"/>
        </w:numPr>
        <w:tabs>
          <w:tab w:val="left" w:pos="993"/>
        </w:tabs>
        <w:spacing w:before="0" w:beforeAutospacing="0" w:after="0" w:afterAutospacing="0"/>
        <w:ind w:left="0" w:firstLine="567"/>
        <w:jc w:val="both"/>
        <w:rPr>
          <w:rFonts w:ascii="Times New Roman" w:hAnsi="Times New Roman"/>
          <w:sz w:val="22"/>
          <w:szCs w:val="22"/>
        </w:rPr>
      </w:pPr>
      <w:r>
        <w:rPr>
          <w:sz w:val="22"/>
          <w:szCs w:val="22"/>
        </w:rPr>
        <w:t>Os preços inicialmente contratados são fixos e irreajustáveis no prazo de um ano contado da data da proposta (dia de abertura do certame licitatório).</w:t>
      </w:r>
    </w:p>
    <w:p>
      <w:pPr>
        <w:pStyle w:val="28"/>
        <w:numPr>
          <w:ilvl w:val="1"/>
          <w:numId w:val="13"/>
        </w:numPr>
        <w:tabs>
          <w:tab w:val="left" w:pos="993"/>
        </w:tabs>
        <w:spacing w:before="0" w:beforeAutospacing="0" w:after="0" w:afterAutospacing="0"/>
        <w:ind w:left="0" w:firstLine="567"/>
        <w:jc w:val="both"/>
        <w:rPr>
          <w:rFonts w:ascii="Times New Roman" w:hAnsi="Times New Roman"/>
          <w:sz w:val="22"/>
          <w:szCs w:val="22"/>
        </w:rPr>
      </w:pPr>
      <w:r>
        <w:rPr>
          <w:sz w:val="22"/>
          <w:szCs w:val="22"/>
        </w:rPr>
        <w:t>Após o interregno de um ano, independentemente de pedido da Contratada, os preços iniciais serão reajustados, exclusivamente para as obrigações iniciadas e concluídas após a ocorrência da anualidade.</w:t>
      </w:r>
    </w:p>
    <w:p>
      <w:pPr>
        <w:pStyle w:val="28"/>
        <w:numPr>
          <w:ilvl w:val="1"/>
          <w:numId w:val="13"/>
        </w:numPr>
        <w:tabs>
          <w:tab w:val="left" w:pos="993"/>
        </w:tabs>
        <w:spacing w:before="0" w:beforeAutospacing="0" w:after="120" w:afterAutospacing="0"/>
        <w:ind w:left="0" w:firstLine="567"/>
        <w:jc w:val="both"/>
        <w:rPr>
          <w:rFonts w:ascii="Times New Roman" w:hAnsi="Times New Roman"/>
          <w:sz w:val="22"/>
          <w:szCs w:val="22"/>
        </w:rPr>
      </w:pPr>
      <w:r>
        <w:rPr>
          <w:color w:val="000000" w:themeColor="text1"/>
          <w:sz w:val="22"/>
          <w:szCs w:val="22"/>
        </w:rPr>
        <w:t xml:space="preserve">Para </w:t>
      </w:r>
      <w:r>
        <w:rPr>
          <w:color w:val="000000"/>
          <w:sz w:val="22"/>
          <w:szCs w:val="22"/>
        </w:rPr>
        <w:t>efeito</w:t>
      </w:r>
      <w:r>
        <w:rPr>
          <w:color w:val="000000" w:themeColor="text1"/>
          <w:sz w:val="22"/>
          <w:szCs w:val="22"/>
        </w:rPr>
        <w:t xml:space="preserve"> do disposto no item anterior, será apreciada a possibilidade da aplicação do Índice Nacional de Preços ao Consumidor - INPC - do Instituto Brasileiro de Geografia e Estatística - IBGE, com data-base vinculada à data da proposta, de acordo com a seguinte fórmula:</w:t>
      </w:r>
    </w:p>
    <w:p>
      <w:pPr>
        <w:pStyle w:val="130"/>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rPr>
        <w:t>PR = PI x IR</w:t>
      </w:r>
    </w:p>
    <w:p>
      <w:pPr>
        <w:pStyle w:val="130"/>
        <w:tabs>
          <w:tab w:val="left" w:pos="1134"/>
        </w:tabs>
        <w:spacing w:before="120" w:beforeAutospacing="0" w:after="120" w:afterAutospacing="0"/>
        <w:ind w:left="567"/>
        <w:jc w:val="both"/>
        <w:textAlignment w:val="baseline"/>
        <w:rPr>
          <w:rFonts w:ascii="Times New Roman" w:hAnsi="Times New Roman"/>
          <w:sz w:val="22"/>
          <w:szCs w:val="22"/>
        </w:rPr>
      </w:pPr>
      <w:r>
        <w:rPr>
          <w:color w:val="000000" w:themeColor="text1"/>
          <w:sz w:val="22"/>
          <w:szCs w:val="22"/>
        </w:rPr>
        <w:t>Onde:</w:t>
      </w:r>
    </w:p>
    <w:p>
      <w:pPr>
        <w:pStyle w:val="130"/>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rPr>
        <w:t>PR</w:t>
      </w:r>
      <w:r>
        <w:rPr>
          <w:color w:val="000000" w:themeColor="text1"/>
          <w:sz w:val="22"/>
          <w:szCs w:val="22"/>
        </w:rPr>
        <w:t xml:space="preserve"> = Preço reajustado</w:t>
      </w:r>
    </w:p>
    <w:p>
      <w:pPr>
        <w:pStyle w:val="130"/>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rPr>
        <w:t>PI</w:t>
      </w:r>
      <w:r>
        <w:rPr>
          <w:color w:val="000000" w:themeColor="text1"/>
          <w:sz w:val="22"/>
          <w:szCs w:val="22"/>
        </w:rPr>
        <w:t xml:space="preserve"> = Preço inicial </w:t>
      </w:r>
    </w:p>
    <w:p>
      <w:pPr>
        <w:pStyle w:val="130"/>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rPr>
        <w:t xml:space="preserve">IR </w:t>
      </w:r>
      <w:r>
        <w:rPr>
          <w:color w:val="000000" w:themeColor="text1"/>
          <w:sz w:val="22"/>
          <w:szCs w:val="22"/>
        </w:rPr>
        <w:t>= Índice de reajuste</w:t>
      </w:r>
    </w:p>
    <w:p>
      <w:pPr>
        <w:pStyle w:val="28"/>
        <w:numPr>
          <w:ilvl w:val="1"/>
          <w:numId w:val="13"/>
        </w:numPr>
        <w:tabs>
          <w:tab w:val="left" w:pos="993"/>
        </w:tabs>
        <w:spacing w:before="120" w:beforeAutospacing="0" w:after="0" w:afterAutospacing="0"/>
        <w:ind w:left="0" w:firstLine="567"/>
        <w:jc w:val="both"/>
        <w:rPr>
          <w:rFonts w:ascii="Times New Roman" w:hAnsi="Times New Roman"/>
          <w:sz w:val="22"/>
          <w:szCs w:val="22"/>
        </w:rPr>
      </w:pPr>
      <w:r>
        <w:rPr>
          <w:color w:val="000000" w:themeColor="text1"/>
          <w:sz w:val="22"/>
          <w:szCs w:val="22"/>
        </w:rPr>
        <w:t xml:space="preserve">Na </w:t>
      </w:r>
      <w:r>
        <w:rPr>
          <w:color w:val="000000"/>
          <w:sz w:val="22"/>
          <w:szCs w:val="22"/>
        </w:rPr>
        <w:t>hipótese</w:t>
      </w:r>
      <w:r>
        <w:rPr>
          <w:color w:val="000000" w:themeColor="text1"/>
          <w:sz w:val="22"/>
          <w:szCs w:val="22"/>
        </w:rPr>
        <w:t xml:space="preserve"> de reajuste, a Contratada será consultada sobre a possibilidade de renúncia ao </w:t>
      </w:r>
      <w:r>
        <w:rPr>
          <w:color w:val="000000"/>
          <w:sz w:val="22"/>
          <w:szCs w:val="22"/>
        </w:rPr>
        <w:t>reajuste</w:t>
      </w:r>
      <w:r>
        <w:rPr>
          <w:color w:val="000000" w:themeColor="text1"/>
          <w:sz w:val="22"/>
          <w:szCs w:val="22"/>
        </w:rPr>
        <w:t>.</w:t>
      </w:r>
    </w:p>
    <w:p>
      <w:pPr>
        <w:pStyle w:val="28"/>
        <w:numPr>
          <w:ilvl w:val="1"/>
          <w:numId w:val="13"/>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somente terá direito a reajustes se não tiver dado causa a atrasos no cumprimento de suas obrigações.</w:t>
      </w:r>
    </w:p>
    <w:p>
      <w:pPr>
        <w:pStyle w:val="28"/>
        <w:numPr>
          <w:ilvl w:val="1"/>
          <w:numId w:val="13"/>
        </w:numPr>
        <w:tabs>
          <w:tab w:val="left" w:pos="993"/>
        </w:tabs>
        <w:spacing w:before="0" w:beforeAutospacing="0" w:after="0" w:afterAutospacing="0"/>
        <w:ind w:left="0" w:firstLine="567"/>
        <w:jc w:val="both"/>
        <w:rPr>
          <w:rFonts w:ascii="Times New Roman" w:hAnsi="Times New Roman"/>
          <w:sz w:val="22"/>
          <w:szCs w:val="22"/>
        </w:rPr>
      </w:pPr>
      <w:r>
        <w:rPr>
          <w:sz w:val="22"/>
          <w:szCs w:val="22"/>
        </w:rPr>
        <w:t>Nos reajustes subsequentes ao primeiro, o interregno mínimo de um ano será contado a partir dos efeitos financeiros do último reajuste.</w:t>
      </w:r>
    </w:p>
    <w:p>
      <w:pPr>
        <w:pStyle w:val="28"/>
        <w:numPr>
          <w:ilvl w:val="1"/>
          <w:numId w:val="13"/>
        </w:numPr>
        <w:tabs>
          <w:tab w:val="left" w:pos="993"/>
        </w:tabs>
        <w:spacing w:before="0" w:beforeAutospacing="0" w:after="0" w:afterAutospacing="0"/>
        <w:ind w:left="0" w:firstLine="567"/>
        <w:jc w:val="both"/>
        <w:rPr>
          <w:rFonts w:ascii="Times New Roman" w:hAnsi="Times New Roman"/>
          <w:sz w:val="22"/>
          <w:szCs w:val="22"/>
        </w:rPr>
      </w:pPr>
      <w:r>
        <w:rPr>
          <w:sz w:val="22"/>
          <w:szCs w:val="22"/>
        </w:rPr>
        <w:t>Fica a Contratada obrigada a apresentar memória de cálculo referente ao reajustamento de preços do valor remanescente, sempre que este ocorrer.</w:t>
      </w:r>
    </w:p>
    <w:p>
      <w:pPr>
        <w:pStyle w:val="28"/>
        <w:numPr>
          <w:ilvl w:val="1"/>
          <w:numId w:val="13"/>
        </w:numPr>
        <w:tabs>
          <w:tab w:val="left" w:pos="993"/>
        </w:tabs>
        <w:spacing w:before="0" w:beforeAutospacing="0" w:after="0" w:afterAutospacing="0"/>
        <w:ind w:left="0" w:firstLine="567"/>
        <w:jc w:val="both"/>
        <w:rPr>
          <w:rFonts w:ascii="Times New Roman" w:hAnsi="Times New Roman"/>
          <w:sz w:val="22"/>
          <w:szCs w:val="22"/>
        </w:rPr>
      </w:pPr>
      <w:r>
        <w:rPr>
          <w:sz w:val="22"/>
          <w:szCs w:val="22"/>
        </w:rPr>
        <w:t>Caso o(s) índice(s) estabelecido(s) para reajustamento venha(m) a ser extinto(s) ou de qualquer forma não possa(m) mais ser utilizado(s), será(ão) adotado(s), em substituição, o(s) que vier(em) a ser determinado(s) pela legislação então em vigor.</w:t>
      </w:r>
    </w:p>
    <w:p>
      <w:pPr>
        <w:pStyle w:val="28"/>
        <w:numPr>
          <w:ilvl w:val="1"/>
          <w:numId w:val="13"/>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Na ausência de previsão legal quanto ao índice substituto, as partes elegerão novo índice oficial, para reajustamento do preço do valor remanescente, por meio de termo aditivo. </w:t>
      </w:r>
    </w:p>
    <w:p>
      <w:pPr>
        <w:pStyle w:val="28"/>
        <w:numPr>
          <w:ilvl w:val="1"/>
          <w:numId w:val="13"/>
        </w:numPr>
        <w:tabs>
          <w:tab w:val="left" w:pos="993"/>
        </w:tabs>
        <w:spacing w:before="0" w:beforeAutospacing="0" w:after="0" w:afterAutospacing="0"/>
        <w:ind w:left="0" w:firstLine="567"/>
        <w:jc w:val="both"/>
        <w:rPr>
          <w:rFonts w:ascii="Times New Roman" w:hAnsi="Times New Roman"/>
          <w:sz w:val="22"/>
          <w:szCs w:val="22"/>
        </w:rPr>
      </w:pPr>
      <w:r>
        <w:rPr>
          <w:sz w:val="22"/>
          <w:szCs w:val="22"/>
        </w:rPr>
        <w:t>O reajuste será realizado por apostilamento.</w:t>
      </w:r>
    </w:p>
    <w:p>
      <w:pPr>
        <w:pStyle w:val="28"/>
        <w:numPr>
          <w:ilvl w:val="0"/>
          <w:numId w:val="13"/>
        </w:numPr>
        <w:pBdr>
          <w:bottom w:val="single" w:color="000000" w:themeColor="dark1" w:sz="4" w:space="1"/>
        </w:pBdr>
        <w:shd w:val="clear" w:color="auto" w:fill="BEBEBE" w:themeFill="background1" w:themeFillShade="BF"/>
        <w:spacing w:before="0" w:beforeAutospacing="0" w:after="0" w:afterAutospacing="0"/>
        <w:jc w:val="both"/>
      </w:pPr>
      <w:r>
        <w:rPr>
          <w:rStyle w:val="12"/>
          <w:color w:val="000000"/>
          <w:sz w:val="22"/>
          <w:szCs w:val="22"/>
        </w:rPr>
        <w:t>SANÇÕES ADMINISTRATIVAS</w:t>
      </w:r>
      <w:r>
        <w:rPr>
          <w:sz w:val="22"/>
          <w:szCs w:val="22"/>
        </w:rPr>
        <w:t xml:space="preserve"> (</w:t>
      </w:r>
      <w:r>
        <w:fldChar w:fldCharType="begin"/>
      </w:r>
      <w:r>
        <w:rPr>
          <w:rStyle w:val="54"/>
          <w:sz w:val="22"/>
          <w:szCs w:val="22"/>
        </w:rPr>
        <w:instrText xml:space="preserve"> HYPERLINK "http://www.planalto.gov.br/ccivil_03/_ato2019-2022/2021/lei/L14133.htm" \l "art92"</w:instrText>
      </w:r>
      <w:r>
        <w:rPr>
          <w:rStyle w:val="54"/>
          <w:sz w:val="22"/>
          <w:szCs w:val="22"/>
        </w:rPr>
        <w:fldChar w:fldCharType="separate"/>
      </w:r>
      <w:r>
        <w:rPr>
          <w:rStyle w:val="54"/>
          <w:sz w:val="22"/>
          <w:szCs w:val="22"/>
        </w:rPr>
        <w:t>art. 92, XIV</w:t>
      </w:r>
      <w:r>
        <w:rPr>
          <w:rStyle w:val="54"/>
          <w:sz w:val="22"/>
          <w:szCs w:val="22"/>
        </w:rPr>
        <w:fldChar w:fldCharType="end"/>
      </w:r>
      <w:r>
        <w:rPr>
          <w:rStyle w:val="54"/>
          <w:sz w:val="22"/>
          <w:szCs w:val="22"/>
        </w:rPr>
        <w:t>, da Lei Federal nº 14.133, de 2021</w:t>
      </w:r>
      <w:r>
        <w:rPr>
          <w:sz w:val="22"/>
          <w:szCs w:val="22"/>
        </w:rPr>
        <w:t>)</w:t>
      </w:r>
    </w:p>
    <w:p>
      <w:pPr>
        <w:pStyle w:val="28"/>
        <w:numPr>
          <w:ilvl w:val="1"/>
          <w:numId w:val="13"/>
        </w:numPr>
        <w:tabs>
          <w:tab w:val="left" w:pos="993"/>
        </w:tabs>
        <w:spacing w:before="0" w:beforeAutospacing="0" w:after="0" w:afterAutospacing="0"/>
        <w:ind w:left="0" w:firstLine="567"/>
        <w:jc w:val="both"/>
      </w:pPr>
      <w:r>
        <w:rPr>
          <w:color w:val="000000"/>
          <w:sz w:val="22"/>
          <w:szCs w:val="22"/>
        </w:rPr>
        <w:t xml:space="preserve">No </w:t>
      </w:r>
      <w:r>
        <w:rPr>
          <w:sz w:val="22"/>
          <w:szCs w:val="22"/>
        </w:rPr>
        <w:t>caso</w:t>
      </w:r>
      <w:r>
        <w:rPr>
          <w:color w:val="000000"/>
          <w:sz w:val="22"/>
          <w:szCs w:val="22"/>
        </w:rPr>
        <w:t xml:space="preserve"> de a Contratada incorrer em uma ou mais condutas tipificadas no </w:t>
      </w:r>
      <w:r>
        <w:fldChar w:fldCharType="begin"/>
      </w:r>
      <w:r>
        <w:rPr>
          <w:rStyle w:val="54"/>
          <w:sz w:val="22"/>
          <w:szCs w:val="22"/>
        </w:rPr>
        <w:instrText xml:space="preserve"> HYPERLINK "https://www.planalto.gov.br/ccivil_03/_ato2019-2022/2021/lei/l14133.htm" \l "art155"</w:instrText>
      </w:r>
      <w:r>
        <w:rPr>
          <w:rStyle w:val="54"/>
          <w:sz w:val="22"/>
          <w:szCs w:val="22"/>
        </w:rPr>
        <w:fldChar w:fldCharType="separate"/>
      </w:r>
      <w:r>
        <w:rPr>
          <w:rStyle w:val="54"/>
          <w:sz w:val="22"/>
          <w:szCs w:val="22"/>
        </w:rPr>
        <w:t>art. 155 da Lei Federal nº 14.133, de 2021</w:t>
      </w:r>
      <w:r>
        <w:rPr>
          <w:rStyle w:val="54"/>
          <w:sz w:val="22"/>
          <w:szCs w:val="22"/>
        </w:rPr>
        <w:fldChar w:fldCharType="end"/>
      </w:r>
      <w:r>
        <w:rPr>
          <w:color w:val="000000"/>
          <w:sz w:val="22"/>
          <w:szCs w:val="22"/>
        </w:rPr>
        <w:t xml:space="preserve">, será responsabilizada administrativamente em uma ou mais das sanções previstas no </w:t>
      </w:r>
      <w:r>
        <w:fldChar w:fldCharType="begin"/>
      </w:r>
      <w:r>
        <w:rPr>
          <w:rStyle w:val="54"/>
          <w:sz w:val="22"/>
          <w:szCs w:val="22"/>
        </w:rPr>
        <w:instrText xml:space="preserve"> HYPERLINK "https://www.planalto.gov.br/ccivil_03/_ato2019-2022/2021/lei/l14133.htm" \l "art156"</w:instrText>
      </w:r>
      <w:r>
        <w:rPr>
          <w:rStyle w:val="54"/>
          <w:sz w:val="22"/>
          <w:szCs w:val="22"/>
        </w:rPr>
        <w:fldChar w:fldCharType="separate"/>
      </w:r>
      <w:r>
        <w:rPr>
          <w:rStyle w:val="54"/>
          <w:sz w:val="22"/>
          <w:szCs w:val="22"/>
        </w:rPr>
        <w:t>art. 156, da Lei Federal nº 14.133, de 2021</w:t>
      </w:r>
      <w:r>
        <w:rPr>
          <w:rStyle w:val="54"/>
          <w:sz w:val="22"/>
          <w:szCs w:val="22"/>
        </w:rPr>
        <w:fldChar w:fldCharType="end"/>
      </w:r>
      <w:r>
        <w:rPr>
          <w:color w:val="000000"/>
          <w:sz w:val="22"/>
          <w:szCs w:val="22"/>
        </w:rPr>
        <w:t>, garantido o direito à ampla defesa e contraditório.</w:t>
      </w:r>
    </w:p>
    <w:p>
      <w:pPr>
        <w:pStyle w:val="28"/>
        <w:numPr>
          <w:ilvl w:val="1"/>
          <w:numId w:val="13"/>
        </w:numPr>
        <w:tabs>
          <w:tab w:val="left" w:pos="993"/>
        </w:tabs>
        <w:spacing w:before="0" w:beforeAutospacing="0" w:after="0" w:afterAutospacing="0"/>
        <w:ind w:left="0" w:firstLine="567"/>
        <w:jc w:val="both"/>
        <w:rPr>
          <w:rFonts w:ascii="Times New Roman" w:hAnsi="Times New Roman"/>
          <w:sz w:val="22"/>
          <w:szCs w:val="22"/>
        </w:rPr>
      </w:pPr>
      <w:r>
        <w:rPr>
          <w:color w:val="000000"/>
          <w:sz w:val="22"/>
          <w:szCs w:val="22"/>
        </w:rPr>
        <w:t>Em caso de atraso na execução dos serviços, será aplicada multa de mora, correspondente a 2% (um por cento) por dia útil de atraso, incidente sobre o valor da parcela inadimplida, até o limite máximo de 10% (dez por cento), nas hipóteses de atraso injustificado na entrega do(s) serviço(s). A entrega após esse prazo configura a inexecução parcial do contrato, cuja multa será de 15% (quinze por cento) sobre o valor total da contratação e a não entrega até 10 (trinta) dias úteis após o prazo final de entrega caracterizará inexecução total do contrato, cuja multa será de 20% (vinte por cento) sobre o valor total da contratação.</w:t>
      </w:r>
    </w:p>
    <w:p>
      <w:pPr>
        <w:pStyle w:val="28"/>
        <w:numPr>
          <w:ilvl w:val="1"/>
          <w:numId w:val="13"/>
        </w:numPr>
        <w:tabs>
          <w:tab w:val="left" w:pos="993"/>
        </w:tabs>
        <w:spacing w:before="0" w:beforeAutospacing="0" w:after="0" w:afterAutospacing="0"/>
        <w:ind w:left="0" w:firstLine="567"/>
        <w:jc w:val="both"/>
      </w:pPr>
      <w:r>
        <w:rPr>
          <w:color w:val="000000"/>
          <w:sz w:val="22"/>
          <w:szCs w:val="22"/>
        </w:rPr>
        <w:t xml:space="preserve">Na </w:t>
      </w:r>
      <w:r>
        <w:rPr>
          <w:sz w:val="22"/>
          <w:szCs w:val="22"/>
        </w:rPr>
        <w:t>aplicação</w:t>
      </w:r>
      <w:r>
        <w:rPr>
          <w:color w:val="000000"/>
          <w:sz w:val="22"/>
          <w:szCs w:val="22"/>
        </w:rPr>
        <w:t xml:space="preserve"> das sanções serão considerados (</w:t>
      </w:r>
      <w:r>
        <w:fldChar w:fldCharType="begin"/>
      </w:r>
      <w:r>
        <w:rPr>
          <w:rStyle w:val="54"/>
          <w:sz w:val="22"/>
          <w:szCs w:val="22"/>
        </w:rPr>
        <w:instrText xml:space="preserve"> HYPERLINK "https://www.planalto.gov.br/ccivil_03/_ato2019-2022/2021/lei/l14133.htm" \l "art156"</w:instrText>
      </w:r>
      <w:r>
        <w:rPr>
          <w:rStyle w:val="54"/>
          <w:sz w:val="22"/>
          <w:szCs w:val="22"/>
        </w:rPr>
        <w:fldChar w:fldCharType="separate"/>
      </w:r>
      <w:r>
        <w:rPr>
          <w:rStyle w:val="54"/>
          <w:sz w:val="22"/>
          <w:szCs w:val="22"/>
        </w:rPr>
        <w:t>art. 156, § 1º, da Lei Federal nº 14.133, de 2021</w:t>
      </w:r>
      <w:r>
        <w:rPr>
          <w:rStyle w:val="54"/>
          <w:sz w:val="22"/>
          <w:szCs w:val="22"/>
        </w:rPr>
        <w:fldChar w:fldCharType="end"/>
      </w:r>
      <w:r>
        <w:rPr>
          <w:color w:val="000000"/>
          <w:sz w:val="22"/>
          <w:szCs w:val="22"/>
        </w:rPr>
        <w:t>):</w:t>
      </w:r>
    </w:p>
    <w:p>
      <w:pPr>
        <w:pStyle w:val="130"/>
        <w:numPr>
          <w:ilvl w:val="2"/>
          <w:numId w:val="13"/>
        </w:numPr>
        <w:tabs>
          <w:tab w:val="left" w:pos="1134"/>
        </w:tabs>
        <w:spacing w:before="120" w:beforeAutospacing="0" w:after="0" w:afterAutospacing="0"/>
        <w:jc w:val="both"/>
        <w:textAlignment w:val="baseline"/>
        <w:rPr>
          <w:rFonts w:ascii="Times New Roman" w:hAnsi="Times New Roman"/>
          <w:sz w:val="22"/>
          <w:szCs w:val="22"/>
        </w:rPr>
      </w:pPr>
      <w:r>
        <w:rPr>
          <w:color w:val="000000"/>
          <w:sz w:val="22"/>
          <w:szCs w:val="22"/>
        </w:rPr>
        <w:t>a natureza e a gravidade da infração cometida;</w:t>
      </w:r>
    </w:p>
    <w:p>
      <w:pPr>
        <w:pStyle w:val="130"/>
        <w:numPr>
          <w:ilvl w:val="2"/>
          <w:numId w:val="13"/>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as peculiaridades do caso concreto;</w:t>
      </w:r>
    </w:p>
    <w:p>
      <w:pPr>
        <w:pStyle w:val="130"/>
        <w:numPr>
          <w:ilvl w:val="2"/>
          <w:numId w:val="13"/>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as circunstâncias agravantes ou atenuantes;</w:t>
      </w:r>
    </w:p>
    <w:p>
      <w:pPr>
        <w:pStyle w:val="130"/>
        <w:numPr>
          <w:ilvl w:val="2"/>
          <w:numId w:val="13"/>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os danos que dela provierem para a Administração Pública;</w:t>
      </w:r>
    </w:p>
    <w:p>
      <w:pPr>
        <w:pStyle w:val="130"/>
        <w:numPr>
          <w:ilvl w:val="2"/>
          <w:numId w:val="13"/>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 implantação ou o aperfeiçoamento de programa de integridade, conforme normas e orientações dos órgãos de controle.</w:t>
      </w:r>
    </w:p>
    <w:p>
      <w:pPr>
        <w:pStyle w:val="28"/>
        <w:numPr>
          <w:ilvl w:val="1"/>
          <w:numId w:val="13"/>
        </w:numPr>
        <w:tabs>
          <w:tab w:val="left" w:pos="993"/>
        </w:tabs>
        <w:spacing w:before="120" w:beforeAutospacing="0" w:after="0" w:afterAutospacing="0"/>
        <w:ind w:left="0" w:firstLine="567"/>
        <w:jc w:val="both"/>
      </w:pPr>
      <w:r>
        <w:rPr>
          <w:sz w:val="22"/>
          <w:szCs w:val="22"/>
        </w:rPr>
        <w:t>As sanções de advertência (</w:t>
      </w:r>
      <w:r>
        <w:fldChar w:fldCharType="begin"/>
      </w:r>
      <w:r>
        <w:rPr>
          <w:rStyle w:val="54"/>
          <w:sz w:val="22"/>
          <w:szCs w:val="22"/>
        </w:rPr>
        <w:instrText xml:space="preserve"> HYPERLINK "http://www.planalto.gov.br/ccivil_03/_ato2019-2022/2021/lei/L14133.htm" \l "art156"</w:instrText>
      </w:r>
      <w:r>
        <w:rPr>
          <w:rStyle w:val="54"/>
          <w:sz w:val="22"/>
          <w:szCs w:val="22"/>
        </w:rPr>
        <w:fldChar w:fldCharType="separate"/>
      </w:r>
      <w:r>
        <w:rPr>
          <w:rStyle w:val="54"/>
          <w:sz w:val="22"/>
          <w:szCs w:val="22"/>
        </w:rPr>
        <w:t>art. 156, I, da Lei Federal nº 14.133, de 2021</w:t>
      </w:r>
      <w:r>
        <w:rPr>
          <w:rStyle w:val="54"/>
          <w:sz w:val="22"/>
          <w:szCs w:val="22"/>
        </w:rPr>
        <w:fldChar w:fldCharType="end"/>
      </w:r>
      <w:r>
        <w:rPr>
          <w:sz w:val="22"/>
          <w:szCs w:val="22"/>
        </w:rPr>
        <w:t>), impedimento de licitar e contratar (</w:t>
      </w:r>
      <w:r>
        <w:fldChar w:fldCharType="begin"/>
      </w:r>
      <w:r>
        <w:rPr>
          <w:rStyle w:val="54"/>
          <w:sz w:val="22"/>
          <w:szCs w:val="22"/>
        </w:rPr>
        <w:instrText xml:space="preserve"> HYPERLINK "http://www.planalto.gov.br/ccivil_03/_ato2019-2022/2021/lei/L14133.htm" \l "art156"</w:instrText>
      </w:r>
      <w:r>
        <w:rPr>
          <w:rStyle w:val="54"/>
          <w:sz w:val="22"/>
          <w:szCs w:val="22"/>
        </w:rPr>
        <w:fldChar w:fldCharType="separate"/>
      </w:r>
      <w:r>
        <w:rPr>
          <w:rStyle w:val="54"/>
          <w:sz w:val="22"/>
          <w:szCs w:val="22"/>
        </w:rPr>
        <w:t>art. 156, III, da Lei Federal nº 14.133, de 2021</w:t>
      </w:r>
      <w:r>
        <w:rPr>
          <w:rStyle w:val="54"/>
          <w:sz w:val="22"/>
          <w:szCs w:val="22"/>
        </w:rPr>
        <w:fldChar w:fldCharType="end"/>
      </w:r>
      <w:r>
        <w:rPr>
          <w:sz w:val="22"/>
          <w:szCs w:val="22"/>
        </w:rPr>
        <w:t>) e declaração de inidoneidade para licitar ou contratar (</w:t>
      </w:r>
      <w:r>
        <w:fldChar w:fldCharType="begin"/>
      </w:r>
      <w:r>
        <w:rPr>
          <w:rStyle w:val="54"/>
          <w:sz w:val="22"/>
          <w:szCs w:val="22"/>
        </w:rPr>
        <w:instrText xml:space="preserve"> HYPERLINK "http://www.planalto.gov.br/ccivil_03/_ato2019-2022/2021/lei/L14133.htm" \l "art156"</w:instrText>
      </w:r>
      <w:r>
        <w:rPr>
          <w:rStyle w:val="54"/>
          <w:sz w:val="22"/>
          <w:szCs w:val="22"/>
        </w:rPr>
        <w:fldChar w:fldCharType="separate"/>
      </w:r>
      <w:r>
        <w:rPr>
          <w:rStyle w:val="54"/>
          <w:sz w:val="22"/>
          <w:szCs w:val="22"/>
        </w:rPr>
        <w:t>art. 156, IV, da Lei Federal nº 14.133, de 2021</w:t>
      </w:r>
      <w:r>
        <w:rPr>
          <w:rStyle w:val="54"/>
          <w:sz w:val="22"/>
          <w:szCs w:val="22"/>
        </w:rPr>
        <w:fldChar w:fldCharType="end"/>
      </w:r>
      <w:r>
        <w:rPr>
          <w:sz w:val="22"/>
          <w:szCs w:val="22"/>
        </w:rPr>
        <w:t>) poderão ser aplicadas, cumulativamente ou não, à penalidade de multa (</w:t>
      </w:r>
      <w:r>
        <w:fldChar w:fldCharType="begin"/>
      </w:r>
      <w:r>
        <w:rPr>
          <w:rStyle w:val="54"/>
          <w:sz w:val="22"/>
          <w:szCs w:val="22"/>
        </w:rPr>
        <w:instrText xml:space="preserve"> HYPERLINK "http://www.planalto.gov.br/ccivil_03/_ato2019-2022/2021/lei/L14133.htm" \l "art156"</w:instrText>
      </w:r>
      <w:r>
        <w:rPr>
          <w:rStyle w:val="54"/>
          <w:sz w:val="22"/>
          <w:szCs w:val="22"/>
        </w:rPr>
        <w:fldChar w:fldCharType="separate"/>
      </w:r>
      <w:r>
        <w:rPr>
          <w:rStyle w:val="54"/>
          <w:sz w:val="22"/>
          <w:szCs w:val="22"/>
        </w:rPr>
        <w:t>art. 156, II, da Lei Federal nº 14.133, de 2021</w:t>
      </w:r>
      <w:r>
        <w:rPr>
          <w:rStyle w:val="54"/>
          <w:sz w:val="22"/>
          <w:szCs w:val="22"/>
        </w:rPr>
        <w:fldChar w:fldCharType="end"/>
      </w:r>
      <w:r>
        <w:rPr>
          <w:sz w:val="22"/>
          <w:szCs w:val="22"/>
        </w:rPr>
        <w:t>).</w:t>
      </w:r>
    </w:p>
    <w:p>
      <w:pPr>
        <w:pStyle w:val="28"/>
        <w:numPr>
          <w:ilvl w:val="1"/>
          <w:numId w:val="13"/>
        </w:numPr>
        <w:tabs>
          <w:tab w:val="left" w:pos="993"/>
        </w:tabs>
        <w:spacing w:before="0" w:beforeAutospacing="0" w:after="0" w:afterAutospacing="0"/>
        <w:ind w:left="0" w:firstLine="567"/>
        <w:jc w:val="both"/>
      </w:pPr>
      <w:r>
        <w:rPr>
          <w:sz w:val="22"/>
          <w:szCs w:val="22"/>
        </w:rPr>
        <w:t xml:space="preserve">O processamento das penalidades seguirá os ditames da </w:t>
      </w:r>
      <w:r>
        <w:fldChar w:fldCharType="begin"/>
      </w:r>
      <w:r>
        <w:instrText xml:space="preserve"> HYPERLINK "https://www.planalto.gov.br/ccivil_03/_ato2019-2022/2021/lei/l14133.htm" \h </w:instrText>
      </w:r>
      <w:r>
        <w:fldChar w:fldCharType="separate"/>
      </w:r>
      <w:r>
        <w:rPr>
          <w:rStyle w:val="54"/>
          <w:sz w:val="22"/>
          <w:szCs w:val="22"/>
        </w:rPr>
        <w:t>Lei Federal nº 14.133, de 2021</w:t>
      </w:r>
      <w:r>
        <w:rPr>
          <w:rStyle w:val="54"/>
          <w:sz w:val="22"/>
          <w:szCs w:val="22"/>
        </w:rPr>
        <w:fldChar w:fldCharType="end"/>
      </w:r>
      <w:r>
        <w:rPr>
          <w:sz w:val="22"/>
          <w:szCs w:val="22"/>
        </w:rPr>
        <w:t>.</w:t>
      </w:r>
    </w:p>
    <w:p>
      <w:pPr>
        <w:pStyle w:val="28"/>
        <w:numPr>
          <w:ilvl w:val="1"/>
          <w:numId w:val="13"/>
        </w:numPr>
        <w:tabs>
          <w:tab w:val="left" w:pos="993"/>
        </w:tabs>
        <w:spacing w:before="0" w:beforeAutospacing="0" w:after="0" w:afterAutospacing="0"/>
        <w:ind w:left="0" w:firstLine="567"/>
        <w:jc w:val="both"/>
      </w:pPr>
      <w:r>
        <w:rPr>
          <w:sz w:val="22"/>
          <w:szCs w:val="22"/>
        </w:rPr>
        <w:t>A aplicação das sanções previstas neste Contrato não exclui, em hipótese alguma, a obrigação de reparação integral do dano causado ao Contratante (</w:t>
      </w:r>
      <w:r>
        <w:fldChar w:fldCharType="begin"/>
      </w:r>
      <w:r>
        <w:rPr>
          <w:rStyle w:val="54"/>
          <w:sz w:val="22"/>
          <w:szCs w:val="22"/>
        </w:rPr>
        <w:instrText xml:space="preserve"> HYPERLINK "http://www.planalto.gov.br/ccivil_03/_ato2019-2022/2021/lei/L14133.htm" \l "art156§9"</w:instrText>
      </w:r>
      <w:r>
        <w:rPr>
          <w:rStyle w:val="54"/>
          <w:sz w:val="22"/>
          <w:szCs w:val="22"/>
        </w:rPr>
        <w:fldChar w:fldCharType="separate"/>
      </w:r>
      <w:r>
        <w:rPr>
          <w:rStyle w:val="54"/>
          <w:sz w:val="22"/>
          <w:szCs w:val="22"/>
        </w:rPr>
        <w:t>art. 156, §9º, da Lei Federal nº 14.133, de 2021</w:t>
      </w:r>
      <w:r>
        <w:rPr>
          <w:rStyle w:val="54"/>
          <w:sz w:val="22"/>
          <w:szCs w:val="22"/>
        </w:rPr>
        <w:fldChar w:fldCharType="end"/>
      </w:r>
      <w:r>
        <w:rPr>
          <w:sz w:val="22"/>
          <w:szCs w:val="22"/>
        </w:rPr>
        <w:t>)</w:t>
      </w:r>
    </w:p>
    <w:p>
      <w:pPr>
        <w:pStyle w:val="28"/>
        <w:numPr>
          <w:ilvl w:val="1"/>
          <w:numId w:val="13"/>
        </w:numPr>
        <w:tabs>
          <w:tab w:val="left" w:pos="993"/>
        </w:tabs>
        <w:spacing w:before="0" w:beforeAutospacing="0" w:after="0" w:afterAutospacing="0"/>
        <w:ind w:left="0" w:firstLine="567"/>
        <w:jc w:val="both"/>
      </w:pPr>
      <w:r>
        <w:rPr>
          <w:sz w:val="22"/>
          <w:szCs w:val="22"/>
        </w:rPr>
        <w:t>Se a multa aplicada e as indenizações cabíveis forem superiores ao valor do pagamento eventualmente devido pelo Contratante à Contratada, além da perda desse valor, a diferença será cobrada judicialmente (</w:t>
      </w:r>
      <w:r>
        <w:fldChar w:fldCharType="begin"/>
      </w:r>
      <w:r>
        <w:rPr>
          <w:rStyle w:val="54"/>
          <w:sz w:val="22"/>
          <w:szCs w:val="22"/>
        </w:rPr>
        <w:instrText xml:space="preserve"> HYPERLINK "http://www.planalto.gov.br/ccivil_03/_ato2019-2022/2021/lei/L14133.htm" \l "art156§8"</w:instrText>
      </w:r>
      <w:r>
        <w:rPr>
          <w:rStyle w:val="54"/>
          <w:sz w:val="22"/>
          <w:szCs w:val="22"/>
        </w:rPr>
        <w:fldChar w:fldCharType="separate"/>
      </w:r>
      <w:r>
        <w:rPr>
          <w:rStyle w:val="54"/>
          <w:sz w:val="22"/>
          <w:szCs w:val="22"/>
        </w:rPr>
        <w:t>art. 156, §8º, da Lei Federal nº 14.133, de 2021</w:t>
      </w:r>
      <w:r>
        <w:rPr>
          <w:rStyle w:val="54"/>
          <w:sz w:val="22"/>
          <w:szCs w:val="22"/>
        </w:rPr>
        <w:fldChar w:fldCharType="end"/>
      </w:r>
      <w:r>
        <w:rPr>
          <w:sz w:val="22"/>
          <w:szCs w:val="22"/>
        </w:rPr>
        <w:t>).</w:t>
      </w:r>
    </w:p>
    <w:p>
      <w:pPr>
        <w:pStyle w:val="28"/>
        <w:numPr>
          <w:ilvl w:val="1"/>
          <w:numId w:val="13"/>
        </w:numPr>
        <w:tabs>
          <w:tab w:val="left" w:pos="993"/>
        </w:tabs>
        <w:spacing w:before="0" w:beforeAutospacing="0" w:after="0" w:afterAutospacing="0"/>
        <w:ind w:left="0" w:firstLine="567"/>
        <w:jc w:val="both"/>
        <w:rPr>
          <w:rFonts w:ascii="Times New Roman" w:hAnsi="Times New Roman"/>
          <w:sz w:val="22"/>
          <w:szCs w:val="22"/>
        </w:rPr>
      </w:pPr>
      <w:r>
        <w:rPr>
          <w:sz w:val="22"/>
          <w:szCs w:val="22"/>
        </w:rPr>
        <w:t>Previamente ao encaminhamento à cobrança judicial, a multa poderá ser recolhida administrativamente no prazo máximo de 30 (trinta) dias úteis, a contar da data do recebimento da comunicação enviada pela autoridade competente.</w:t>
      </w:r>
      <w:bookmarkStart w:id="77" w:name="_Hlk78351618"/>
      <w:bookmarkEnd w:id="77"/>
    </w:p>
    <w:p>
      <w:pPr>
        <w:pStyle w:val="28"/>
        <w:numPr>
          <w:ilvl w:val="1"/>
          <w:numId w:val="13"/>
        </w:numPr>
        <w:tabs>
          <w:tab w:val="left" w:pos="993"/>
        </w:tabs>
        <w:spacing w:before="0" w:beforeAutospacing="0" w:after="0" w:afterAutospacing="0"/>
        <w:ind w:left="0" w:firstLine="567"/>
        <w:jc w:val="both"/>
      </w:pPr>
      <w:r>
        <w:rPr>
          <w:color w:val="000000"/>
          <w:sz w:val="22"/>
          <w:szCs w:val="22"/>
        </w:rPr>
        <w:t xml:space="preserve">As </w:t>
      </w:r>
      <w:r>
        <w:rPr>
          <w:sz w:val="22"/>
          <w:szCs w:val="22"/>
        </w:rPr>
        <w:t>sanções</w:t>
      </w:r>
      <w:r>
        <w:rPr>
          <w:color w:val="000000"/>
          <w:sz w:val="22"/>
          <w:szCs w:val="22"/>
        </w:rPr>
        <w:t xml:space="preserve"> serão registradas e publicadas no Cadastro Nacional de Empresas Inidôneas e </w:t>
      </w:r>
      <w:r>
        <w:rPr>
          <w:color w:val="000000" w:themeColor="text1"/>
          <w:sz w:val="22"/>
          <w:szCs w:val="22"/>
        </w:rPr>
        <w:t>Suspensas</w:t>
      </w:r>
      <w:r>
        <w:rPr>
          <w:color w:val="000000"/>
          <w:sz w:val="22"/>
          <w:szCs w:val="22"/>
        </w:rPr>
        <w:t xml:space="preserve"> (Ceis) e no Cadastro Nacional de Empresas Punidas (Cnep), no prazo máximo de 15 (quinze) dias úteis, contado do trânsito em julgado da aplicação da sanção, nos termos do </w:t>
      </w:r>
      <w:r>
        <w:fldChar w:fldCharType="begin"/>
      </w:r>
      <w:r>
        <w:rPr>
          <w:rStyle w:val="54"/>
          <w:sz w:val="22"/>
          <w:szCs w:val="22"/>
        </w:rPr>
        <w:instrText xml:space="preserve"> HYPERLINK "https://www.planalto.gov.br/ccivil_03/_ato2019-2022/2021/lei/l14133.htm" \l "art161"</w:instrText>
      </w:r>
      <w:r>
        <w:rPr>
          <w:rStyle w:val="54"/>
          <w:sz w:val="22"/>
          <w:szCs w:val="22"/>
        </w:rPr>
        <w:fldChar w:fldCharType="separate"/>
      </w:r>
      <w:r>
        <w:rPr>
          <w:rStyle w:val="54"/>
          <w:sz w:val="22"/>
          <w:szCs w:val="22"/>
        </w:rPr>
        <w:t>art. 161 da Lei Federal nº 14.133, de 2021</w:t>
      </w:r>
      <w:r>
        <w:rPr>
          <w:rStyle w:val="54"/>
          <w:sz w:val="22"/>
          <w:szCs w:val="22"/>
        </w:rPr>
        <w:fldChar w:fldCharType="end"/>
      </w:r>
      <w:r>
        <w:rPr>
          <w:color w:val="000000"/>
          <w:sz w:val="22"/>
          <w:szCs w:val="22"/>
        </w:rPr>
        <w:t>.</w:t>
      </w:r>
    </w:p>
    <w:p>
      <w:pPr>
        <w:pStyle w:val="28"/>
        <w:numPr>
          <w:ilvl w:val="1"/>
          <w:numId w:val="13"/>
        </w:numPr>
        <w:tabs>
          <w:tab w:val="left" w:pos="993"/>
        </w:tabs>
        <w:spacing w:before="0" w:beforeAutospacing="0" w:after="0" w:afterAutospacing="0"/>
        <w:ind w:left="0" w:firstLine="567"/>
        <w:jc w:val="both"/>
      </w:pPr>
      <w:r>
        <w:rPr>
          <w:sz w:val="22"/>
          <w:szCs w:val="22"/>
        </w:rPr>
        <w:t xml:space="preserve">Os atos previstos como infrações administrativas na </w:t>
      </w:r>
      <w:r>
        <w:fldChar w:fldCharType="begin"/>
      </w:r>
      <w:r>
        <w:instrText xml:space="preserve"> HYPERLINK "http://www.planalto.gov.br/ccivil_03/_ato2019-2022/2021/lei/L14133.htm" \h </w:instrText>
      </w:r>
      <w:r>
        <w:fldChar w:fldCharType="separate"/>
      </w:r>
      <w:r>
        <w:rPr>
          <w:rStyle w:val="54"/>
          <w:sz w:val="22"/>
          <w:szCs w:val="22"/>
        </w:rPr>
        <w:t>Lei Federal nº 14.133, de 2021</w:t>
      </w:r>
      <w:r>
        <w:rPr>
          <w:rStyle w:val="54"/>
          <w:sz w:val="22"/>
          <w:szCs w:val="22"/>
        </w:rPr>
        <w:fldChar w:fldCharType="end"/>
      </w:r>
      <w:r>
        <w:rPr>
          <w:sz w:val="22"/>
          <w:szCs w:val="22"/>
        </w:rPr>
        <w:t xml:space="preserve">, ou em outras leis de licitações e contratos da Administração Pública que também sejam tipificados como atos lesivos na </w:t>
      </w:r>
      <w:r>
        <w:fldChar w:fldCharType="begin"/>
      </w:r>
      <w:r>
        <w:instrText xml:space="preserve"> HYPERLINK "https://www.planalto.gov.br/ccivil_03/_ato2011-2014/2013/lei/l12846.htm" \h </w:instrText>
      </w:r>
      <w:r>
        <w:fldChar w:fldCharType="separate"/>
      </w:r>
      <w:r>
        <w:rPr>
          <w:rStyle w:val="54"/>
          <w:sz w:val="22"/>
          <w:szCs w:val="22"/>
        </w:rPr>
        <w:t>Lei Federal nº 12.846, de 2013</w:t>
      </w:r>
      <w:r>
        <w:rPr>
          <w:rStyle w:val="54"/>
          <w:sz w:val="22"/>
          <w:szCs w:val="22"/>
        </w:rPr>
        <w:fldChar w:fldCharType="end"/>
      </w:r>
      <w:r>
        <w:rPr>
          <w:sz w:val="22"/>
          <w:szCs w:val="22"/>
        </w:rPr>
        <w:t>, serão apurados e julgados conjuntamente, nos mesmos autos, observados o rito procedimental e autoridade competente definidos. (</w:t>
      </w:r>
      <w:r>
        <w:fldChar w:fldCharType="begin"/>
      </w:r>
      <w:r>
        <w:rPr>
          <w:rStyle w:val="54"/>
          <w:sz w:val="22"/>
          <w:szCs w:val="22"/>
        </w:rPr>
        <w:instrText xml:space="preserve"> HYPERLINK "http://www.planalto.gov.br/ccivil_03/_ato2019-2022/2021/lei/L14133.htm" \l "art159"</w:instrText>
      </w:r>
      <w:r>
        <w:rPr>
          <w:rStyle w:val="54"/>
          <w:sz w:val="22"/>
          <w:szCs w:val="22"/>
        </w:rPr>
        <w:fldChar w:fldCharType="separate"/>
      </w:r>
      <w:r>
        <w:rPr>
          <w:rStyle w:val="54"/>
          <w:sz w:val="22"/>
          <w:szCs w:val="22"/>
        </w:rPr>
        <w:t>art. 159 da Lei Federal nº 14.133, de 2021</w:t>
      </w:r>
      <w:r>
        <w:rPr>
          <w:rStyle w:val="54"/>
          <w:sz w:val="22"/>
          <w:szCs w:val="22"/>
        </w:rPr>
        <w:fldChar w:fldCharType="end"/>
      </w:r>
      <w:r>
        <w:rPr>
          <w:sz w:val="22"/>
          <w:szCs w:val="22"/>
        </w:rPr>
        <w:t>).</w:t>
      </w:r>
    </w:p>
    <w:p>
      <w:pPr>
        <w:pStyle w:val="28"/>
        <w:numPr>
          <w:ilvl w:val="1"/>
          <w:numId w:val="13"/>
        </w:numPr>
        <w:tabs>
          <w:tab w:val="left" w:pos="993"/>
        </w:tabs>
        <w:spacing w:before="0" w:beforeAutospacing="0" w:after="0" w:afterAutospacing="0"/>
        <w:ind w:left="0" w:firstLine="567"/>
        <w:jc w:val="both"/>
      </w:pPr>
      <w:r>
        <w:rPr>
          <w:sz w:val="22"/>
          <w:szCs w:val="22"/>
        </w:rPr>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contratada do mesmo ramo com relação de coligação ou controle, de fato ou de direito, com a Contratada, observados, em todos os casos, o contraditório, a ampla defesa e a obrigatoriedade de análise jurídica prévia. (</w:t>
      </w:r>
      <w:r>
        <w:fldChar w:fldCharType="begin"/>
      </w:r>
      <w:r>
        <w:rPr>
          <w:rStyle w:val="54"/>
          <w:sz w:val="22"/>
          <w:szCs w:val="22"/>
        </w:rPr>
        <w:instrText xml:space="preserve"> HYPERLINK "http://www.planalto.gov.br/ccivil_03/_ato2019-2022/2021/lei/L14133.htm" \l "art160"</w:instrText>
      </w:r>
      <w:r>
        <w:rPr>
          <w:rStyle w:val="54"/>
          <w:sz w:val="22"/>
          <w:szCs w:val="22"/>
        </w:rPr>
        <w:fldChar w:fldCharType="separate"/>
      </w:r>
      <w:r>
        <w:rPr>
          <w:rStyle w:val="54"/>
          <w:sz w:val="22"/>
          <w:szCs w:val="22"/>
        </w:rPr>
        <w:t>art. 160, da Lei Federal nº 14.133, de 2021</w:t>
      </w:r>
      <w:r>
        <w:rPr>
          <w:rStyle w:val="54"/>
          <w:sz w:val="22"/>
          <w:szCs w:val="22"/>
        </w:rPr>
        <w:fldChar w:fldCharType="end"/>
      </w:r>
      <w:r>
        <w:rPr>
          <w:sz w:val="22"/>
          <w:szCs w:val="22"/>
        </w:rPr>
        <w:t>)</w:t>
      </w:r>
    </w:p>
    <w:p>
      <w:pPr>
        <w:pStyle w:val="28"/>
        <w:numPr>
          <w:ilvl w:val="1"/>
          <w:numId w:val="13"/>
        </w:numPr>
        <w:tabs>
          <w:tab w:val="left" w:pos="993"/>
        </w:tabs>
        <w:spacing w:before="0" w:beforeAutospacing="0" w:after="0" w:afterAutospacing="0"/>
        <w:ind w:left="0" w:firstLine="567"/>
        <w:jc w:val="both"/>
      </w:pPr>
      <w:r>
        <w:rPr>
          <w:sz w:val="22"/>
          <w:szCs w:val="22"/>
        </w:rPr>
        <w:t xml:space="preserve">As sanções de impedimento de licitar e contratar e declaração de inidoneidade para licitar ou contratar são passíveis de reabilitação na forma do </w:t>
      </w:r>
      <w:r>
        <w:fldChar w:fldCharType="begin"/>
      </w:r>
      <w:r>
        <w:rPr>
          <w:rStyle w:val="54"/>
          <w:sz w:val="22"/>
          <w:szCs w:val="22"/>
        </w:rPr>
        <w:instrText xml:space="preserve"> HYPERLINK "http://www.planalto.gov.br/ccivil_03/_ato2019-2022/2021/lei/L14133.htm" \l "art163"</w:instrText>
      </w:r>
      <w:r>
        <w:rPr>
          <w:rStyle w:val="54"/>
          <w:sz w:val="22"/>
          <w:szCs w:val="22"/>
        </w:rPr>
        <w:fldChar w:fldCharType="separate"/>
      </w:r>
      <w:r>
        <w:rPr>
          <w:rStyle w:val="54"/>
          <w:sz w:val="22"/>
          <w:szCs w:val="22"/>
        </w:rPr>
        <w:t>art. 163 da Lei Federal nº 14.133, de 2021.</w:t>
      </w:r>
      <w:r>
        <w:rPr>
          <w:rStyle w:val="54"/>
          <w:sz w:val="22"/>
          <w:szCs w:val="22"/>
        </w:rPr>
        <w:fldChar w:fldCharType="end"/>
      </w:r>
    </w:p>
    <w:p>
      <w:pPr>
        <w:pStyle w:val="28"/>
        <w:numPr>
          <w:ilvl w:val="1"/>
          <w:numId w:val="13"/>
        </w:numPr>
        <w:tabs>
          <w:tab w:val="left" w:pos="993"/>
        </w:tabs>
        <w:spacing w:before="0" w:beforeAutospacing="0" w:after="0" w:afterAutospacing="0"/>
        <w:ind w:left="0" w:firstLine="567"/>
        <w:jc w:val="both"/>
      </w:pPr>
      <w:r>
        <w:rPr>
          <w:sz w:val="22"/>
          <w:szCs w:val="22"/>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na forma da </w:t>
      </w:r>
      <w:r>
        <w:fldChar w:fldCharType="begin"/>
      </w:r>
      <w:r>
        <w:instrText xml:space="preserve"> HYPERLINK "https://www.gov.br/compras/pt-br/acesso-a-informacao/legislacao/instrucoes-normativas/instrucao-normativa-seges-me-no-26-de-13-de-abril-de-2022" \h </w:instrText>
      </w:r>
      <w:r>
        <w:fldChar w:fldCharType="separate"/>
      </w:r>
      <w:r>
        <w:rPr>
          <w:rStyle w:val="54"/>
          <w:sz w:val="22"/>
          <w:szCs w:val="22"/>
        </w:rPr>
        <w:t>Instrução Normativa SEGES/ME nº 26, de 13 de abril de 2022</w:t>
      </w:r>
      <w:r>
        <w:rPr>
          <w:rStyle w:val="54"/>
          <w:sz w:val="22"/>
          <w:szCs w:val="22"/>
        </w:rPr>
        <w:fldChar w:fldCharType="end"/>
      </w:r>
      <w:r>
        <w:rPr>
          <w:sz w:val="22"/>
          <w:szCs w:val="22"/>
        </w:rPr>
        <w:t xml:space="preserve">. </w:t>
      </w:r>
    </w:p>
    <w:p>
      <w:pPr>
        <w:pStyle w:val="28"/>
        <w:numPr>
          <w:ilvl w:val="0"/>
          <w:numId w:val="13"/>
        </w:numPr>
        <w:pBdr>
          <w:bottom w:val="single" w:color="000000" w:themeColor="dark1" w:sz="4" w:space="1"/>
        </w:pBdr>
        <w:shd w:val="clear" w:color="auto" w:fill="BEBEBE" w:themeFill="background1" w:themeFillShade="BF"/>
        <w:spacing w:before="0" w:beforeAutospacing="0" w:after="0" w:afterAutospacing="0"/>
        <w:jc w:val="both"/>
      </w:pPr>
      <w:r>
        <w:rPr>
          <w:rStyle w:val="12"/>
          <w:color w:val="000000"/>
          <w:sz w:val="22"/>
          <w:szCs w:val="22"/>
        </w:rPr>
        <w:t xml:space="preserve">ALTERAÇÕES </w:t>
      </w:r>
      <w:r>
        <w:rPr>
          <w:rStyle w:val="12"/>
          <w:b w:val="0"/>
          <w:bCs w:val="0"/>
          <w:color w:val="000000"/>
          <w:sz w:val="22"/>
          <w:szCs w:val="22"/>
        </w:rPr>
        <w:t>(</w:t>
      </w:r>
      <w:r>
        <w:fldChar w:fldCharType="begin"/>
      </w:r>
      <w:r>
        <w:rPr>
          <w:rStyle w:val="54"/>
          <w:sz w:val="22"/>
          <w:szCs w:val="22"/>
        </w:rPr>
        <w:instrText xml:space="preserve"> HYPERLINK "http://www.planalto.gov.br/ccivil_03/_ato2019-2022/2021/lei/L14133.htm" \l "art124"</w:instrText>
      </w:r>
      <w:r>
        <w:rPr>
          <w:rStyle w:val="54"/>
          <w:sz w:val="22"/>
          <w:szCs w:val="22"/>
        </w:rPr>
        <w:fldChar w:fldCharType="separate"/>
      </w:r>
      <w:r>
        <w:rPr>
          <w:rStyle w:val="54"/>
          <w:sz w:val="22"/>
          <w:szCs w:val="22"/>
        </w:rPr>
        <w:t>arts. 124 a 136 da Lei Federal nº 14.133, de 2021</w:t>
      </w:r>
      <w:r>
        <w:rPr>
          <w:rStyle w:val="54"/>
          <w:sz w:val="22"/>
          <w:szCs w:val="22"/>
        </w:rPr>
        <w:fldChar w:fldCharType="end"/>
      </w:r>
      <w:r>
        <w:rPr>
          <w:rStyle w:val="12"/>
          <w:b w:val="0"/>
          <w:bCs w:val="0"/>
          <w:color w:val="000000"/>
          <w:sz w:val="22"/>
          <w:szCs w:val="22"/>
        </w:rPr>
        <w:t>)</w:t>
      </w:r>
    </w:p>
    <w:p>
      <w:pPr>
        <w:pStyle w:val="28"/>
        <w:numPr>
          <w:ilvl w:val="1"/>
          <w:numId w:val="13"/>
        </w:numPr>
        <w:tabs>
          <w:tab w:val="left" w:pos="993"/>
        </w:tabs>
        <w:spacing w:before="0" w:beforeAutospacing="0" w:after="0" w:afterAutospacing="0"/>
        <w:ind w:left="0" w:firstLine="567"/>
        <w:jc w:val="both"/>
      </w:pPr>
      <w:r>
        <w:rPr>
          <w:sz w:val="22"/>
          <w:szCs w:val="22"/>
        </w:rPr>
        <w:t xml:space="preserve">Eventuais alterações contratuais reger-se-ão pela disciplina dos </w:t>
      </w:r>
      <w:r>
        <w:fldChar w:fldCharType="begin"/>
      </w:r>
      <w:r>
        <w:rPr>
          <w:rStyle w:val="54"/>
          <w:sz w:val="22"/>
          <w:szCs w:val="22"/>
        </w:rPr>
        <w:instrText xml:space="preserve"> HYPERLINK "http://www.planalto.gov.br/ccivil_03/_ato2019-2022/2021/lei/L14133.htm" \l "art124"</w:instrText>
      </w:r>
      <w:r>
        <w:rPr>
          <w:rStyle w:val="54"/>
          <w:sz w:val="22"/>
          <w:szCs w:val="22"/>
        </w:rPr>
        <w:fldChar w:fldCharType="separate"/>
      </w:r>
      <w:r>
        <w:rPr>
          <w:rStyle w:val="54"/>
          <w:sz w:val="22"/>
          <w:szCs w:val="22"/>
        </w:rPr>
        <w:t>arts. 124 a 136 da Lei Federal nº 14.133, de 2021</w:t>
      </w:r>
      <w:r>
        <w:rPr>
          <w:rStyle w:val="54"/>
          <w:sz w:val="22"/>
          <w:szCs w:val="22"/>
        </w:rPr>
        <w:fldChar w:fldCharType="end"/>
      </w:r>
      <w:r>
        <w:rPr>
          <w:sz w:val="22"/>
          <w:szCs w:val="22"/>
        </w:rPr>
        <w:t>.</w:t>
      </w:r>
    </w:p>
    <w:p>
      <w:pPr>
        <w:pStyle w:val="28"/>
        <w:numPr>
          <w:ilvl w:val="1"/>
          <w:numId w:val="13"/>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é obrigada a aceitar, nas mesmas condições contratuais, os acréscimos ou supressões que se fizerem necessários, até o limite de 25% (vinte e cinco por cento) do valor inicial atualizado do contrato.</w:t>
      </w:r>
    </w:p>
    <w:p>
      <w:pPr>
        <w:pStyle w:val="28"/>
        <w:numPr>
          <w:ilvl w:val="1"/>
          <w:numId w:val="13"/>
        </w:numPr>
        <w:tabs>
          <w:tab w:val="left" w:pos="993"/>
        </w:tabs>
        <w:spacing w:before="0" w:beforeAutospacing="0" w:after="0" w:afterAutospacing="0"/>
        <w:ind w:left="0" w:firstLine="567"/>
        <w:jc w:val="both"/>
      </w:pPr>
      <w:r>
        <w:rPr>
          <w:sz w:val="22"/>
          <w:szCs w:val="22"/>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w:t>
      </w:r>
      <w:r>
        <w:fldChar w:fldCharType="begin"/>
      </w:r>
      <w:r>
        <w:rPr>
          <w:rStyle w:val="54"/>
          <w:sz w:val="22"/>
          <w:szCs w:val="22"/>
        </w:rPr>
        <w:instrText xml:space="preserve"> HYPERLINK "http://www.planalto.gov.br/ccivil_03/_ato2019-2022/2021/lei/L14133.htm" \l "art132"</w:instrText>
      </w:r>
      <w:r>
        <w:rPr>
          <w:rStyle w:val="54"/>
          <w:sz w:val="22"/>
          <w:szCs w:val="22"/>
        </w:rPr>
        <w:fldChar w:fldCharType="separate"/>
      </w:r>
      <w:r>
        <w:rPr>
          <w:rStyle w:val="54"/>
          <w:sz w:val="22"/>
          <w:szCs w:val="22"/>
        </w:rPr>
        <w:t>art. 132 da Lei Federal nº 14.133, de 2021</w:t>
      </w:r>
      <w:r>
        <w:rPr>
          <w:rStyle w:val="54"/>
          <w:sz w:val="22"/>
          <w:szCs w:val="22"/>
        </w:rPr>
        <w:fldChar w:fldCharType="end"/>
      </w:r>
      <w:r>
        <w:rPr>
          <w:sz w:val="22"/>
          <w:szCs w:val="22"/>
        </w:rPr>
        <w:t>).</w:t>
      </w:r>
    </w:p>
    <w:p>
      <w:pPr>
        <w:pStyle w:val="28"/>
        <w:numPr>
          <w:ilvl w:val="1"/>
          <w:numId w:val="13"/>
        </w:numPr>
        <w:tabs>
          <w:tab w:val="left" w:pos="993"/>
        </w:tabs>
        <w:spacing w:before="0" w:beforeAutospacing="0" w:after="0" w:afterAutospacing="0"/>
        <w:ind w:left="0" w:firstLine="567"/>
        <w:jc w:val="both"/>
      </w:pPr>
      <w:r>
        <w:rPr>
          <w:sz w:val="22"/>
          <w:szCs w:val="22"/>
        </w:rPr>
        <w:t xml:space="preserve">Registros que não caracterizam alteração do contrato podem ser realizados por simples apostila, dispensada a celebração de termo aditivo, na forma do </w:t>
      </w:r>
      <w:r>
        <w:fldChar w:fldCharType="begin"/>
      </w:r>
      <w:r>
        <w:rPr>
          <w:rStyle w:val="54"/>
          <w:sz w:val="22"/>
          <w:szCs w:val="22"/>
        </w:rPr>
        <w:instrText xml:space="preserve"> HYPERLINK "http://www.planalto.gov.br/ccivil_03/_ato2019-2022/2021/lei/L14133.htm" \l "art136"</w:instrText>
      </w:r>
      <w:r>
        <w:rPr>
          <w:rStyle w:val="54"/>
          <w:sz w:val="22"/>
          <w:szCs w:val="22"/>
        </w:rPr>
        <w:fldChar w:fldCharType="separate"/>
      </w:r>
      <w:r>
        <w:rPr>
          <w:rStyle w:val="54"/>
          <w:sz w:val="22"/>
          <w:szCs w:val="22"/>
        </w:rPr>
        <w:t>art. 136 da Lei Federal nº 14.133, de 2021</w:t>
      </w:r>
      <w:r>
        <w:rPr>
          <w:rStyle w:val="54"/>
          <w:sz w:val="22"/>
          <w:szCs w:val="22"/>
        </w:rPr>
        <w:fldChar w:fldCharType="end"/>
      </w:r>
      <w:r>
        <w:rPr>
          <w:sz w:val="22"/>
          <w:szCs w:val="22"/>
        </w:rPr>
        <w:t>.</w:t>
      </w:r>
    </w:p>
    <w:p>
      <w:pPr>
        <w:pStyle w:val="28"/>
        <w:numPr>
          <w:ilvl w:val="0"/>
          <w:numId w:val="13"/>
        </w:numPr>
        <w:pBdr>
          <w:bottom w:val="single" w:color="000000" w:themeColor="dark1" w:sz="4" w:space="1"/>
        </w:pBdr>
        <w:shd w:val="clear" w:color="auto" w:fill="BEBEBE" w:themeFill="background1" w:themeFillShade="BF"/>
        <w:spacing w:before="0" w:beforeAutospacing="0" w:after="0" w:afterAutospacing="0"/>
        <w:jc w:val="both"/>
      </w:pPr>
      <w:r>
        <w:rPr>
          <w:rStyle w:val="12"/>
          <w:color w:val="000000"/>
          <w:sz w:val="22"/>
          <w:szCs w:val="22"/>
        </w:rPr>
        <w:t>DA EXTINÇÃO CONTRATUAL</w:t>
      </w:r>
      <w:r>
        <w:rPr>
          <w:sz w:val="22"/>
          <w:szCs w:val="22"/>
        </w:rPr>
        <w:t xml:space="preserve"> (</w:t>
      </w:r>
      <w:r>
        <w:fldChar w:fldCharType="begin"/>
      </w:r>
      <w:r>
        <w:rPr>
          <w:rStyle w:val="54"/>
          <w:sz w:val="22"/>
          <w:szCs w:val="22"/>
        </w:rPr>
        <w:instrText xml:space="preserve"> HYPERLINK "http://www.planalto.gov.br/ccivil_03/_ato2019-2022/2021/lei/L14133.htm" \l "art92"</w:instrText>
      </w:r>
      <w:r>
        <w:rPr>
          <w:rStyle w:val="54"/>
          <w:sz w:val="22"/>
          <w:szCs w:val="22"/>
        </w:rPr>
        <w:fldChar w:fldCharType="separate"/>
      </w:r>
      <w:r>
        <w:rPr>
          <w:rStyle w:val="54"/>
          <w:sz w:val="22"/>
          <w:szCs w:val="22"/>
        </w:rPr>
        <w:t>art. 92, XIX</w:t>
      </w:r>
      <w:r>
        <w:rPr>
          <w:rStyle w:val="54"/>
          <w:sz w:val="22"/>
          <w:szCs w:val="22"/>
        </w:rPr>
        <w:fldChar w:fldCharType="end"/>
      </w:r>
      <w:r>
        <w:rPr>
          <w:rStyle w:val="54"/>
          <w:sz w:val="22"/>
          <w:szCs w:val="22"/>
        </w:rPr>
        <w:t>, da Lei Federal nº 14.133, de 2021</w:t>
      </w:r>
      <w:r>
        <w:rPr>
          <w:sz w:val="22"/>
          <w:szCs w:val="22"/>
        </w:rPr>
        <w:t>)</w:t>
      </w:r>
    </w:p>
    <w:p>
      <w:pPr>
        <w:pStyle w:val="28"/>
        <w:numPr>
          <w:ilvl w:val="1"/>
          <w:numId w:val="13"/>
        </w:numPr>
        <w:tabs>
          <w:tab w:val="left" w:pos="993"/>
        </w:tabs>
        <w:spacing w:before="0" w:beforeAutospacing="0" w:after="0" w:afterAutospacing="0"/>
        <w:ind w:left="0" w:firstLine="567"/>
        <w:jc w:val="both"/>
        <w:rPr>
          <w:rFonts w:ascii="Times New Roman" w:hAnsi="Times New Roman"/>
          <w:sz w:val="22"/>
          <w:szCs w:val="22"/>
        </w:rPr>
      </w:pPr>
      <w:r>
        <w:rPr>
          <w:sz w:val="22"/>
          <w:szCs w:val="22"/>
        </w:rPr>
        <w:t>O contrato será extinto quando cumpridas as obrigações de ambas as partes, ainda que isso ocorra antes do prazo estipulado para tanto.</w:t>
      </w:r>
    </w:p>
    <w:p>
      <w:pPr>
        <w:pStyle w:val="28"/>
        <w:numPr>
          <w:ilvl w:val="1"/>
          <w:numId w:val="13"/>
        </w:numPr>
        <w:tabs>
          <w:tab w:val="left" w:pos="993"/>
        </w:tabs>
        <w:spacing w:before="0" w:beforeAutospacing="0" w:after="0" w:afterAutospacing="0"/>
        <w:ind w:left="0" w:firstLine="567"/>
        <w:jc w:val="both"/>
      </w:pPr>
      <w:r>
        <w:rPr>
          <w:sz w:val="22"/>
          <w:szCs w:val="22"/>
        </w:rPr>
        <w:t>Se as obrigações não forem cumpridas no prazo estipulado, a vigência ficará prorrogada automaticamente até a conclusão do objeto, caso em que deverá a Administração providenciar a readequação do cronograma fixado para o contrato. (</w:t>
      </w:r>
      <w:r>
        <w:fldChar w:fldCharType="begin"/>
      </w:r>
      <w:r>
        <w:rPr>
          <w:rStyle w:val="54"/>
          <w:sz w:val="22"/>
          <w:szCs w:val="22"/>
        </w:rPr>
        <w:instrText xml:space="preserve"> HYPERLINK "http://www.planalto.gov.br/ccivil_03/_ato2019-2022/2021/lei/L14133.htm" \l "art163"</w:instrText>
      </w:r>
      <w:r>
        <w:rPr>
          <w:rStyle w:val="54"/>
          <w:sz w:val="22"/>
          <w:szCs w:val="22"/>
        </w:rPr>
        <w:fldChar w:fldCharType="separate"/>
      </w:r>
      <w:r>
        <w:rPr>
          <w:rStyle w:val="54"/>
          <w:sz w:val="22"/>
          <w:szCs w:val="22"/>
        </w:rPr>
        <w:t>art. 111 da Lei Federal nº 14.133, de 2021</w:t>
      </w:r>
      <w:r>
        <w:rPr>
          <w:rStyle w:val="54"/>
          <w:sz w:val="22"/>
          <w:szCs w:val="22"/>
        </w:rPr>
        <w:fldChar w:fldCharType="end"/>
      </w:r>
      <w:r>
        <w:rPr>
          <w:sz w:val="22"/>
          <w:szCs w:val="22"/>
        </w:rPr>
        <w:t>)</w:t>
      </w:r>
    </w:p>
    <w:p>
      <w:pPr>
        <w:pStyle w:val="28"/>
        <w:numPr>
          <w:ilvl w:val="1"/>
          <w:numId w:val="13"/>
        </w:numPr>
        <w:tabs>
          <w:tab w:val="left" w:pos="993"/>
        </w:tabs>
        <w:spacing w:before="0" w:beforeAutospacing="0" w:after="0" w:afterAutospacing="0"/>
        <w:ind w:left="0" w:firstLine="567"/>
        <w:jc w:val="both"/>
        <w:rPr>
          <w:rFonts w:ascii="Times New Roman" w:hAnsi="Times New Roman"/>
          <w:sz w:val="22"/>
          <w:szCs w:val="22"/>
        </w:rPr>
      </w:pPr>
      <w:r>
        <w:rPr>
          <w:sz w:val="22"/>
          <w:szCs w:val="22"/>
        </w:rPr>
        <w:t>Quando a não conclusão do contrato referida no item anterior decorrer de culpa da Contratada:</w:t>
      </w:r>
    </w:p>
    <w:p>
      <w:pPr>
        <w:pStyle w:val="28"/>
        <w:numPr>
          <w:ilvl w:val="2"/>
          <w:numId w:val="13"/>
        </w:numPr>
        <w:tabs>
          <w:tab w:val="left" w:pos="993"/>
        </w:tabs>
        <w:spacing w:before="0" w:beforeAutospacing="0" w:after="0" w:afterAutospacing="0"/>
        <w:jc w:val="both"/>
        <w:rPr>
          <w:rFonts w:ascii="Times New Roman" w:hAnsi="Times New Roman"/>
          <w:sz w:val="22"/>
          <w:szCs w:val="22"/>
        </w:rPr>
      </w:pPr>
      <w:r>
        <w:rPr>
          <w:sz w:val="22"/>
          <w:szCs w:val="22"/>
        </w:rPr>
        <w:t>ficará ele constituído em mora, sendo-lhe aplicáveis as respectivas sanções administrativas; e</w:t>
      </w:r>
    </w:p>
    <w:p>
      <w:pPr>
        <w:pStyle w:val="28"/>
        <w:numPr>
          <w:ilvl w:val="2"/>
          <w:numId w:val="13"/>
        </w:numPr>
        <w:tabs>
          <w:tab w:val="left" w:pos="993"/>
        </w:tabs>
        <w:spacing w:before="0" w:beforeAutospacing="0" w:after="0" w:afterAutospacing="0"/>
        <w:jc w:val="both"/>
        <w:rPr>
          <w:rFonts w:ascii="Times New Roman" w:hAnsi="Times New Roman"/>
          <w:sz w:val="22"/>
          <w:szCs w:val="22"/>
        </w:rPr>
      </w:pPr>
      <w:r>
        <w:rPr>
          <w:sz w:val="22"/>
          <w:szCs w:val="22"/>
        </w:rPr>
        <w:t>poderá a Administração optar pela extinção do contrato e, nesse caso, adotará as medidas admitidas em lei para a continuidade da execução contratual.</w:t>
      </w:r>
    </w:p>
    <w:p>
      <w:pPr>
        <w:pStyle w:val="28"/>
        <w:numPr>
          <w:ilvl w:val="1"/>
          <w:numId w:val="13"/>
        </w:numPr>
        <w:tabs>
          <w:tab w:val="left" w:pos="993"/>
        </w:tabs>
        <w:spacing w:before="0" w:beforeAutospacing="0" w:after="0" w:afterAutospacing="0"/>
        <w:ind w:left="0" w:firstLine="567"/>
        <w:jc w:val="both"/>
      </w:pPr>
      <w:r>
        <w:rPr>
          <w:sz w:val="22"/>
          <w:szCs w:val="22"/>
        </w:rPr>
        <w:t xml:space="preserve">O contrato poderá ser extinto antes de cumpridas as obrigações nele estipuladas, ou antes do prazo nele fixado, por algum dos motivos previstos no </w:t>
      </w:r>
      <w:r>
        <w:fldChar w:fldCharType="begin"/>
      </w:r>
      <w:r>
        <w:rPr>
          <w:rStyle w:val="54"/>
          <w:sz w:val="22"/>
          <w:szCs w:val="22"/>
        </w:rPr>
        <w:instrText xml:space="preserve"> HYPERLINK "http://www.planalto.gov.br/ccivil_03/_ato2019-2022/2021/lei/L14133.htm" \l "art137"</w:instrText>
      </w:r>
      <w:r>
        <w:rPr>
          <w:rStyle w:val="54"/>
          <w:sz w:val="22"/>
          <w:szCs w:val="22"/>
        </w:rPr>
        <w:fldChar w:fldCharType="separate"/>
      </w:r>
      <w:r>
        <w:rPr>
          <w:rStyle w:val="54"/>
          <w:sz w:val="22"/>
          <w:szCs w:val="22"/>
        </w:rPr>
        <w:t>artigo 137 da Lei Federal nº 14.133/21</w:t>
      </w:r>
      <w:r>
        <w:rPr>
          <w:rStyle w:val="54"/>
          <w:sz w:val="22"/>
          <w:szCs w:val="22"/>
        </w:rPr>
        <w:fldChar w:fldCharType="end"/>
      </w:r>
      <w:r>
        <w:rPr>
          <w:sz w:val="22"/>
          <w:szCs w:val="22"/>
        </w:rPr>
        <w:t xml:space="preserve">, bem como amigavelmente, </w:t>
      </w:r>
      <w:r>
        <w:rPr>
          <w:color w:val="000000" w:themeColor="text1"/>
          <w:sz w:val="22"/>
          <w:szCs w:val="22"/>
        </w:rPr>
        <w:t xml:space="preserve">assegurados o contraditório e a ampla defesa, </w:t>
      </w:r>
      <w:r>
        <w:rPr>
          <w:sz w:val="22"/>
          <w:szCs w:val="22"/>
        </w:rPr>
        <w:t xml:space="preserve">aplicando-se também os </w:t>
      </w:r>
      <w:r>
        <w:fldChar w:fldCharType="begin"/>
      </w:r>
      <w:r>
        <w:rPr>
          <w:rStyle w:val="54"/>
          <w:sz w:val="22"/>
          <w:szCs w:val="22"/>
        </w:rPr>
        <w:instrText xml:space="preserve"> HYPERLINK "http://www.planalto.gov.br/ccivil_03/_ato2019-2022/2021/lei/L14133.htm" \l "art138"</w:instrText>
      </w:r>
      <w:r>
        <w:rPr>
          <w:rStyle w:val="54"/>
          <w:sz w:val="22"/>
          <w:szCs w:val="22"/>
        </w:rPr>
        <w:fldChar w:fldCharType="separate"/>
      </w:r>
      <w:r>
        <w:rPr>
          <w:rStyle w:val="54"/>
          <w:sz w:val="22"/>
          <w:szCs w:val="22"/>
        </w:rPr>
        <w:t>artigos 138 e 139</w:t>
      </w:r>
      <w:r>
        <w:rPr>
          <w:rStyle w:val="54"/>
          <w:sz w:val="22"/>
          <w:szCs w:val="22"/>
        </w:rPr>
        <w:fldChar w:fldCharType="end"/>
      </w:r>
      <w:r>
        <w:rPr>
          <w:rStyle w:val="54"/>
          <w:sz w:val="22"/>
          <w:szCs w:val="22"/>
        </w:rPr>
        <w:t xml:space="preserve"> da Lei Federal nº 14.133, de 2021</w:t>
      </w:r>
      <w:r>
        <w:rPr>
          <w:sz w:val="22"/>
          <w:szCs w:val="22"/>
        </w:rPr>
        <w:t>.</w:t>
      </w:r>
    </w:p>
    <w:p>
      <w:pPr>
        <w:pStyle w:val="28"/>
        <w:numPr>
          <w:ilvl w:val="1"/>
          <w:numId w:val="13"/>
        </w:numPr>
        <w:tabs>
          <w:tab w:val="left" w:pos="993"/>
        </w:tabs>
        <w:spacing w:before="0" w:beforeAutospacing="0" w:after="0" w:afterAutospacing="0"/>
        <w:ind w:left="0" w:firstLine="567"/>
        <w:jc w:val="both"/>
      </w:pPr>
      <w:r>
        <w:rPr>
          <w:sz w:val="22"/>
          <w:szCs w:val="22"/>
        </w:rPr>
        <w:t>A alteração social ou a modificação da finalidade ou da estrutura da contratada não ensejará a extinção se não restringir sua capacidade de concluir o contrato. (</w:t>
      </w:r>
      <w:r>
        <w:fldChar w:fldCharType="begin"/>
      </w:r>
      <w:r>
        <w:rPr>
          <w:rStyle w:val="54"/>
          <w:sz w:val="22"/>
          <w:szCs w:val="22"/>
        </w:rPr>
        <w:instrText xml:space="preserve"> HYPERLINK "http://www.planalto.gov.br/ccivil_03/_ato2019-2022/2021/lei/L14133.htm" \l "art137"</w:instrText>
      </w:r>
      <w:r>
        <w:rPr>
          <w:rStyle w:val="54"/>
          <w:sz w:val="22"/>
          <w:szCs w:val="22"/>
        </w:rPr>
        <w:fldChar w:fldCharType="separate"/>
      </w:r>
      <w:r>
        <w:rPr>
          <w:rStyle w:val="54"/>
          <w:sz w:val="22"/>
          <w:szCs w:val="22"/>
        </w:rPr>
        <w:t>art. 137, III, da Lei Federal nº 14.133, de 2021</w:t>
      </w:r>
      <w:r>
        <w:rPr>
          <w:rStyle w:val="54"/>
          <w:sz w:val="22"/>
          <w:szCs w:val="22"/>
        </w:rPr>
        <w:fldChar w:fldCharType="end"/>
      </w:r>
      <w:r>
        <w:rPr>
          <w:sz w:val="22"/>
          <w:szCs w:val="22"/>
        </w:rPr>
        <w:t>)</w:t>
      </w:r>
    </w:p>
    <w:p>
      <w:pPr>
        <w:pStyle w:val="28"/>
        <w:numPr>
          <w:ilvl w:val="1"/>
          <w:numId w:val="13"/>
        </w:numPr>
        <w:tabs>
          <w:tab w:val="left" w:pos="993"/>
        </w:tabs>
        <w:spacing w:before="0" w:beforeAutospacing="0" w:after="0" w:afterAutospacing="0"/>
        <w:ind w:left="0" w:firstLine="567"/>
        <w:jc w:val="both"/>
        <w:rPr>
          <w:rFonts w:ascii="Times New Roman" w:hAnsi="Times New Roman"/>
          <w:sz w:val="22"/>
          <w:szCs w:val="22"/>
        </w:rPr>
      </w:pPr>
      <w:r>
        <w:rPr>
          <w:color w:val="000000" w:themeColor="text1"/>
          <w:sz w:val="22"/>
          <w:szCs w:val="22"/>
        </w:rPr>
        <w:t xml:space="preserve">Se a operação </w:t>
      </w:r>
      <w:r>
        <w:rPr>
          <w:sz w:val="22"/>
          <w:szCs w:val="22"/>
        </w:rPr>
        <w:t>implicar mudança da pessoa jurídica contratada, deverá ser formalizado termo aditivo para alteração subjetiva.</w:t>
      </w:r>
    </w:p>
    <w:p>
      <w:pPr>
        <w:pStyle w:val="28"/>
        <w:numPr>
          <w:ilvl w:val="1"/>
          <w:numId w:val="13"/>
        </w:numPr>
        <w:tabs>
          <w:tab w:val="left" w:pos="993"/>
        </w:tabs>
        <w:spacing w:before="0" w:beforeAutospacing="0" w:after="0" w:afterAutospacing="0"/>
        <w:ind w:left="0" w:firstLine="567"/>
        <w:jc w:val="both"/>
        <w:rPr>
          <w:rFonts w:ascii="Times New Roman" w:hAnsi="Times New Roman"/>
          <w:sz w:val="22"/>
          <w:szCs w:val="22"/>
        </w:rPr>
      </w:pPr>
      <w:r>
        <w:rPr>
          <w:sz w:val="22"/>
          <w:szCs w:val="22"/>
        </w:rPr>
        <w:t>O termo de extinção, sempre que possível, será precedido:</w:t>
      </w:r>
    </w:p>
    <w:p>
      <w:pPr>
        <w:pStyle w:val="28"/>
        <w:numPr>
          <w:ilvl w:val="2"/>
          <w:numId w:val="13"/>
        </w:numPr>
        <w:tabs>
          <w:tab w:val="left" w:pos="993"/>
        </w:tabs>
        <w:spacing w:before="0" w:beforeAutospacing="0" w:after="0" w:afterAutospacing="0"/>
        <w:jc w:val="both"/>
        <w:rPr>
          <w:rFonts w:ascii="Times New Roman" w:hAnsi="Times New Roman"/>
          <w:sz w:val="22"/>
          <w:szCs w:val="22"/>
        </w:rPr>
      </w:pPr>
      <w:r>
        <w:rPr>
          <w:sz w:val="22"/>
          <w:szCs w:val="22"/>
        </w:rPr>
        <w:t>Balanço dos eventos contratuais já cumpridos ou parcialmente cumpridos;</w:t>
      </w:r>
    </w:p>
    <w:p>
      <w:pPr>
        <w:pStyle w:val="28"/>
        <w:numPr>
          <w:ilvl w:val="2"/>
          <w:numId w:val="13"/>
        </w:numPr>
        <w:tabs>
          <w:tab w:val="left" w:pos="993"/>
        </w:tabs>
        <w:spacing w:before="0" w:beforeAutospacing="0" w:after="0" w:afterAutospacing="0"/>
        <w:jc w:val="both"/>
        <w:rPr>
          <w:rFonts w:ascii="Times New Roman" w:hAnsi="Times New Roman"/>
          <w:sz w:val="22"/>
          <w:szCs w:val="22"/>
        </w:rPr>
      </w:pPr>
      <w:r>
        <w:rPr>
          <w:sz w:val="22"/>
          <w:szCs w:val="22"/>
        </w:rPr>
        <w:t>Relação dos pagamentos já efetuados e ainda devidos;</w:t>
      </w:r>
    </w:p>
    <w:p>
      <w:pPr>
        <w:pStyle w:val="28"/>
        <w:numPr>
          <w:ilvl w:val="2"/>
          <w:numId w:val="13"/>
        </w:numPr>
        <w:tabs>
          <w:tab w:val="left" w:pos="993"/>
        </w:tabs>
        <w:spacing w:before="0" w:beforeAutospacing="0" w:after="0" w:afterAutospacing="0"/>
        <w:jc w:val="both"/>
        <w:rPr>
          <w:rFonts w:ascii="Times New Roman" w:hAnsi="Times New Roman"/>
          <w:sz w:val="22"/>
          <w:szCs w:val="22"/>
        </w:rPr>
      </w:pPr>
      <w:r>
        <w:rPr>
          <w:sz w:val="22"/>
          <w:szCs w:val="22"/>
        </w:rPr>
        <w:t>Indenizações e multas.</w:t>
      </w:r>
    </w:p>
    <w:p>
      <w:pPr>
        <w:pStyle w:val="28"/>
        <w:numPr>
          <w:ilvl w:val="1"/>
          <w:numId w:val="13"/>
        </w:numPr>
        <w:tabs>
          <w:tab w:val="left" w:pos="993"/>
        </w:tabs>
        <w:spacing w:before="0" w:beforeAutospacing="0" w:after="0" w:afterAutospacing="0"/>
        <w:ind w:left="0" w:firstLine="567"/>
        <w:jc w:val="both"/>
      </w:pPr>
      <w:r>
        <w:rPr>
          <w:sz w:val="22"/>
          <w:szCs w:val="22"/>
        </w:rPr>
        <w:t>A extinção do contrato não configura óbice para o reconhecimento do desequilíbrio econômico-financeiro, hipótese em que será concedida indenização por meio de termo indenizatório (</w:t>
      </w:r>
      <w:r>
        <w:fldChar w:fldCharType="begin"/>
      </w:r>
      <w:r>
        <w:rPr>
          <w:rStyle w:val="54"/>
          <w:sz w:val="22"/>
          <w:szCs w:val="22"/>
        </w:rPr>
        <w:instrText xml:space="preserve"> HYPERLINK "http://www.planalto.gov.br/ccivil_03/_ato2019-2022/2021/lei/L14133.htm" \l "art131"</w:instrText>
      </w:r>
      <w:r>
        <w:rPr>
          <w:rStyle w:val="54"/>
          <w:sz w:val="22"/>
          <w:szCs w:val="22"/>
        </w:rPr>
        <w:fldChar w:fldCharType="separate"/>
      </w:r>
      <w:r>
        <w:rPr>
          <w:rStyle w:val="54"/>
          <w:sz w:val="22"/>
          <w:szCs w:val="22"/>
        </w:rPr>
        <w:t xml:space="preserve">art. 131, </w:t>
      </w:r>
      <w:r>
        <w:rPr>
          <w:rStyle w:val="54"/>
          <w:sz w:val="22"/>
          <w:szCs w:val="22"/>
        </w:rPr>
        <w:fldChar w:fldCharType="end"/>
      </w:r>
      <w:r>
        <w:rPr>
          <w:rStyle w:val="54"/>
          <w:i/>
          <w:iCs/>
          <w:sz w:val="22"/>
          <w:szCs w:val="22"/>
        </w:rPr>
        <w:t xml:space="preserve">caput, </w:t>
      </w:r>
      <w:r>
        <w:rPr>
          <w:rStyle w:val="54"/>
          <w:sz w:val="22"/>
          <w:szCs w:val="22"/>
        </w:rPr>
        <w:t>da Lei Federal nº 14.133, de 2021).</w:t>
      </w:r>
      <w:r>
        <w:rPr>
          <w:sz w:val="22"/>
          <w:szCs w:val="22"/>
        </w:rPr>
        <w:t xml:space="preserve"> </w:t>
      </w:r>
    </w:p>
    <w:p>
      <w:pPr>
        <w:pStyle w:val="28"/>
        <w:numPr>
          <w:ilvl w:val="1"/>
          <w:numId w:val="13"/>
        </w:numPr>
        <w:tabs>
          <w:tab w:val="left" w:pos="993"/>
        </w:tabs>
        <w:spacing w:before="0" w:beforeAutospacing="0" w:after="0" w:afterAutospacing="0"/>
        <w:ind w:left="0" w:firstLine="567"/>
        <w:jc w:val="both"/>
      </w:pPr>
      <w:r>
        <w:rPr>
          <w:sz w:val="22"/>
          <w:szCs w:val="22"/>
        </w:rPr>
        <w:t>O contrato poderá ser extinto caso se constate que a Contratada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w:t>
      </w:r>
      <w:r>
        <w:fldChar w:fldCharType="begin"/>
      </w:r>
      <w:r>
        <w:rPr>
          <w:rStyle w:val="54"/>
          <w:sz w:val="22"/>
          <w:szCs w:val="22"/>
        </w:rPr>
        <w:instrText xml:space="preserve"> HYPERLINK "http://www.planalto.gov.br/ccivil_03/_ato2019-2022/2021/lei/L14133.htm" \l "art14"</w:instrText>
      </w:r>
      <w:r>
        <w:rPr>
          <w:rStyle w:val="54"/>
          <w:sz w:val="22"/>
          <w:szCs w:val="22"/>
        </w:rPr>
        <w:fldChar w:fldCharType="separate"/>
      </w:r>
      <w:r>
        <w:rPr>
          <w:rStyle w:val="54"/>
          <w:sz w:val="22"/>
          <w:szCs w:val="22"/>
        </w:rPr>
        <w:t>art. 14, inciso IV, da Lei Federal nº 14.133, de 2021</w:t>
      </w:r>
      <w:r>
        <w:rPr>
          <w:rStyle w:val="54"/>
          <w:sz w:val="22"/>
          <w:szCs w:val="22"/>
        </w:rPr>
        <w:fldChar w:fldCharType="end"/>
      </w:r>
      <w:r>
        <w:rPr>
          <w:sz w:val="22"/>
          <w:szCs w:val="22"/>
        </w:rPr>
        <w:t>).</w:t>
      </w:r>
    </w:p>
    <w:p>
      <w:pPr>
        <w:pStyle w:val="28"/>
        <w:numPr>
          <w:ilvl w:val="0"/>
          <w:numId w:val="0"/>
        </w:numPr>
        <w:tabs>
          <w:tab w:val="left" w:pos="993"/>
        </w:tabs>
        <w:spacing w:before="0" w:beforeAutospacing="0" w:after="0" w:afterAutospacing="0"/>
        <w:ind w:left="0" w:firstLine="0"/>
        <w:jc w:val="both"/>
        <w:rPr>
          <w:rFonts w:ascii="Times New Roman" w:hAnsi="Times New Roman"/>
          <w:sz w:val="22"/>
          <w:szCs w:val="22"/>
        </w:rPr>
      </w:pPr>
    </w:p>
    <w:p>
      <w:pPr>
        <w:pStyle w:val="28"/>
        <w:numPr>
          <w:ilvl w:val="0"/>
          <w:numId w:val="13"/>
        </w:numPr>
        <w:pBdr>
          <w:bottom w:val="single" w:color="000000" w:themeColor="dark1" w:sz="4" w:space="1"/>
        </w:pBdr>
        <w:shd w:val="clear" w:color="auto" w:fill="BEBEBE" w:themeFill="background1" w:themeFillShade="BF"/>
        <w:spacing w:before="0" w:beforeAutospacing="0" w:after="0" w:afterAutospacing="0"/>
        <w:jc w:val="both"/>
      </w:pPr>
      <w:r>
        <w:rPr>
          <w:rStyle w:val="12"/>
          <w:color w:val="000000"/>
          <w:sz w:val="22"/>
          <w:szCs w:val="22"/>
        </w:rPr>
        <w:t>DOS CASOS OMISSOS</w:t>
      </w:r>
      <w:r>
        <w:rPr>
          <w:sz w:val="22"/>
          <w:szCs w:val="22"/>
        </w:rPr>
        <w:t xml:space="preserve"> (</w:t>
      </w:r>
      <w:r>
        <w:fldChar w:fldCharType="begin"/>
      </w:r>
      <w:r>
        <w:rPr>
          <w:rStyle w:val="54"/>
          <w:sz w:val="22"/>
          <w:szCs w:val="22"/>
        </w:rPr>
        <w:instrText xml:space="preserve"> HYPERLINK "http://www.planalto.gov.br/ccivil_03/_ato2019-2022/2021/lei/L14133.htm" \l "art92"</w:instrText>
      </w:r>
      <w:r>
        <w:rPr>
          <w:rStyle w:val="54"/>
          <w:sz w:val="22"/>
          <w:szCs w:val="22"/>
        </w:rPr>
        <w:fldChar w:fldCharType="separate"/>
      </w:r>
      <w:r>
        <w:rPr>
          <w:rStyle w:val="54"/>
          <w:sz w:val="22"/>
          <w:szCs w:val="22"/>
        </w:rPr>
        <w:t>art. 92, III</w:t>
      </w:r>
      <w:r>
        <w:rPr>
          <w:rStyle w:val="54"/>
          <w:sz w:val="22"/>
          <w:szCs w:val="22"/>
        </w:rPr>
        <w:fldChar w:fldCharType="end"/>
      </w:r>
      <w:r>
        <w:rPr>
          <w:rStyle w:val="54"/>
          <w:sz w:val="22"/>
          <w:szCs w:val="22"/>
        </w:rPr>
        <w:t>, da Lei Federal nº 14.133, de 2021</w:t>
      </w:r>
      <w:r>
        <w:rPr>
          <w:sz w:val="22"/>
          <w:szCs w:val="22"/>
        </w:rPr>
        <w:t>)</w:t>
      </w:r>
    </w:p>
    <w:p>
      <w:pPr>
        <w:pStyle w:val="28"/>
        <w:numPr>
          <w:ilvl w:val="1"/>
          <w:numId w:val="13"/>
        </w:numPr>
        <w:tabs>
          <w:tab w:val="left" w:pos="993"/>
        </w:tabs>
        <w:spacing w:before="0" w:beforeAutospacing="0" w:after="0" w:afterAutospacing="0"/>
        <w:ind w:left="0" w:firstLine="567"/>
        <w:jc w:val="both"/>
      </w:pPr>
      <w:r>
        <w:rPr>
          <w:sz w:val="22"/>
          <w:szCs w:val="22"/>
        </w:rPr>
        <w:t xml:space="preserve">Os casos omissos serão decididos pelo Contratante, segundo as disposições contidas na </w:t>
      </w:r>
      <w:r>
        <w:fldChar w:fldCharType="begin"/>
      </w:r>
      <w:r>
        <w:instrText xml:space="preserve"> HYPERLINK "http://www.planalto.gov.br/ccivil_03/_ato2019-2022/2021/lei/L14133.htm" \h </w:instrText>
      </w:r>
      <w:r>
        <w:fldChar w:fldCharType="separate"/>
      </w:r>
      <w:r>
        <w:rPr>
          <w:rStyle w:val="54"/>
          <w:sz w:val="22"/>
          <w:szCs w:val="22"/>
        </w:rPr>
        <w:t>Lei Federal nº 14.133, de 2021</w:t>
      </w:r>
      <w:r>
        <w:rPr>
          <w:rStyle w:val="54"/>
          <w:sz w:val="22"/>
          <w:szCs w:val="22"/>
        </w:rPr>
        <w:fldChar w:fldCharType="end"/>
      </w:r>
      <w:r>
        <w:rPr>
          <w:sz w:val="22"/>
          <w:szCs w:val="22"/>
        </w:rPr>
        <w:t xml:space="preserve">, e demais normas federais aplicáveis e, subsidiariamente, segundo as disposições contidas na </w:t>
      </w:r>
      <w:r>
        <w:fldChar w:fldCharType="begin"/>
      </w:r>
      <w:r>
        <w:instrText xml:space="preserve"> HYPERLINK "https://www.planalto.gov.br/ccivil_03/leis/l8078compilado.htm" \h </w:instrText>
      </w:r>
      <w:r>
        <w:fldChar w:fldCharType="separate"/>
      </w:r>
      <w:r>
        <w:rPr>
          <w:rStyle w:val="54"/>
          <w:sz w:val="22"/>
          <w:szCs w:val="22"/>
        </w:rPr>
        <w:t>Lei Federal nº 8.078, de 1990 - Código de Defesa do Consumidor</w:t>
      </w:r>
      <w:r>
        <w:rPr>
          <w:rStyle w:val="54"/>
          <w:sz w:val="22"/>
          <w:szCs w:val="22"/>
        </w:rPr>
        <w:fldChar w:fldCharType="end"/>
      </w:r>
      <w:r>
        <w:rPr>
          <w:sz w:val="22"/>
          <w:szCs w:val="22"/>
        </w:rPr>
        <w:t xml:space="preserve"> - e normas e princípios gerais dos contratos.</w:t>
      </w:r>
    </w:p>
    <w:p>
      <w:pPr>
        <w:pStyle w:val="28"/>
        <w:numPr>
          <w:ilvl w:val="0"/>
          <w:numId w:val="13"/>
        </w:numPr>
        <w:pBdr>
          <w:bottom w:val="single" w:color="000000" w:themeColor="dark1" w:sz="4" w:space="1"/>
        </w:pBdr>
        <w:shd w:val="clear" w:color="auto" w:fill="BEBEBE" w:themeFill="background1" w:themeFillShade="BF"/>
        <w:spacing w:before="0" w:beforeAutospacing="0" w:after="0" w:afterAutospacing="0"/>
        <w:jc w:val="both"/>
      </w:pPr>
      <w:r>
        <w:rPr>
          <w:rStyle w:val="12"/>
          <w:color w:val="000000"/>
          <w:sz w:val="22"/>
          <w:szCs w:val="22"/>
        </w:rPr>
        <w:t xml:space="preserve">PUBLICAÇÃO </w:t>
      </w:r>
      <w:r>
        <w:rPr>
          <w:rStyle w:val="12"/>
          <w:b w:val="0"/>
          <w:bCs w:val="0"/>
          <w:color w:val="000000"/>
          <w:sz w:val="22"/>
          <w:szCs w:val="22"/>
        </w:rPr>
        <w:t>(</w:t>
      </w:r>
      <w:r>
        <w:fldChar w:fldCharType="begin"/>
      </w:r>
      <w:r>
        <w:rPr>
          <w:rStyle w:val="54"/>
          <w:sz w:val="22"/>
          <w:szCs w:val="22"/>
        </w:rPr>
        <w:instrText xml:space="preserve"> HYPERLINK "http://www.planalto.gov.br/ccivil_03/_ato2019-2022/2021/lei/L14133.htm" \l "art94"</w:instrText>
      </w:r>
      <w:r>
        <w:rPr>
          <w:rStyle w:val="54"/>
          <w:sz w:val="22"/>
          <w:szCs w:val="22"/>
        </w:rPr>
        <w:fldChar w:fldCharType="separate"/>
      </w:r>
      <w:r>
        <w:rPr>
          <w:rStyle w:val="54"/>
          <w:sz w:val="22"/>
          <w:szCs w:val="22"/>
        </w:rPr>
        <w:t>art. 94 da Lei Federal nº 14.133, de 2021</w:t>
      </w:r>
      <w:r>
        <w:rPr>
          <w:rStyle w:val="54"/>
          <w:sz w:val="22"/>
          <w:szCs w:val="22"/>
        </w:rPr>
        <w:fldChar w:fldCharType="end"/>
      </w:r>
      <w:r>
        <w:rPr>
          <w:rStyle w:val="12"/>
          <w:b w:val="0"/>
          <w:bCs w:val="0"/>
          <w:color w:val="000000"/>
          <w:sz w:val="22"/>
          <w:szCs w:val="22"/>
        </w:rPr>
        <w:t>)</w:t>
      </w:r>
    </w:p>
    <w:p>
      <w:pPr>
        <w:pStyle w:val="28"/>
        <w:numPr>
          <w:ilvl w:val="1"/>
          <w:numId w:val="13"/>
        </w:numPr>
        <w:tabs>
          <w:tab w:val="left" w:pos="993"/>
        </w:tabs>
        <w:spacing w:before="0" w:beforeAutospacing="0" w:after="0" w:afterAutospacing="0"/>
        <w:ind w:left="0" w:firstLine="567"/>
        <w:jc w:val="both"/>
      </w:pPr>
      <w:r>
        <w:rPr>
          <w:sz w:val="22"/>
          <w:szCs w:val="22"/>
        </w:rPr>
        <w:t>Incumbirá ao Contratante divulgar o presente instrumento no Portal Nacional de Contratações Públicas - PNCP (</w:t>
      </w:r>
      <w:r>
        <w:fldChar w:fldCharType="begin"/>
      </w:r>
      <w:r>
        <w:instrText xml:space="preserve"> HYPERLINK "https://pncp.gov.br/" \h </w:instrText>
      </w:r>
      <w:r>
        <w:fldChar w:fldCharType="separate"/>
      </w:r>
      <w:r>
        <w:rPr>
          <w:rStyle w:val="54"/>
          <w:sz w:val="22"/>
          <w:szCs w:val="22"/>
        </w:rPr>
        <w:t>https://pncp.gov.br/</w:t>
      </w:r>
      <w:r>
        <w:rPr>
          <w:rStyle w:val="54"/>
          <w:sz w:val="22"/>
          <w:szCs w:val="22"/>
        </w:rPr>
        <w:fldChar w:fldCharType="end"/>
      </w:r>
      <w:r>
        <w:rPr>
          <w:sz w:val="22"/>
          <w:szCs w:val="22"/>
        </w:rPr>
        <w:t xml:space="preserve">), na forma prevista no </w:t>
      </w:r>
      <w:r>
        <w:fldChar w:fldCharType="begin"/>
      </w:r>
      <w:r>
        <w:rPr>
          <w:rStyle w:val="54"/>
          <w:sz w:val="22"/>
          <w:szCs w:val="22"/>
        </w:rPr>
        <w:instrText xml:space="preserve"> HYPERLINK "http://www.planalto.gov.br/ccivil_03/_ato2019-2022/2021/lei/L14133.htm" \l "art94"</w:instrText>
      </w:r>
      <w:r>
        <w:rPr>
          <w:rStyle w:val="54"/>
          <w:sz w:val="22"/>
          <w:szCs w:val="22"/>
        </w:rPr>
        <w:fldChar w:fldCharType="separate"/>
      </w:r>
      <w:r>
        <w:rPr>
          <w:rStyle w:val="54"/>
          <w:sz w:val="22"/>
          <w:szCs w:val="22"/>
        </w:rPr>
        <w:t>art. 94 da Lei Federal nº 14.133, de 2021</w:t>
      </w:r>
      <w:r>
        <w:rPr>
          <w:rStyle w:val="54"/>
          <w:sz w:val="22"/>
          <w:szCs w:val="22"/>
        </w:rPr>
        <w:fldChar w:fldCharType="end"/>
      </w:r>
      <w:r>
        <w:rPr>
          <w:sz w:val="22"/>
          <w:szCs w:val="22"/>
        </w:rPr>
        <w:t xml:space="preserve">, bem como no respectivo sítio oficial na Internet, em atenção ao </w:t>
      </w:r>
      <w:r>
        <w:fldChar w:fldCharType="begin"/>
      </w:r>
      <w:r>
        <w:rPr>
          <w:rStyle w:val="54"/>
          <w:sz w:val="22"/>
          <w:szCs w:val="22"/>
        </w:rPr>
        <w:instrText xml:space="preserve"> HYPERLINK "http://www.planalto.gov.br/ccivil_03/_ato2019-2022/2021/lei/L14133.htm" \l "art94"</w:instrText>
      </w:r>
      <w:r>
        <w:rPr>
          <w:rStyle w:val="54"/>
          <w:sz w:val="22"/>
          <w:szCs w:val="22"/>
        </w:rPr>
        <w:fldChar w:fldCharType="separate"/>
      </w:r>
      <w:r>
        <w:rPr>
          <w:rStyle w:val="54"/>
          <w:sz w:val="22"/>
          <w:szCs w:val="22"/>
        </w:rPr>
        <w:t xml:space="preserve">art. 91, </w:t>
      </w:r>
      <w:r>
        <w:rPr>
          <w:rStyle w:val="54"/>
          <w:sz w:val="22"/>
          <w:szCs w:val="22"/>
        </w:rPr>
        <w:fldChar w:fldCharType="end"/>
      </w:r>
      <w:r>
        <w:rPr>
          <w:rStyle w:val="54"/>
          <w:i/>
          <w:iCs/>
          <w:sz w:val="22"/>
          <w:szCs w:val="22"/>
        </w:rPr>
        <w:t>caput</w:t>
      </w:r>
      <w:r>
        <w:rPr>
          <w:rStyle w:val="54"/>
          <w:sz w:val="22"/>
          <w:szCs w:val="22"/>
        </w:rPr>
        <w:t>, da Lei Federal nº 14.133, de 2021</w:t>
      </w:r>
      <w:r>
        <w:rPr>
          <w:sz w:val="22"/>
          <w:szCs w:val="22"/>
        </w:rPr>
        <w:t xml:space="preserve">, e ao </w:t>
      </w:r>
      <w:r>
        <w:fldChar w:fldCharType="begin"/>
      </w:r>
      <w:r>
        <w:rPr>
          <w:rStyle w:val="54"/>
          <w:sz w:val="22"/>
          <w:szCs w:val="22"/>
        </w:rPr>
        <w:instrText xml:space="preserve"> HYPERLINK "https://www.planalto.gov.br/ccivil_03/_ato2011-2014/2011/lei/l12527.htm" \l "art8§2"</w:instrText>
      </w:r>
      <w:r>
        <w:rPr>
          <w:rStyle w:val="54"/>
          <w:sz w:val="22"/>
          <w:szCs w:val="22"/>
        </w:rPr>
        <w:fldChar w:fldCharType="separate"/>
      </w:r>
      <w:r>
        <w:rPr>
          <w:rStyle w:val="54"/>
          <w:sz w:val="22"/>
          <w:szCs w:val="22"/>
        </w:rPr>
        <w:t>art. 8º, §2º, da Lei Federal nº 12.527, de 2011</w:t>
      </w:r>
      <w:r>
        <w:rPr>
          <w:rStyle w:val="54"/>
          <w:sz w:val="22"/>
          <w:szCs w:val="22"/>
        </w:rPr>
        <w:fldChar w:fldCharType="end"/>
      </w:r>
      <w:r>
        <w:rPr>
          <w:sz w:val="22"/>
          <w:szCs w:val="22"/>
        </w:rPr>
        <w:t>.</w:t>
      </w:r>
    </w:p>
    <w:p>
      <w:pPr>
        <w:pStyle w:val="28"/>
        <w:numPr>
          <w:ilvl w:val="0"/>
          <w:numId w:val="13"/>
        </w:numPr>
        <w:pBdr>
          <w:bottom w:val="single" w:color="000000" w:themeColor="dark1" w:sz="4" w:space="1"/>
        </w:pBdr>
        <w:shd w:val="clear" w:color="auto" w:fill="BEBEBE" w:themeFill="background1" w:themeFillShade="BF"/>
        <w:spacing w:before="0" w:beforeAutospacing="0" w:after="0" w:afterAutospacing="0"/>
        <w:jc w:val="both"/>
      </w:pPr>
      <w:r>
        <w:rPr>
          <w:rStyle w:val="12"/>
          <w:color w:val="000000"/>
          <w:sz w:val="22"/>
          <w:szCs w:val="22"/>
        </w:rPr>
        <w:t>FORO</w:t>
      </w:r>
      <w:r>
        <w:rPr>
          <w:sz w:val="22"/>
          <w:szCs w:val="22"/>
        </w:rPr>
        <w:t xml:space="preserve"> (</w:t>
      </w:r>
      <w:r>
        <w:fldChar w:fldCharType="begin"/>
      </w:r>
      <w:r>
        <w:rPr>
          <w:rStyle w:val="54"/>
          <w:sz w:val="22"/>
          <w:szCs w:val="22"/>
        </w:rPr>
        <w:instrText xml:space="preserve"> HYPERLINK "http://www.planalto.gov.br/ccivil_03/_ato2019-2022/2021/lei/L14133.htm" \l "art92§1"</w:instrText>
      </w:r>
      <w:r>
        <w:rPr>
          <w:rStyle w:val="54"/>
          <w:sz w:val="22"/>
          <w:szCs w:val="22"/>
        </w:rPr>
        <w:fldChar w:fldCharType="separate"/>
      </w:r>
      <w:r>
        <w:rPr>
          <w:rStyle w:val="54"/>
          <w:sz w:val="22"/>
          <w:szCs w:val="22"/>
        </w:rPr>
        <w:t>art. 92, §1º</w:t>
      </w:r>
      <w:r>
        <w:rPr>
          <w:rStyle w:val="54"/>
          <w:sz w:val="22"/>
          <w:szCs w:val="22"/>
        </w:rPr>
        <w:fldChar w:fldCharType="end"/>
      </w:r>
      <w:r>
        <w:rPr>
          <w:rStyle w:val="54"/>
          <w:sz w:val="22"/>
          <w:szCs w:val="22"/>
        </w:rPr>
        <w:t>, da Lei Federal nº 14.133, de 2021</w:t>
      </w:r>
      <w:r>
        <w:rPr>
          <w:sz w:val="22"/>
          <w:szCs w:val="22"/>
        </w:rPr>
        <w:t>)</w:t>
      </w:r>
    </w:p>
    <w:p>
      <w:pPr>
        <w:pStyle w:val="28"/>
        <w:numPr>
          <w:ilvl w:val="1"/>
          <w:numId w:val="13"/>
        </w:numPr>
        <w:tabs>
          <w:tab w:val="left" w:pos="993"/>
        </w:tabs>
        <w:spacing w:before="0" w:beforeAutospacing="0" w:after="120" w:afterAutospacing="0"/>
        <w:ind w:left="0" w:firstLine="567"/>
        <w:jc w:val="both"/>
      </w:pPr>
      <w:r>
        <w:rPr>
          <w:sz w:val="22"/>
          <w:szCs w:val="22"/>
        </w:rPr>
        <w:t xml:space="preserve">Fica eleito o Foro da Justiça Estadual em Pontes e Lacerda - MT para dirimir os litígios que decorrerem da execução deste Termo de Contrato que não puderem ser compostos pela conciliação administrativa, conforme </w:t>
      </w:r>
      <w:r>
        <w:fldChar w:fldCharType="begin"/>
      </w:r>
      <w:r>
        <w:rPr>
          <w:rStyle w:val="54"/>
          <w:sz w:val="22"/>
          <w:szCs w:val="22"/>
        </w:rPr>
        <w:instrText xml:space="preserve"> HYPERLINK "http://www.planalto.gov.br/ccivil_03/_ato2019-2022/2021/lei/L14133.htm" \l "art92§1"</w:instrText>
      </w:r>
      <w:r>
        <w:rPr>
          <w:rStyle w:val="54"/>
          <w:sz w:val="22"/>
          <w:szCs w:val="22"/>
        </w:rPr>
        <w:fldChar w:fldCharType="separate"/>
      </w:r>
      <w:r>
        <w:rPr>
          <w:rStyle w:val="54"/>
          <w:sz w:val="22"/>
          <w:szCs w:val="22"/>
        </w:rPr>
        <w:t>art. 92, §1º, da Lei Federal nº 14.133, de 2021.</w:t>
      </w:r>
      <w:r>
        <w:rPr>
          <w:rStyle w:val="54"/>
          <w:sz w:val="22"/>
          <w:szCs w:val="22"/>
        </w:rPr>
        <w:fldChar w:fldCharType="end"/>
      </w:r>
    </w:p>
    <w:p>
      <w:pPr>
        <w:pStyle w:val="28"/>
        <w:tabs>
          <w:tab w:val="left" w:pos="993"/>
        </w:tabs>
        <w:spacing w:before="120" w:beforeAutospacing="0" w:after="120" w:afterAutospacing="0"/>
        <w:ind w:firstLine="567"/>
        <w:jc w:val="both"/>
        <w:rPr>
          <w:rFonts w:ascii="Times New Roman" w:hAnsi="Times New Roman"/>
          <w:sz w:val="22"/>
          <w:szCs w:val="22"/>
        </w:rPr>
      </w:pPr>
      <w:r>
        <w:rPr>
          <w:sz w:val="22"/>
          <w:szCs w:val="22"/>
        </w:rPr>
        <w:t>Para firmeza e como prova de assim haverem ajustado, depois de lido e achado de acordo, este instrumento será assinado digitalmente ou, em caso de impossibilidade, impresso e assinado em 2 (duas) vias de igual teor e forma.</w:t>
      </w:r>
    </w:p>
    <w:p>
      <w:pPr>
        <w:pStyle w:val="28"/>
        <w:tabs>
          <w:tab w:val="left" w:pos="993"/>
        </w:tabs>
        <w:spacing w:before="120" w:beforeAutospacing="0" w:after="120" w:afterAutospacing="0"/>
        <w:ind w:firstLine="567"/>
        <w:jc w:val="right"/>
        <w:rPr>
          <w:rFonts w:ascii="Times New Roman" w:hAnsi="Times New Roman"/>
          <w:sz w:val="22"/>
          <w:szCs w:val="22"/>
        </w:rPr>
      </w:pPr>
      <w:r>
        <w:rPr>
          <w:sz w:val="22"/>
          <w:szCs w:val="22"/>
        </w:rPr>
        <w:t>Primavera do Leste - MT, em ____________, de ___________de 2024.</w:t>
      </w:r>
    </w:p>
    <w:p>
      <w:pPr>
        <w:pStyle w:val="28"/>
        <w:tabs>
          <w:tab w:val="left" w:pos="993"/>
        </w:tabs>
        <w:spacing w:before="120" w:beforeAutospacing="0" w:after="120" w:afterAutospacing="0"/>
        <w:jc w:val="right"/>
        <w:rPr>
          <w:rFonts w:ascii="Times New Roman" w:hAnsi="Times New Roman"/>
          <w:sz w:val="22"/>
          <w:szCs w:val="22"/>
        </w:rPr>
      </w:pPr>
    </w:p>
    <w:p>
      <w:pPr>
        <w:pStyle w:val="28"/>
        <w:tabs>
          <w:tab w:val="left" w:pos="993"/>
        </w:tabs>
        <w:spacing w:before="120" w:beforeAutospacing="0" w:after="120" w:afterAutospacing="0"/>
        <w:jc w:val="both"/>
        <w:rPr>
          <w:rFonts w:ascii="Times New Roman" w:hAnsi="Times New Roman"/>
          <w:sz w:val="22"/>
          <w:szCs w:val="22"/>
        </w:rPr>
      </w:pPr>
      <w:r>
        <w:rPr>
          <w:sz w:val="22"/>
          <w:szCs w:val="22"/>
          <w:u w:val="single"/>
        </w:rPr>
        <w:t>Representantes legais</w:t>
      </w:r>
      <w:r>
        <w:rPr>
          <w:sz w:val="22"/>
          <w:szCs w:val="22"/>
        </w:rPr>
        <w:t>:</w:t>
      </w:r>
    </w:p>
    <w:p>
      <w:pPr>
        <w:pStyle w:val="28"/>
        <w:tabs>
          <w:tab w:val="left" w:pos="993"/>
        </w:tabs>
        <w:spacing w:before="120" w:beforeAutospacing="0" w:after="120" w:afterAutospacing="0"/>
        <w:jc w:val="both"/>
        <w:rPr>
          <w:rFonts w:ascii="Times New Roman" w:hAnsi="Times New Roman"/>
          <w:sz w:val="22"/>
          <w:szCs w:val="22"/>
        </w:rPr>
      </w:pPr>
    </w:p>
    <w:p>
      <w:pPr>
        <w:pStyle w:val="28"/>
        <w:tabs>
          <w:tab w:val="left" w:pos="993"/>
        </w:tabs>
        <w:spacing w:before="120" w:beforeAutospacing="0" w:after="120" w:afterAutospacing="0"/>
        <w:jc w:val="both"/>
        <w:rPr>
          <w:rFonts w:ascii="Times New Roman" w:hAnsi="Times New Roman"/>
          <w:sz w:val="22"/>
          <w:szCs w:val="22"/>
          <w:highlight w:val="none"/>
        </w:rPr>
      </w:pPr>
    </w:p>
    <w:tbl>
      <w:tblPr>
        <w:tblStyle w:val="42"/>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6"/>
        <w:gridCol w:w="4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6" w:type="dxa"/>
            <w:tcBorders>
              <w:top w:val="nil"/>
              <w:left w:val="nil"/>
              <w:bottom w:val="nil"/>
              <w:right w:val="nil"/>
            </w:tcBorders>
          </w:tcPr>
          <w:p>
            <w:pPr>
              <w:pStyle w:val="28"/>
              <w:widowControl/>
              <w:tabs>
                <w:tab w:val="left" w:pos="993"/>
              </w:tabs>
              <w:suppressAutoHyphens/>
              <w:spacing w:before="0" w:beforeAutospacing="0" w:after="0" w:afterAutospacing="0"/>
              <w:jc w:val="center"/>
              <w:rPr>
                <w:rFonts w:ascii="Times New Roman" w:hAnsi="Times New Roman"/>
                <w:sz w:val="22"/>
                <w:szCs w:val="22"/>
                <w:highlight w:val="none"/>
              </w:rPr>
            </w:pPr>
            <w:r>
              <w:rPr>
                <w:b/>
                <w:bCs/>
                <w:kern w:val="0"/>
                <w:sz w:val="22"/>
                <w:szCs w:val="22"/>
                <w:highlight w:val="none"/>
                <w:lang w:val="pt-BR" w:bidi="ar-SA"/>
              </w:rPr>
              <w:t>Nome do Ordenador de Despesas</w:t>
            </w:r>
          </w:p>
          <w:p>
            <w:pPr>
              <w:pStyle w:val="28"/>
              <w:widowControl/>
              <w:tabs>
                <w:tab w:val="left" w:pos="993"/>
              </w:tabs>
              <w:suppressAutoHyphens/>
              <w:spacing w:before="0" w:beforeAutospacing="0" w:after="0" w:afterAutospacing="0"/>
              <w:jc w:val="center"/>
              <w:rPr>
                <w:rFonts w:ascii="Times New Roman" w:hAnsi="Times New Roman"/>
                <w:sz w:val="22"/>
                <w:szCs w:val="22"/>
                <w:highlight w:val="none"/>
              </w:rPr>
            </w:pPr>
            <w:r>
              <w:rPr>
                <w:kern w:val="0"/>
                <w:sz w:val="22"/>
                <w:szCs w:val="22"/>
                <w:highlight w:val="none"/>
                <w:lang w:val="pt-BR" w:bidi="ar-SA"/>
              </w:rPr>
              <w:t>Contratante</w:t>
            </w:r>
          </w:p>
        </w:tc>
        <w:tc>
          <w:tcPr>
            <w:tcW w:w="4464" w:type="dxa"/>
            <w:tcBorders>
              <w:top w:val="nil"/>
              <w:left w:val="nil"/>
              <w:bottom w:val="nil"/>
              <w:right w:val="nil"/>
            </w:tcBorders>
          </w:tcPr>
          <w:p>
            <w:pPr>
              <w:pStyle w:val="28"/>
              <w:widowControl/>
              <w:tabs>
                <w:tab w:val="left" w:pos="993"/>
              </w:tabs>
              <w:suppressAutoHyphens/>
              <w:spacing w:before="0" w:beforeAutospacing="0" w:after="0" w:afterAutospacing="0"/>
              <w:jc w:val="center"/>
              <w:rPr>
                <w:rFonts w:ascii="Times New Roman" w:hAnsi="Times New Roman"/>
                <w:sz w:val="22"/>
                <w:szCs w:val="22"/>
                <w:highlight w:val="none"/>
              </w:rPr>
            </w:pPr>
            <w:r>
              <w:rPr>
                <w:b/>
                <w:bCs/>
                <w:kern w:val="0"/>
                <w:sz w:val="22"/>
                <w:szCs w:val="22"/>
                <w:highlight w:val="none"/>
                <w:lang w:val="pt-BR" w:bidi="ar-SA"/>
              </w:rPr>
              <w:t>Nome da Contratada</w:t>
            </w:r>
          </w:p>
          <w:p>
            <w:pPr>
              <w:pStyle w:val="28"/>
              <w:widowControl/>
              <w:tabs>
                <w:tab w:val="left" w:pos="993"/>
              </w:tabs>
              <w:suppressAutoHyphens/>
              <w:spacing w:before="0" w:beforeAutospacing="0" w:after="0" w:afterAutospacing="0"/>
              <w:jc w:val="center"/>
              <w:rPr>
                <w:rFonts w:ascii="Times New Roman" w:hAnsi="Times New Roman"/>
                <w:sz w:val="22"/>
                <w:szCs w:val="22"/>
                <w:highlight w:val="none"/>
              </w:rPr>
            </w:pPr>
            <w:r>
              <w:rPr>
                <w:kern w:val="0"/>
                <w:sz w:val="22"/>
                <w:szCs w:val="22"/>
                <w:highlight w:val="none"/>
                <w:lang w:val="pt-BR" w:bidi="ar-SA"/>
              </w:rPr>
              <w:t>Contratada</w:t>
            </w:r>
          </w:p>
        </w:tc>
      </w:tr>
    </w:tbl>
    <w:p>
      <w:pPr>
        <w:pStyle w:val="28"/>
        <w:tabs>
          <w:tab w:val="left" w:pos="993"/>
        </w:tabs>
        <w:spacing w:before="120" w:beforeAutospacing="0" w:after="120" w:afterAutospacing="0"/>
        <w:jc w:val="both"/>
        <w:rPr>
          <w:rFonts w:ascii="Times New Roman" w:hAnsi="Times New Roman"/>
          <w:sz w:val="22"/>
          <w:szCs w:val="22"/>
          <w:highlight w:val="none"/>
        </w:rPr>
      </w:pPr>
    </w:p>
    <w:p>
      <w:pPr>
        <w:pStyle w:val="28"/>
        <w:tabs>
          <w:tab w:val="left" w:pos="993"/>
        </w:tabs>
        <w:spacing w:before="120" w:beforeAutospacing="0" w:after="120" w:afterAutospacing="0"/>
        <w:jc w:val="both"/>
        <w:rPr>
          <w:rFonts w:ascii="Times New Roman" w:hAnsi="Times New Roman"/>
          <w:sz w:val="22"/>
          <w:szCs w:val="22"/>
          <w:highlight w:val="none"/>
        </w:rPr>
      </w:pPr>
      <w:r>
        <w:rPr>
          <w:sz w:val="22"/>
          <w:szCs w:val="22"/>
          <w:highlight w:val="none"/>
          <w:u w:val="single"/>
        </w:rPr>
        <w:t>Testemunhas</w:t>
      </w:r>
      <w:r>
        <w:rPr>
          <w:sz w:val="22"/>
          <w:szCs w:val="22"/>
          <w:highlight w:val="none"/>
        </w:rPr>
        <w:t>:</w:t>
      </w:r>
    </w:p>
    <w:p>
      <w:pPr>
        <w:pStyle w:val="28"/>
        <w:tabs>
          <w:tab w:val="left" w:pos="993"/>
        </w:tabs>
        <w:spacing w:before="120" w:beforeAutospacing="0" w:after="120" w:afterAutospacing="0"/>
        <w:jc w:val="both"/>
        <w:rPr>
          <w:rFonts w:ascii="Times New Roman" w:hAnsi="Times New Roman"/>
          <w:sz w:val="22"/>
          <w:szCs w:val="22"/>
          <w:highlight w:val="none"/>
        </w:rPr>
      </w:pPr>
    </w:p>
    <w:p>
      <w:pPr>
        <w:pStyle w:val="28"/>
        <w:tabs>
          <w:tab w:val="left" w:pos="993"/>
        </w:tabs>
        <w:spacing w:before="120" w:beforeAutospacing="0" w:after="120" w:afterAutospacing="0"/>
        <w:jc w:val="both"/>
        <w:rPr>
          <w:rFonts w:ascii="Times New Roman" w:hAnsi="Times New Roman"/>
          <w:sz w:val="22"/>
          <w:szCs w:val="22"/>
          <w:highlight w:val="none"/>
        </w:rPr>
      </w:pPr>
    </w:p>
    <w:tbl>
      <w:tblPr>
        <w:tblStyle w:val="42"/>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5"/>
        <w:gridCol w:w="4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5" w:type="dxa"/>
            <w:tcBorders>
              <w:top w:val="nil"/>
              <w:left w:val="nil"/>
              <w:bottom w:val="nil"/>
              <w:right w:val="nil"/>
            </w:tcBorders>
          </w:tcPr>
          <w:p>
            <w:pPr>
              <w:pStyle w:val="28"/>
              <w:widowControl/>
              <w:tabs>
                <w:tab w:val="left" w:pos="993"/>
              </w:tabs>
              <w:suppressAutoHyphens/>
              <w:spacing w:before="0" w:beforeAutospacing="0" w:after="0" w:afterAutospacing="0"/>
              <w:jc w:val="center"/>
              <w:rPr>
                <w:rFonts w:ascii="Times New Roman" w:hAnsi="Times New Roman"/>
                <w:sz w:val="22"/>
                <w:szCs w:val="22"/>
                <w:highlight w:val="none"/>
              </w:rPr>
            </w:pPr>
            <w:r>
              <w:rPr>
                <w:b/>
                <w:bCs/>
                <w:kern w:val="0"/>
                <w:sz w:val="22"/>
                <w:szCs w:val="22"/>
                <w:highlight w:val="none"/>
                <w:lang w:val="pt-BR" w:bidi="ar-SA"/>
              </w:rPr>
              <w:t>Nome da 1ª Testemunha</w:t>
            </w:r>
          </w:p>
          <w:p>
            <w:pPr>
              <w:pStyle w:val="28"/>
              <w:widowControl/>
              <w:tabs>
                <w:tab w:val="left" w:pos="993"/>
              </w:tabs>
              <w:suppressAutoHyphens/>
              <w:spacing w:before="0" w:beforeAutospacing="0" w:after="0" w:afterAutospacing="0"/>
              <w:jc w:val="center"/>
              <w:rPr>
                <w:rFonts w:ascii="Times New Roman" w:hAnsi="Times New Roman"/>
                <w:sz w:val="22"/>
                <w:szCs w:val="22"/>
                <w:highlight w:val="none"/>
              </w:rPr>
            </w:pPr>
            <w:r>
              <w:rPr>
                <w:kern w:val="0"/>
                <w:sz w:val="22"/>
                <w:szCs w:val="22"/>
                <w:highlight w:val="none"/>
                <w:lang w:val="pt-BR" w:bidi="ar-SA"/>
              </w:rPr>
              <w:t>Matrícula: XXXXX</w:t>
            </w:r>
          </w:p>
        </w:tc>
        <w:tc>
          <w:tcPr>
            <w:tcW w:w="4465" w:type="dxa"/>
            <w:tcBorders>
              <w:top w:val="nil"/>
              <w:left w:val="nil"/>
              <w:bottom w:val="nil"/>
              <w:right w:val="nil"/>
            </w:tcBorders>
          </w:tcPr>
          <w:p>
            <w:pPr>
              <w:pStyle w:val="28"/>
              <w:widowControl/>
              <w:tabs>
                <w:tab w:val="left" w:pos="993"/>
              </w:tabs>
              <w:suppressAutoHyphens/>
              <w:spacing w:before="0" w:beforeAutospacing="0" w:after="0" w:afterAutospacing="0"/>
              <w:jc w:val="center"/>
              <w:rPr>
                <w:rFonts w:ascii="Times New Roman" w:hAnsi="Times New Roman"/>
                <w:sz w:val="22"/>
                <w:szCs w:val="22"/>
                <w:highlight w:val="none"/>
              </w:rPr>
            </w:pPr>
            <w:r>
              <w:rPr>
                <w:b/>
                <w:bCs/>
                <w:kern w:val="0"/>
                <w:sz w:val="22"/>
                <w:szCs w:val="22"/>
                <w:highlight w:val="none"/>
                <w:lang w:val="pt-BR" w:bidi="ar-SA"/>
              </w:rPr>
              <w:t>Nome da 2ª Testemunha</w:t>
            </w:r>
          </w:p>
          <w:p>
            <w:pPr>
              <w:pStyle w:val="28"/>
              <w:widowControl/>
              <w:tabs>
                <w:tab w:val="left" w:pos="993"/>
              </w:tabs>
              <w:suppressAutoHyphens/>
              <w:spacing w:before="0" w:beforeAutospacing="0" w:after="0" w:afterAutospacing="0"/>
              <w:jc w:val="center"/>
              <w:rPr>
                <w:rFonts w:ascii="Times New Roman" w:hAnsi="Times New Roman"/>
                <w:sz w:val="22"/>
                <w:szCs w:val="22"/>
                <w:highlight w:val="none"/>
              </w:rPr>
            </w:pPr>
            <w:r>
              <w:rPr>
                <w:kern w:val="0"/>
                <w:sz w:val="22"/>
                <w:szCs w:val="22"/>
                <w:highlight w:val="none"/>
                <w:lang w:val="pt-BR" w:bidi="ar-SA"/>
              </w:rPr>
              <w:t>Matrícula: XXXXXXX</w:t>
            </w:r>
          </w:p>
        </w:tc>
      </w:tr>
    </w:tbl>
    <w:p>
      <w:pPr>
        <w:pStyle w:val="28"/>
        <w:tabs>
          <w:tab w:val="left" w:pos="993"/>
        </w:tabs>
        <w:spacing w:before="0" w:beforeAutospacing="0" w:after="0" w:afterAutospacing="0"/>
        <w:jc w:val="both"/>
        <w:rPr>
          <w:rFonts w:ascii="Times New Roman" w:hAnsi="Times New Roman"/>
          <w:sz w:val="22"/>
          <w:szCs w:val="22"/>
        </w:rPr>
      </w:pPr>
    </w:p>
    <w:sectPr>
      <w:headerReference r:id="rId8" w:type="first"/>
      <w:footerReference r:id="rId10" w:type="first"/>
      <w:headerReference r:id="rId7" w:type="default"/>
      <w:footerReference r:id="rId9" w:type="default"/>
      <w:footnotePr>
        <w:numFmt w:val="decimal"/>
      </w:footnotePr>
      <w:pgSz w:w="11906" w:h="16838"/>
      <w:pgMar w:top="1701" w:right="1274" w:bottom="1134" w:left="1701" w:header="709" w:footer="0" w:gutter="0"/>
      <w:pgNumType w:fmt="decimal"/>
      <w:cols w:space="720" w:num="1"/>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黑体">
    <w:altName w:val="SimSun"/>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Liberation Sans">
    <w:panose1 w:val="020B0604020202020204"/>
    <w:charset w:val="00"/>
    <w:family w:val="roman"/>
    <w:pitch w:val="default"/>
    <w:sig w:usb0="E0000AFF" w:usb1="500078FF" w:usb2="00000021" w:usb3="00000000" w:csb0="600001BF" w:csb1="DFF70000"/>
  </w:font>
  <w:font w:name="Arial Narrow">
    <w:altName w:val="Arial"/>
    <w:panose1 w:val="00000000000000000000"/>
    <w:charset w:val="00"/>
    <w:family w:val="roman"/>
    <w:pitch w:val="default"/>
    <w:sig w:usb0="00000000" w:usb1="00000000" w:usb2="00000000" w:usb3="00000000" w:csb0="00000000" w:csb1="00000000"/>
  </w:font>
  <w:font w:name="Ecofont_Spranq_eco_Sans">
    <w:altName w:val="Liberation Mono"/>
    <w:panose1 w:val="00000000000000000000"/>
    <w:charset w:val="00"/>
    <w:family w:val="roman"/>
    <w:pitch w:val="default"/>
    <w:sig w:usb0="00000000" w:usb1="00000000" w:usb2="00000000" w:usb3="00000000" w:csb0="00000000" w:csb1="00000000"/>
  </w:font>
  <w:font w:name="Tahoma">
    <w:panose1 w:val="020B0604030504040204"/>
    <w:charset w:val="00"/>
    <w:family w:val="roman"/>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 w:name="Segoe UI">
    <w:panose1 w:val="020B0502040204020203"/>
    <w:charset w:val="00"/>
    <w:family w:val="roman"/>
    <w:pitch w:val="default"/>
    <w:sig w:usb0="E4002EFF" w:usb1="C000E47F" w:usb2="00000009" w:usb3="00000000" w:csb0="200001FF" w:csb1="00000000"/>
  </w:font>
  <w:font w:name="WenQuanYi Micro Hei">
    <w:altName w:val="Liberation Mono"/>
    <w:panose1 w:val="00000000000000000000"/>
    <w:charset w:val="00"/>
    <w:family w:val="auto"/>
    <w:pitch w:val="default"/>
    <w:sig w:usb0="00000000" w:usb1="00000000" w:usb2="00000000" w:usb3="00000000" w:csb0="00000000" w:csb1="00000000"/>
  </w:font>
  <w:font w:name="Lohit Hindi">
    <w:altName w:val="Liberation Mono"/>
    <w:panose1 w:val="00000000000000000000"/>
    <w:charset w:val="00"/>
    <w:family w:val="auto"/>
    <w:pitch w:val="default"/>
    <w:sig w:usb0="00000000" w:usb1="00000000" w:usb2="00000000" w:usb3="00000000" w:csb0="00000000" w:csb1="00000000"/>
  </w:font>
  <w:font w:name="Liberation Serif">
    <w:panose1 w:val="02020603050405020304"/>
    <w:charset w:val="00"/>
    <w:family w:val="roman"/>
    <w:pitch w:val="default"/>
    <w:sig w:usb0="E0000AFF" w:usb1="500078FF" w:usb2="00000021" w:usb3="00000000" w:csb0="600001BF" w:csb1="DFF70000"/>
  </w:font>
  <w:font w:name="NSimSun">
    <w:panose1 w:val="02010609030101010101"/>
    <w:charset w:val="86"/>
    <w:family w:val="auto"/>
    <w:pitch w:val="default"/>
    <w:sig w:usb0="00000203" w:usb1="288F0000" w:usb2="00000006" w:usb3="00000000" w:csb0="00040001" w:csb1="00000000"/>
  </w:font>
  <w:font w:name="Lucida Sans">
    <w:altName w:val="Lucida Sans Unicode"/>
    <w:panose1 w:val="00000000000000000000"/>
    <w:charset w:val="00"/>
    <w:family w:val="auto"/>
    <w:pitch w:val="default"/>
    <w:sig w:usb0="00000000" w:usb1="00000000" w:usb2="00000000" w:usb3="00000000" w:csb0="00000000" w:csb1="00000000"/>
  </w:font>
  <w:font w:name="Garamond">
    <w:altName w:val="Microsoft YaHei"/>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120" w:after="0" w:line="240" w:lineRule="auto"/>
      <w:jc w:val="center"/>
      <w:rPr>
        <w:rFonts w:ascii="Times New Roman" w:hAnsi="Times New Roman"/>
        <w:sz w:val="20"/>
        <w:szCs w:val="20"/>
      </w:rPr>
    </w:pPr>
    <w:r>
      <w:rPr>
        <w:rFonts w:ascii="Times New Roman" w:hAnsi="Times New Roman" w:cs="Arial"/>
        <w:sz w:val="20"/>
        <w:szCs w:val="20"/>
      </w:rPr>
      <w:t>Av. Primavera, 300, Bairro Primavera II, Primavera do Leste - MT, CEP: 78850-000</w:t>
    </w:r>
  </w:p>
  <w:p>
    <w:pPr>
      <w:pStyle w:val="3"/>
      <w:spacing w:before="0" w:after="0" w:line="240" w:lineRule="auto"/>
      <w:jc w:val="center"/>
    </w:pPr>
    <w:r>
      <w:rPr>
        <w:rFonts w:ascii="Times New Roman" w:hAnsi="Times New Roman" w:cs="Arial"/>
        <w:sz w:val="20"/>
        <w:szCs w:val="20"/>
      </w:rPr>
      <w:t xml:space="preserve">Fones: (66) 3498-3590/1734 - Site: </w:t>
    </w:r>
    <w:r>
      <w:fldChar w:fldCharType="begin"/>
    </w:r>
    <w:r>
      <w:instrText xml:space="preserve"> HYPERLINK "https://www.primaveradoleste.mt.leg.br/" \h </w:instrText>
    </w:r>
    <w:r>
      <w:fldChar w:fldCharType="separate"/>
    </w:r>
    <w:r>
      <w:rPr>
        <w:rStyle w:val="54"/>
        <w:rFonts w:ascii="Times New Roman" w:hAnsi="Times New Roman" w:cs="Arial"/>
        <w:sz w:val="20"/>
        <w:szCs w:val="20"/>
      </w:rPr>
      <w:t>https://www.primaveradoleste.mt.leg.br/</w:t>
    </w:r>
    <w:r>
      <w:rPr>
        <w:rStyle w:val="54"/>
        <w:rFonts w:ascii="Times New Roman" w:hAnsi="Times New Roman" w:cs="Arial"/>
        <w:sz w:val="20"/>
        <w:szCs w:val="20"/>
      </w:rPr>
      <w:fldChar w:fldCharType="end"/>
    </w:r>
    <w:r>
      <w:rPr>
        <w:rFonts w:ascii="Times New Roman" w:hAnsi="Times New Roman" w:cs="Arial"/>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uppressAutoHyphens/>
      <w:bidi w:val="0"/>
      <w:spacing w:before="0" w:after="200" w:line="276" w:lineRule="auto"/>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76" w:lineRule="auto"/>
      </w:pPr>
      <w:r>
        <w:separator/>
      </w:r>
    </w:p>
  </w:footnote>
  <w:footnote w:type="continuationSeparator" w:id="3">
    <w:p>
      <w:pPr>
        <w:spacing w:before="0" w:after="0" w:line="276" w:lineRule="auto"/>
      </w:pPr>
      <w:r>
        <w:continuationSeparator/>
      </w:r>
    </w:p>
  </w:footnote>
  <w:footnote w:id="0">
    <w:p>
      <w:pPr>
        <w:pStyle w:val="40"/>
      </w:pPr>
      <w:r>
        <w:rPr>
          <w:rStyle w:val="44"/>
        </w:rPr>
        <w:footnoteRef/>
      </w:r>
      <w:r>
        <w:t xml:space="preserve"> </w:t>
      </w:r>
      <w:r>
        <w:rPr>
          <w:rFonts w:ascii="Times New Roman" w:hAnsi="Times New Roman" w:cs="Times New Roman"/>
        </w:rPr>
        <w:t>Quantidade (20.000) multiplicado pelo Preço Unitário do quilômetro voado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rPr>
        <w:rFonts w:eastAsia="Liberation Serif"/>
        <w:sz w:val="18"/>
        <w:szCs w:val="18"/>
        <w:lang w:eastAsia="hi-IN"/>
      </w:rPr>
    </w:pPr>
  </w:p>
  <w:tbl>
    <w:tblPr>
      <w:tblStyle w:val="42"/>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8"/>
      <w:gridCol w:w="6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8" w:type="dxa"/>
          <w:tcBorders>
            <w:top w:val="nil"/>
            <w:left w:val="nil"/>
            <w:bottom w:val="nil"/>
            <w:right w:val="nil"/>
          </w:tcBorders>
        </w:tcPr>
        <w:p>
          <w:pPr>
            <w:widowControl/>
            <w:suppressAutoHyphens/>
            <w:spacing w:before="0" w:after="0" w:line="240" w:lineRule="auto"/>
            <w:jc w:val="center"/>
            <w:rPr>
              <w:rFonts w:ascii="Times New Roman" w:hAnsi="Times New Roman" w:cs="Times New Roman"/>
              <w:sz w:val="24"/>
              <w:szCs w:val="24"/>
            </w:rPr>
          </w:pPr>
          <w:r>
            <w:object>
              <v:shape id="_x0000_i1025" o:spt="75" type="#_x0000_t75" style="height:47pt;width:127pt;" o:ole="t" filled="f" o:preferrelative="t" stroked="f" coordsize="21600,21600">
                <v:path/>
                <v:fill on="f" focussize="0,0"/>
                <v:stroke on="f" joinstyle="miter"/>
                <v:imagedata r:id="rId2" o:title=""/>
                <o:lock v:ext="edit" aspectratio="t"/>
                <w10:wrap type="none"/>
                <w10:anchorlock/>
              </v:shape>
              <o:OLEObject Type="Embed" ProgID="" ShapeID="_x0000_i1025" DrawAspect="Content" ObjectID="_1468075725" r:id="rId1">
                <o:LockedField>false</o:LockedField>
              </o:OLEObject>
            </w:object>
          </w:r>
        </w:p>
      </w:tc>
      <w:tc>
        <w:tcPr>
          <w:tcW w:w="6308" w:type="dxa"/>
          <w:tcBorders>
            <w:top w:val="nil"/>
            <w:left w:val="nil"/>
            <w:bottom w:val="nil"/>
            <w:right w:val="nil"/>
          </w:tcBorders>
        </w:tcPr>
        <w:p>
          <w:pPr>
            <w:widowControl/>
            <w:suppressAutoHyphens/>
            <w:spacing w:before="0" w:after="0" w:line="240" w:lineRule="auto"/>
            <w:jc w:val="right"/>
            <w:rPr>
              <w:rFonts w:ascii="Arial" w:hAnsi="Arial" w:cs="Arial"/>
              <w:sz w:val="24"/>
              <w:szCs w:val="24"/>
            </w:rPr>
          </w:pPr>
          <w:r>
            <w:rPr>
              <w:rFonts w:ascii="Arial" w:hAnsi="Arial" w:eastAsia="Calibri" w:cs="Arial"/>
              <w:kern w:val="0"/>
              <w:sz w:val="24"/>
              <w:szCs w:val="24"/>
              <w:lang w:val="pt-BR" w:eastAsia="en-US" w:bidi="ar-SA"/>
            </w:rPr>
            <w:t xml:space="preserve">(Fl. </w:t>
          </w:r>
          <w:r>
            <w:rPr>
              <w:rFonts w:ascii="Arial" w:hAnsi="Arial" w:eastAsia="Calibri" w:cs="Arial"/>
              <w:kern w:val="0"/>
              <w:sz w:val="24"/>
              <w:szCs w:val="24"/>
              <w:lang w:val="pt-BR" w:eastAsia="en-US" w:bidi="ar-SA"/>
            </w:rPr>
            <w:fldChar w:fldCharType="begin"/>
          </w:r>
          <w:r>
            <w:rPr>
              <w:rFonts w:ascii="Arial" w:hAnsi="Arial" w:eastAsia="Calibri" w:cs="Arial"/>
              <w:kern w:val="0"/>
              <w:sz w:val="24"/>
              <w:szCs w:val="24"/>
              <w:lang w:val="pt-BR" w:eastAsia="en-US" w:bidi="ar-SA"/>
            </w:rPr>
            <w:instrText xml:space="preserve"> PAGE </w:instrText>
          </w:r>
          <w:r>
            <w:rPr>
              <w:rFonts w:ascii="Arial" w:hAnsi="Arial" w:eastAsia="Calibri" w:cs="Arial"/>
              <w:kern w:val="0"/>
              <w:sz w:val="24"/>
              <w:szCs w:val="24"/>
              <w:lang w:val="pt-BR" w:eastAsia="en-US" w:bidi="ar-SA"/>
            </w:rPr>
            <w:fldChar w:fldCharType="separate"/>
          </w:r>
          <w:r>
            <w:rPr>
              <w:rFonts w:ascii="Arial" w:hAnsi="Arial" w:eastAsia="Calibri" w:cs="Arial"/>
              <w:kern w:val="0"/>
              <w:sz w:val="24"/>
              <w:szCs w:val="24"/>
              <w:lang w:val="pt-BR" w:eastAsia="en-US" w:bidi="ar-SA"/>
            </w:rPr>
            <w:t>1</w:t>
          </w:r>
          <w:r>
            <w:rPr>
              <w:rFonts w:ascii="Arial" w:hAnsi="Arial" w:eastAsia="Calibri" w:cs="Arial"/>
              <w:kern w:val="0"/>
              <w:sz w:val="24"/>
              <w:szCs w:val="24"/>
              <w:lang w:val="pt-BR" w:eastAsia="en-US" w:bidi="ar-SA"/>
            </w:rPr>
            <w:fldChar w:fldCharType="end"/>
          </w:r>
          <w:r>
            <w:rPr>
              <w:rFonts w:ascii="Arial" w:hAnsi="Arial" w:eastAsia="Calibri" w:cs="Arial"/>
              <w:kern w:val="0"/>
              <w:sz w:val="24"/>
              <w:szCs w:val="24"/>
              <w:lang w:val="pt-BR" w:eastAsia="en-US" w:bidi="ar-SA"/>
            </w:rPr>
            <w:t xml:space="preserve"> de </w:t>
          </w:r>
          <w:r>
            <w:rPr>
              <w:rFonts w:ascii="Arial" w:hAnsi="Arial" w:eastAsia="Calibri" w:cs="Arial"/>
              <w:kern w:val="0"/>
              <w:sz w:val="24"/>
              <w:szCs w:val="24"/>
              <w:lang w:val="pt-BR" w:eastAsia="en-US" w:bidi="ar-SA"/>
            </w:rPr>
            <w:fldChar w:fldCharType="begin"/>
          </w:r>
          <w:r>
            <w:rPr>
              <w:rFonts w:ascii="Arial" w:hAnsi="Arial" w:eastAsia="Calibri" w:cs="Arial"/>
              <w:kern w:val="0"/>
              <w:sz w:val="24"/>
              <w:szCs w:val="24"/>
              <w:lang w:val="pt-BR" w:eastAsia="en-US" w:bidi="ar-SA"/>
            </w:rPr>
            <w:instrText xml:space="preserve"> NUMPAGES </w:instrText>
          </w:r>
          <w:r>
            <w:rPr>
              <w:rFonts w:ascii="Arial" w:hAnsi="Arial" w:eastAsia="Calibri" w:cs="Arial"/>
              <w:kern w:val="0"/>
              <w:sz w:val="24"/>
              <w:szCs w:val="24"/>
              <w:lang w:val="pt-BR" w:eastAsia="en-US" w:bidi="ar-SA"/>
            </w:rPr>
            <w:fldChar w:fldCharType="separate"/>
          </w:r>
          <w:r>
            <w:rPr>
              <w:rFonts w:ascii="Arial" w:hAnsi="Arial" w:eastAsia="Calibri" w:cs="Arial"/>
              <w:kern w:val="0"/>
              <w:sz w:val="24"/>
              <w:szCs w:val="24"/>
              <w:lang w:val="pt-BR" w:eastAsia="en-US" w:bidi="ar-SA"/>
            </w:rPr>
            <w:t>66</w:t>
          </w:r>
          <w:r>
            <w:rPr>
              <w:rFonts w:ascii="Arial" w:hAnsi="Arial" w:eastAsia="Calibri" w:cs="Arial"/>
              <w:kern w:val="0"/>
              <w:sz w:val="24"/>
              <w:szCs w:val="24"/>
              <w:lang w:val="pt-BR" w:eastAsia="en-US" w:bidi="ar-SA"/>
            </w:rPr>
            <w:fldChar w:fldCharType="end"/>
          </w:r>
          <w:r>
            <w:rPr>
              <w:rFonts w:ascii="Arial" w:hAnsi="Arial" w:eastAsia="Calibri" w:cs="Arial"/>
              <w:kern w:val="0"/>
              <w:sz w:val="24"/>
              <w:szCs w:val="24"/>
              <w:lang w:val="pt-BR" w:eastAsia="en-US" w:bidi="ar-SA"/>
            </w:rPr>
            <w:t xml:space="preserve"> do Edital do Pregão nº </w:t>
          </w:r>
          <w:r>
            <w:rPr>
              <w:rFonts w:ascii="Arial" w:hAnsi="Arial" w:cs="Arial" w:eastAsiaTheme="minorHAnsi"/>
              <w:kern w:val="0"/>
              <w:sz w:val="24"/>
              <w:szCs w:val="24"/>
              <w:shd w:val="clear" w:fill="auto"/>
              <w:lang w:val="pt-BR" w:eastAsia="en-US" w:bidi="ar-SA"/>
            </w:rPr>
            <w:t>00</w:t>
          </w:r>
          <w:r>
            <w:rPr>
              <w:rFonts w:hint="default" w:ascii="Arial" w:hAnsi="Arial" w:cs="Arial"/>
              <w:kern w:val="0"/>
              <w:sz w:val="24"/>
              <w:szCs w:val="24"/>
              <w:shd w:val="clear" w:fill="auto"/>
              <w:lang w:val="pt-BR" w:eastAsia="en-US" w:bidi="ar-SA"/>
            </w:rPr>
            <w:t>6</w:t>
          </w:r>
          <w:r>
            <w:rPr>
              <w:rFonts w:ascii="Arial" w:hAnsi="Arial" w:cs="Arial" w:eastAsiaTheme="minorHAnsi"/>
              <w:kern w:val="0"/>
              <w:sz w:val="24"/>
              <w:szCs w:val="24"/>
              <w:shd w:val="clear" w:fill="auto"/>
              <w:lang w:val="pt-BR" w:eastAsia="en-US" w:bidi="ar-SA"/>
            </w:rPr>
            <w:t xml:space="preserve">, </w:t>
          </w:r>
          <w:r>
            <w:rPr>
              <w:rFonts w:ascii="Arial" w:hAnsi="Arial" w:eastAsia="Calibri" w:cs="Arial"/>
              <w:kern w:val="0"/>
              <w:sz w:val="24"/>
              <w:szCs w:val="24"/>
              <w:lang w:val="pt-BR" w:eastAsia="en-US" w:bidi="ar-SA"/>
            </w:rPr>
            <w:t>de 2024)</w:t>
          </w:r>
        </w:p>
        <w:p>
          <w:pPr>
            <w:widowControl/>
            <w:suppressAutoHyphens/>
            <w:spacing w:before="0" w:after="0" w:line="240" w:lineRule="auto"/>
            <w:jc w:val="center"/>
            <w:rPr>
              <w:rFonts w:ascii="Times New Roman" w:hAnsi="Times New Roman" w:cs="Times New Roman"/>
              <w:sz w:val="24"/>
              <w:szCs w:val="24"/>
            </w:rPr>
          </w:pPr>
        </w:p>
      </w:tc>
    </w:tr>
  </w:tbl>
  <w:p>
    <w:pPr>
      <w:spacing w:before="0" w:after="2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2"/>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8"/>
      <w:gridCol w:w="6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8" w:type="dxa"/>
          <w:tcBorders>
            <w:top w:val="nil"/>
            <w:left w:val="nil"/>
            <w:bottom w:val="nil"/>
            <w:right w:val="nil"/>
          </w:tcBorders>
        </w:tcPr>
        <w:p>
          <w:pPr>
            <w:widowControl/>
            <w:suppressAutoHyphens/>
            <w:spacing w:before="0" w:after="0" w:line="240" w:lineRule="auto"/>
            <w:jc w:val="center"/>
            <w:rPr>
              <w:rFonts w:ascii="Times New Roman" w:hAnsi="Times New Roman" w:cs="Times New Roman"/>
              <w:sz w:val="24"/>
              <w:szCs w:val="24"/>
            </w:rPr>
          </w:pPr>
          <w:r>
            <w:drawing>
              <wp:inline distT="0" distB="0" distL="0" distR="0">
                <wp:extent cx="1612900" cy="596900"/>
                <wp:effectExtent l="0" t="0" r="0" b="0"/>
                <wp:docPr id="1" name="_x005F_x0000_s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s2050"/>
                        <pic:cNvPicPr>
                          <a:picLocks noChangeAspect="1" noChangeArrowheads="1"/>
                        </pic:cNvPicPr>
                      </pic:nvPicPr>
                      <pic:blipFill>
                        <a:blip r:embed="rId1"/>
                        <a:stretch>
                          <a:fillRect/>
                        </a:stretch>
                      </pic:blipFill>
                      <pic:spPr>
                        <a:xfrm>
                          <a:off x="0" y="0"/>
                          <a:ext cx="1612900" cy="596900"/>
                        </a:xfrm>
                        <a:prstGeom prst="rect">
                          <a:avLst/>
                        </a:prstGeom>
                      </pic:spPr>
                    </pic:pic>
                  </a:graphicData>
                </a:graphic>
              </wp:inline>
            </w:drawing>
          </w:r>
        </w:p>
      </w:tc>
      <w:tc>
        <w:tcPr>
          <w:tcW w:w="6308" w:type="dxa"/>
          <w:tcBorders>
            <w:top w:val="nil"/>
            <w:left w:val="nil"/>
            <w:bottom w:val="nil"/>
            <w:right w:val="nil"/>
          </w:tcBorders>
          <w:shd w:val="clear" w:color="auto" w:fill="DDDDDD"/>
        </w:tcPr>
        <w:p>
          <w:pPr>
            <w:widowControl/>
            <w:suppressAutoHyphens/>
            <w:spacing w:before="0" w:after="0" w:line="240" w:lineRule="auto"/>
            <w:jc w:val="right"/>
            <w:rPr>
              <w:rFonts w:ascii="Times New Roman" w:hAnsi="Times New Roman" w:eastAsia="Calibri"/>
              <w:kern w:val="0"/>
              <w:sz w:val="22"/>
              <w:szCs w:val="22"/>
              <w:lang w:val="pt-BR" w:eastAsia="en-US" w:bidi="ar-SA"/>
            </w:rPr>
          </w:pPr>
          <w:r>
            <w:rPr>
              <w:rFonts w:ascii="Times New Roman" w:hAnsi="Times New Roman" w:eastAsia="Calibri" w:cs="Arial"/>
              <w:kern w:val="0"/>
              <w:sz w:val="24"/>
              <w:szCs w:val="24"/>
              <w:lang w:val="pt-BR" w:eastAsia="en-US" w:bidi="ar-SA"/>
            </w:rPr>
            <w:t xml:space="preserve">(Fl. </w:t>
          </w:r>
          <w:r>
            <w:rPr>
              <w:rFonts w:ascii="Times New Roman" w:hAnsi="Times New Roman" w:eastAsia="Calibri" w:cs="Arial"/>
              <w:kern w:val="0"/>
              <w:sz w:val="24"/>
              <w:szCs w:val="24"/>
              <w:lang w:val="pt-BR" w:eastAsia="en-US" w:bidi="ar-SA"/>
            </w:rPr>
            <w:fldChar w:fldCharType="begin"/>
          </w:r>
          <w:r>
            <w:rPr>
              <w:rFonts w:ascii="Times New Roman" w:hAnsi="Times New Roman" w:eastAsia="Calibri" w:cs="Arial"/>
              <w:kern w:val="0"/>
              <w:sz w:val="24"/>
              <w:szCs w:val="24"/>
              <w:lang w:val="pt-BR" w:eastAsia="en-US" w:bidi="ar-SA"/>
            </w:rPr>
            <w:instrText xml:space="preserve"> PAGE </w:instrText>
          </w:r>
          <w:r>
            <w:rPr>
              <w:rFonts w:ascii="Times New Roman" w:hAnsi="Times New Roman" w:eastAsia="Calibri" w:cs="Arial"/>
              <w:kern w:val="0"/>
              <w:sz w:val="24"/>
              <w:szCs w:val="24"/>
              <w:lang w:val="pt-BR" w:eastAsia="en-US" w:bidi="ar-SA"/>
            </w:rPr>
            <w:fldChar w:fldCharType="separate"/>
          </w:r>
          <w:r>
            <w:rPr>
              <w:rFonts w:ascii="Times New Roman" w:hAnsi="Times New Roman" w:eastAsia="Calibri" w:cs="Arial"/>
              <w:kern w:val="0"/>
              <w:sz w:val="24"/>
              <w:szCs w:val="24"/>
              <w:lang w:val="pt-BR" w:eastAsia="en-US" w:bidi="ar-SA"/>
            </w:rPr>
            <w:t>66</w:t>
          </w:r>
          <w:r>
            <w:rPr>
              <w:rFonts w:ascii="Times New Roman" w:hAnsi="Times New Roman" w:eastAsia="Calibri" w:cs="Arial"/>
              <w:kern w:val="0"/>
              <w:sz w:val="24"/>
              <w:szCs w:val="24"/>
              <w:lang w:val="pt-BR" w:eastAsia="en-US" w:bidi="ar-SA"/>
            </w:rPr>
            <w:fldChar w:fldCharType="end"/>
          </w:r>
          <w:r>
            <w:rPr>
              <w:rFonts w:ascii="Times New Roman" w:hAnsi="Times New Roman" w:eastAsia="Calibri" w:cs="Arial"/>
              <w:kern w:val="0"/>
              <w:sz w:val="24"/>
              <w:szCs w:val="24"/>
              <w:lang w:val="pt-BR" w:eastAsia="en-US" w:bidi="ar-SA"/>
            </w:rPr>
            <w:t xml:space="preserve"> de </w:t>
          </w:r>
          <w:r>
            <w:rPr>
              <w:rFonts w:ascii="Times New Roman" w:hAnsi="Times New Roman" w:eastAsia="Calibri" w:cs="Arial"/>
              <w:kern w:val="0"/>
              <w:sz w:val="24"/>
              <w:szCs w:val="24"/>
              <w:lang w:val="pt-BR" w:eastAsia="en-US" w:bidi="ar-SA"/>
            </w:rPr>
            <w:fldChar w:fldCharType="begin"/>
          </w:r>
          <w:r>
            <w:rPr>
              <w:rFonts w:ascii="Times New Roman" w:hAnsi="Times New Roman" w:eastAsia="Calibri" w:cs="Arial"/>
              <w:kern w:val="0"/>
              <w:sz w:val="24"/>
              <w:szCs w:val="24"/>
              <w:lang w:val="pt-BR" w:eastAsia="en-US" w:bidi="ar-SA"/>
            </w:rPr>
            <w:instrText xml:space="preserve"> NUMPAGES </w:instrText>
          </w:r>
          <w:r>
            <w:rPr>
              <w:rFonts w:ascii="Times New Roman" w:hAnsi="Times New Roman" w:eastAsia="Calibri" w:cs="Arial"/>
              <w:kern w:val="0"/>
              <w:sz w:val="24"/>
              <w:szCs w:val="24"/>
              <w:lang w:val="pt-BR" w:eastAsia="en-US" w:bidi="ar-SA"/>
            </w:rPr>
            <w:fldChar w:fldCharType="separate"/>
          </w:r>
          <w:r>
            <w:rPr>
              <w:rFonts w:ascii="Times New Roman" w:hAnsi="Times New Roman" w:eastAsia="Calibri" w:cs="Arial"/>
              <w:kern w:val="0"/>
              <w:sz w:val="24"/>
              <w:szCs w:val="24"/>
              <w:lang w:val="pt-BR" w:eastAsia="en-US" w:bidi="ar-SA"/>
            </w:rPr>
            <w:t>66</w:t>
          </w:r>
          <w:r>
            <w:rPr>
              <w:rFonts w:ascii="Times New Roman" w:hAnsi="Times New Roman" w:eastAsia="Calibri" w:cs="Arial"/>
              <w:kern w:val="0"/>
              <w:sz w:val="24"/>
              <w:szCs w:val="24"/>
              <w:lang w:val="pt-BR" w:eastAsia="en-US" w:bidi="ar-SA"/>
            </w:rPr>
            <w:fldChar w:fldCharType="end"/>
          </w:r>
          <w:r>
            <w:rPr>
              <w:rFonts w:ascii="Times New Roman" w:hAnsi="Times New Roman" w:eastAsia="Calibri" w:cs="Arial"/>
              <w:kern w:val="0"/>
              <w:sz w:val="24"/>
              <w:szCs w:val="24"/>
              <w:lang w:val="pt-BR" w:eastAsia="en-US" w:bidi="ar-SA"/>
            </w:rPr>
            <w:t xml:space="preserve"> do Edital do Pregão Eletrônico n</w:t>
          </w:r>
          <w:r>
            <w:rPr>
              <w:rFonts w:ascii="Times New Roman" w:hAnsi="Times New Roman" w:eastAsia="Calibri" w:cs="Arial"/>
              <w:color w:val="auto"/>
              <w:kern w:val="0"/>
              <w:sz w:val="24"/>
              <w:szCs w:val="24"/>
              <w:lang w:val="pt-BR" w:eastAsia="en-US" w:bidi="ar-SA"/>
            </w:rPr>
            <w:t xml:space="preserve">º </w:t>
          </w:r>
          <w:r>
            <w:rPr>
              <w:rFonts w:ascii="Times New Roman" w:hAnsi="Times New Roman" w:cs="Arial" w:eastAsiaTheme="minorHAnsi"/>
              <w:color w:val="000000"/>
              <w:kern w:val="0"/>
              <w:sz w:val="24"/>
              <w:szCs w:val="24"/>
              <w:shd w:val="clear" w:fill="auto"/>
              <w:lang w:val="pt-BR" w:eastAsia="en-US" w:bidi="ar-SA"/>
            </w:rPr>
            <w:t>00</w:t>
          </w:r>
          <w:r>
            <w:rPr>
              <w:rFonts w:hint="default" w:ascii="Times New Roman" w:hAnsi="Times New Roman" w:cs="Arial"/>
              <w:color w:val="000000"/>
              <w:kern w:val="0"/>
              <w:sz w:val="24"/>
              <w:szCs w:val="24"/>
              <w:shd w:val="clear" w:fill="auto"/>
              <w:lang w:val="pt-BR" w:eastAsia="en-US" w:bidi="ar-SA"/>
            </w:rPr>
            <w:t>6</w:t>
          </w:r>
          <w:r>
            <w:rPr>
              <w:rFonts w:ascii="Times New Roman" w:hAnsi="Times New Roman" w:cs="Arial"/>
              <w:color w:val="000000"/>
              <w:kern w:val="0"/>
              <w:sz w:val="24"/>
              <w:szCs w:val="24"/>
              <w:shd w:val="clear" w:fill="auto"/>
              <w:lang w:val="pt-BR" w:eastAsia="en-US" w:bidi="ar-SA"/>
            </w:rPr>
            <w:t>/</w:t>
          </w:r>
          <w:r>
            <w:rPr>
              <w:rFonts w:ascii="Times New Roman" w:hAnsi="Times New Roman" w:eastAsia="Calibri" w:cs="Arial"/>
              <w:kern w:val="0"/>
              <w:sz w:val="24"/>
              <w:szCs w:val="24"/>
              <w:lang w:val="pt-BR" w:eastAsia="en-US" w:bidi="ar-SA"/>
            </w:rPr>
            <w:t>2024)</w:t>
          </w:r>
        </w:p>
        <w:p>
          <w:pPr>
            <w:widowControl/>
            <w:suppressAutoHyphens/>
            <w:spacing w:before="0" w:after="0" w:line="240" w:lineRule="auto"/>
            <w:jc w:val="center"/>
            <w:rPr>
              <w:rFonts w:ascii="Times New Roman" w:hAnsi="Times New Roman" w:cs="Times New Roman"/>
              <w:sz w:val="24"/>
              <w:szCs w:val="24"/>
            </w:rPr>
          </w:pPr>
        </w:p>
      </w:tc>
    </w:tr>
  </w:tbl>
  <w:p>
    <w:pPr>
      <w:spacing w:before="0" w:after="0" w:line="240" w:lineRule="auto"/>
      <w:jc w:val="both"/>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
    <w:nsid w:val="B5E306ED"/>
    <w:multiLevelType w:val="multilevel"/>
    <w:tmpl w:val="B5E306ED"/>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2">
    <w:nsid w:val="BF205925"/>
    <w:multiLevelType w:val="multilevel"/>
    <w:tmpl w:val="BF205925"/>
    <w:lvl w:ilvl="0" w:tentative="0">
      <w:start w:val="1"/>
      <w:numFmt w:val="bullet"/>
      <w:pStyle w:val="99"/>
      <w:lvlText w:val=""/>
      <w:lvlJc w:val="left"/>
      <w:pPr>
        <w:tabs>
          <w:tab w:val="left" w:pos="720"/>
        </w:tabs>
        <w:ind w:left="720" w:hanging="360"/>
      </w:pPr>
      <w:rPr>
        <w:rFonts w:hint="default" w:ascii="Symbol" w:hAnsi="Symbol" w:cs="Symbol"/>
        <w:sz w:val="20"/>
      </w:rPr>
    </w:lvl>
    <w:lvl w:ilvl="1" w:tentative="0">
      <w:start w:val="1"/>
      <w:numFmt w:val="bullet"/>
      <w:pStyle w:val="67"/>
      <w:lvlText w:val=""/>
      <w:lvlJc w:val="left"/>
      <w:pPr>
        <w:tabs>
          <w:tab w:val="left" w:pos="1440"/>
        </w:tabs>
        <w:ind w:left="1440" w:hanging="360"/>
      </w:pPr>
      <w:rPr>
        <w:rFonts w:hint="default" w:ascii="Symbol" w:hAnsi="Symbol" w:cs="Symbol"/>
        <w:sz w:val="20"/>
      </w:rPr>
    </w:lvl>
    <w:lvl w:ilvl="2" w:tentative="0">
      <w:start w:val="1"/>
      <w:numFmt w:val="bullet"/>
      <w:pStyle w:val="75"/>
      <w:lvlText w:val=""/>
      <w:lvlJc w:val="left"/>
      <w:pPr>
        <w:tabs>
          <w:tab w:val="left" w:pos="2160"/>
        </w:tabs>
        <w:ind w:left="2160" w:hanging="360"/>
      </w:pPr>
      <w:rPr>
        <w:rFonts w:hint="default" w:ascii="Symbol" w:hAnsi="Symbol" w:cs="Symbol"/>
        <w:sz w:val="20"/>
      </w:rPr>
    </w:lvl>
    <w:lvl w:ilvl="3" w:tentative="0">
      <w:start w:val="1"/>
      <w:numFmt w:val="bullet"/>
      <w:pStyle w:val="120"/>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C8879AEF"/>
    <w:multiLevelType w:val="multilevel"/>
    <w:tmpl w:val="C8879AEF"/>
    <w:lvl w:ilvl="0" w:tentative="0">
      <w:start w:val="1"/>
      <w:numFmt w:val="decimal"/>
      <w:lvlText w:val="%1."/>
      <w:lvlJc w:val="left"/>
      <w:pPr>
        <w:tabs>
          <w:tab w:val="left" w:pos="0"/>
        </w:tabs>
        <w:ind w:left="360" w:hanging="360"/>
      </w:pPr>
      <w:rPr>
        <w:b/>
        <w:bCs/>
        <w:color w:val="auto"/>
      </w:rPr>
    </w:lvl>
    <w:lvl w:ilvl="1" w:tentative="0">
      <w:start w:val="1"/>
      <w:numFmt w:val="decimal"/>
      <w:lvlText w:val="%1.%2."/>
      <w:lvlJc w:val="left"/>
      <w:pPr>
        <w:tabs>
          <w:tab w:val="left" w:pos="0"/>
        </w:tabs>
        <w:ind w:left="792" w:hanging="432"/>
      </w:pPr>
      <w:rPr>
        <w:i w:val="0"/>
        <w:iCs w:val="0"/>
      </w:rPr>
    </w:lvl>
    <w:lvl w:ilvl="2" w:tentative="0">
      <w:start w:val="1"/>
      <w:numFmt w:val="lowerLetter"/>
      <w:lvlText w:val="%3)"/>
      <w:lvlJc w:val="left"/>
      <w:pPr>
        <w:tabs>
          <w:tab w:val="left" w:pos="0"/>
        </w:tabs>
        <w:ind w:left="1080" w:hanging="360"/>
      </w:pPr>
    </w:lvl>
    <w:lvl w:ilvl="3" w:tentative="0">
      <w:start w:val="1"/>
      <w:numFmt w:val="decimal"/>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4">
    <w:nsid w:val="CF092B84"/>
    <w:multiLevelType w:val="multilevel"/>
    <w:tmpl w:val="CF092B84"/>
    <w:lvl w:ilvl="0" w:tentative="0">
      <w:start w:val="1"/>
      <w:numFmt w:val="bullet"/>
      <w:pStyle w:val="27"/>
      <w:lvlText w:val=""/>
      <w:lvlJc w:val="left"/>
      <w:pPr>
        <w:tabs>
          <w:tab w:val="left" w:pos="1492"/>
        </w:tabs>
        <w:ind w:left="1492"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5">
    <w:nsid w:val="00000002"/>
    <w:multiLevelType w:val="multilevel"/>
    <w:tmpl w:val="00000002"/>
    <w:lvl w:ilvl="0" w:tentative="0">
      <w:start w:val="1"/>
      <w:numFmt w:val="decimal"/>
      <w:lvlText w:val="%1."/>
      <w:lvlJc w:val="left"/>
      <w:pPr>
        <w:tabs>
          <w:tab w:val="left" w:pos="0"/>
        </w:tabs>
        <w:ind w:left="540" w:hanging="540"/>
      </w:pPr>
      <w:rPr>
        <w:rFonts w:eastAsia="Times New Roman"/>
        <w:b/>
        <w:bCs/>
        <w:sz w:val="24"/>
        <w:szCs w:val="24"/>
        <w:lang w:eastAsia="en-US"/>
      </w:rPr>
    </w:lvl>
    <w:lvl w:ilvl="1" w:tentative="0">
      <w:start w:val="1"/>
      <w:numFmt w:val="decimal"/>
      <w:lvlText w:val="%1.%2."/>
      <w:lvlJc w:val="left"/>
      <w:pPr>
        <w:tabs>
          <w:tab w:val="left" w:pos="0"/>
        </w:tabs>
        <w:ind w:left="780" w:hanging="720"/>
      </w:pPr>
    </w:lvl>
    <w:lvl w:ilvl="2" w:tentative="0">
      <w:start w:val="1"/>
      <w:numFmt w:val="decimal"/>
      <w:lvlText w:val="%1.%2.%3."/>
      <w:lvlJc w:val="left"/>
      <w:pPr>
        <w:tabs>
          <w:tab w:val="left" w:pos="0"/>
        </w:tabs>
        <w:ind w:left="840" w:hanging="720"/>
      </w:pPr>
    </w:lvl>
    <w:lvl w:ilvl="3" w:tentative="0">
      <w:start w:val="1"/>
      <w:numFmt w:val="decimal"/>
      <w:lvlText w:val="%1.%2.%3.%4."/>
      <w:lvlJc w:val="left"/>
      <w:pPr>
        <w:tabs>
          <w:tab w:val="left" w:pos="0"/>
        </w:tabs>
        <w:ind w:left="1260" w:hanging="1080"/>
      </w:pPr>
    </w:lvl>
    <w:lvl w:ilvl="4" w:tentative="0">
      <w:start w:val="1"/>
      <w:numFmt w:val="decimal"/>
      <w:lvlText w:val="%1.%2.%3.%4.%5."/>
      <w:lvlJc w:val="left"/>
      <w:pPr>
        <w:tabs>
          <w:tab w:val="left" w:pos="0"/>
        </w:tabs>
        <w:ind w:left="1320" w:hanging="1080"/>
      </w:pPr>
    </w:lvl>
    <w:lvl w:ilvl="5" w:tentative="0">
      <w:start w:val="1"/>
      <w:numFmt w:val="decimal"/>
      <w:lvlText w:val="%1.%2.%3.%4.%5.%6."/>
      <w:lvlJc w:val="left"/>
      <w:pPr>
        <w:tabs>
          <w:tab w:val="left" w:pos="0"/>
        </w:tabs>
        <w:ind w:left="1740" w:hanging="1440"/>
      </w:pPr>
    </w:lvl>
    <w:lvl w:ilvl="6" w:tentative="0">
      <w:start w:val="1"/>
      <w:numFmt w:val="decimal"/>
      <w:lvlText w:val="%1.%2.%3.%4.%5.%6.%7."/>
      <w:lvlJc w:val="left"/>
      <w:pPr>
        <w:tabs>
          <w:tab w:val="left" w:pos="0"/>
        </w:tabs>
        <w:ind w:left="1800" w:hanging="1440"/>
      </w:pPr>
    </w:lvl>
    <w:lvl w:ilvl="7" w:tentative="0">
      <w:start w:val="1"/>
      <w:numFmt w:val="decimal"/>
      <w:lvlText w:val="%1.%2.%3.%4.%5.%6.%7.%8."/>
      <w:lvlJc w:val="left"/>
      <w:pPr>
        <w:tabs>
          <w:tab w:val="left" w:pos="0"/>
        </w:tabs>
        <w:ind w:left="2220" w:hanging="1800"/>
      </w:pPr>
    </w:lvl>
    <w:lvl w:ilvl="8" w:tentative="0">
      <w:start w:val="1"/>
      <w:numFmt w:val="decimal"/>
      <w:lvlText w:val="%1.%2.%3.%4.%5.%6.%7.%8.%9."/>
      <w:lvlJc w:val="left"/>
      <w:pPr>
        <w:tabs>
          <w:tab w:val="left" w:pos="0"/>
        </w:tabs>
        <w:ind w:left="2640" w:hanging="2160"/>
      </w:pPr>
    </w:lvl>
  </w:abstractNum>
  <w:abstractNum w:abstractNumId="6">
    <w:nsid w:val="0053208E"/>
    <w:multiLevelType w:val="multilevel"/>
    <w:tmpl w:val="0053208E"/>
    <w:lvl w:ilvl="0" w:tentative="0">
      <w:start w:val="1"/>
      <w:numFmt w:val="decimal"/>
      <w:pStyle w:val="2"/>
      <w:lvlText w:val="%1."/>
      <w:lvlJc w:val="left"/>
      <w:pPr>
        <w:tabs>
          <w:tab w:val="left" w:pos="0"/>
        </w:tabs>
        <w:ind w:left="360" w:hanging="360"/>
      </w:pPr>
      <w:rPr>
        <w:rFonts w:hint="default"/>
      </w:rPr>
    </w:lvl>
    <w:lvl w:ilvl="1" w:tentative="0">
      <w:start w:val="1"/>
      <w:numFmt w:val="decimal"/>
      <w:lvlText w:val="%1.%2."/>
      <w:lvlJc w:val="left"/>
      <w:pPr>
        <w:tabs>
          <w:tab w:val="left" w:pos="0"/>
        </w:tabs>
        <w:ind w:left="792" w:hanging="432"/>
      </w:pPr>
      <w:rPr>
        <w:rFonts w:ascii="Times New Roman" w:hAnsi="Times New Roman"/>
        <w:b/>
        <w:bCs/>
        <w:i w:val="0"/>
        <w:iCs w:val="0"/>
      </w:rPr>
    </w:lvl>
    <w:lvl w:ilvl="2" w:tentative="0">
      <w:start w:val="1"/>
      <w:numFmt w:val="lowerLetter"/>
      <w:lvlText w:val="%3)"/>
      <w:lvlJc w:val="left"/>
      <w:pPr>
        <w:tabs>
          <w:tab w:val="left" w:pos="0"/>
        </w:tabs>
        <w:ind w:left="1080" w:hanging="360"/>
      </w:pPr>
      <w:rPr>
        <w:rFonts w:ascii="Times New Roman" w:hAnsi="Times New Roman" w:cs="Times New Roman"/>
        <w:color w:val="auto"/>
      </w:r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7">
    <w:nsid w:val="0248C179"/>
    <w:multiLevelType w:val="multilevel"/>
    <w:tmpl w:val="0248C179"/>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8">
    <w:nsid w:val="03D62ECE"/>
    <w:multiLevelType w:val="multilevel"/>
    <w:tmpl w:val="03D62ECE"/>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9">
    <w:nsid w:val="063F5B90"/>
    <w:multiLevelType w:val="multilevel"/>
    <w:tmpl w:val="063F5B90"/>
    <w:lvl w:ilvl="0" w:tentative="0">
      <w:start w:val="1"/>
      <w:numFmt w:val="decimal"/>
      <w:lvlText w:val="%1."/>
      <w:lvlJc w:val="left"/>
      <w:pPr>
        <w:ind w:left="360" w:hanging="360"/>
      </w:pPr>
      <w:rPr>
        <w:b/>
        <w:bCs/>
      </w:rPr>
    </w:lvl>
    <w:lvl w:ilvl="1" w:tentative="0">
      <w:start w:val="1"/>
      <w:numFmt w:val="decimal"/>
      <w:lvlText w:val="%1.%2."/>
      <w:lvlJc w:val="left"/>
      <w:pPr>
        <w:ind w:left="792" w:hanging="432"/>
      </w:pPr>
      <w:rPr>
        <w:rFonts w:hint="default"/>
        <w:b/>
        <w:bCs/>
        <w:i w:val="0"/>
        <w:iCs w:val="0"/>
      </w:rPr>
    </w:lvl>
    <w:lvl w:ilvl="2" w:tentative="0">
      <w:start w:val="1"/>
      <w:numFmt w:val="lowerLetter"/>
      <w:lvlText w:val="%3)"/>
      <w:lvlJc w:val="left"/>
      <w:pPr>
        <w:ind w:left="1080" w:hanging="360"/>
      </w:pPr>
      <w:rPr>
        <w:rFonts w:hint="default" w:ascii="Times New Roman" w:hAnsi="Times New Roman" w:cs="Times New Roman"/>
        <w:color w:val="auto"/>
      </w:rPr>
    </w:lvl>
    <w:lvl w:ilvl="3" w:tentative="0">
      <w:start w:val="1"/>
      <w:numFmt w:val="lowerRoman"/>
      <w:lvlText w:val="%4."/>
      <w:lvlJc w:val="right"/>
      <w:pPr>
        <w:ind w:left="1440" w:hanging="360"/>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0">
    <w:nsid w:val="25B654F3"/>
    <w:multiLevelType w:val="multilevel"/>
    <w:tmpl w:val="25B654F3"/>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1">
    <w:nsid w:val="59ADCABA"/>
    <w:multiLevelType w:val="multilevel"/>
    <w:tmpl w:val="59ADCABA"/>
    <w:lvl w:ilvl="0" w:tentative="0">
      <w:start w:val="1"/>
      <w:numFmt w:val="decimal"/>
      <w:pStyle w:val="97"/>
      <w:lvlText w:val="%1."/>
      <w:lvlJc w:val="left"/>
      <w:pPr>
        <w:tabs>
          <w:tab w:val="left" w:pos="0"/>
        </w:tabs>
        <w:ind w:left="360" w:hanging="360"/>
      </w:pPr>
      <w:rPr>
        <w:b/>
        <w:color w:val="auto"/>
      </w:rPr>
    </w:lvl>
    <w:lvl w:ilvl="1" w:tentative="0">
      <w:start w:val="1"/>
      <w:numFmt w:val="decimal"/>
      <w:pStyle w:val="65"/>
      <w:lvlText w:val="%1.%2."/>
      <w:lvlJc w:val="left"/>
      <w:pPr>
        <w:tabs>
          <w:tab w:val="left" w:pos="0"/>
        </w:tabs>
        <w:ind w:left="1283" w:hanging="432"/>
      </w:pPr>
      <w:rPr>
        <w:sz w:val="20"/>
        <w:szCs w:val="20"/>
      </w:rPr>
    </w:lvl>
    <w:lvl w:ilvl="2" w:tentative="0">
      <w:start w:val="1"/>
      <w:numFmt w:val="decimal"/>
      <w:pStyle w:val="71"/>
      <w:lvlText w:val="%1.%2.%3."/>
      <w:lvlJc w:val="left"/>
      <w:pPr>
        <w:tabs>
          <w:tab w:val="left" w:pos="0"/>
        </w:tabs>
        <w:ind w:left="1497" w:hanging="504"/>
      </w:pPr>
    </w:lvl>
    <w:lvl w:ilvl="3" w:tentative="0">
      <w:start w:val="1"/>
      <w:numFmt w:val="decimal"/>
      <w:pStyle w:val="77"/>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2">
    <w:nsid w:val="5A241D34"/>
    <w:multiLevelType w:val="multilevel"/>
    <w:tmpl w:val="5A241D34"/>
    <w:lvl w:ilvl="0" w:tentative="0">
      <w:start w:val="1"/>
      <w:numFmt w:val="decimal"/>
      <w:lvlText w:val="%1."/>
      <w:lvlJc w:val="left"/>
      <w:pPr>
        <w:tabs>
          <w:tab w:val="left" w:pos="0"/>
        </w:tabs>
        <w:ind w:left="360" w:hanging="360"/>
      </w:pPr>
    </w:lvl>
    <w:lvl w:ilvl="1" w:tentative="0">
      <w:start w:val="1"/>
      <w:numFmt w:val="decimal"/>
      <w:lvlText w:val="%1.%2."/>
      <w:lvlJc w:val="left"/>
      <w:pPr>
        <w:tabs>
          <w:tab w:val="left" w:pos="0"/>
        </w:tabs>
        <w:ind w:left="792" w:hanging="432"/>
      </w:pPr>
      <w:rPr>
        <w:b/>
        <w:bCs/>
      </w:rPr>
    </w:lvl>
    <w:lvl w:ilvl="2" w:tentative="0">
      <w:start w:val="1"/>
      <w:numFmt w:val="lowerLetter"/>
      <w:lvlText w:val="%3)"/>
      <w:lvlJc w:val="left"/>
      <w:pPr>
        <w:tabs>
          <w:tab w:val="left" w:pos="0"/>
        </w:tabs>
        <w:ind w:left="1080" w:hanging="360"/>
      </w:pPr>
    </w:lvl>
    <w:lvl w:ilvl="3" w:tentative="0">
      <w:start w:val="1"/>
      <w:numFmt w:val="decimal"/>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3">
    <w:nsid w:val="72183CF9"/>
    <w:multiLevelType w:val="multilevel"/>
    <w:tmpl w:val="72183CF9"/>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num w:numId="1">
    <w:abstractNumId w:val="6"/>
  </w:num>
  <w:num w:numId="2">
    <w:abstractNumId w:val="4"/>
  </w:num>
  <w:num w:numId="3">
    <w:abstractNumId w:val="11"/>
  </w:num>
  <w:num w:numId="4">
    <w:abstractNumId w:val="2"/>
  </w:num>
  <w:num w:numId="5">
    <w:abstractNumId w:val="1"/>
  </w:num>
  <w:num w:numId="6">
    <w:abstractNumId w:val="8"/>
  </w:num>
  <w:num w:numId="7">
    <w:abstractNumId w:val="10"/>
  </w:num>
  <w:num w:numId="8">
    <w:abstractNumId w:val="13"/>
  </w:num>
  <w:num w:numId="9">
    <w:abstractNumId w:val="7"/>
  </w:num>
  <w:num w:numId="10">
    <w:abstractNumId w:val="0"/>
  </w:num>
  <w:num w:numId="11">
    <w:abstractNumId w:val="5"/>
  </w:num>
  <w:num w:numId="12">
    <w:abstractNumId w:val="12"/>
  </w:num>
  <w:num w:numId="13">
    <w:abstractNumId w:val="3"/>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6"/>
    <w:lvlOverride w:ilvl="0">
      <w:startOverride w:val="1"/>
    </w:lvlOverride>
    <w:lvlOverride w:ilvl="1">
      <w:startOverride w:val="1"/>
    </w:lvlOverride>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autoHyphenation/>
  <w:footnotePr>
    <w:footnote w:id="2"/>
    <w:footnote w:id="3"/>
  </w:footnotePr>
  <w:endnotePr>
    <w:endnote w:id="0"/>
    <w:endnote w:id="1"/>
  </w:endnotePr>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7566556"/>
    <w:rsid w:val="188F361D"/>
    <w:rsid w:val="275061E7"/>
    <w:rsid w:val="355A6B44"/>
    <w:rsid w:val="3A052C3D"/>
    <w:rsid w:val="3D306898"/>
    <w:rsid w:val="50061068"/>
    <w:rsid w:val="50E336C1"/>
    <w:rsid w:val="5C9078CF"/>
    <w:rsid w:val="5EF37D51"/>
    <w:rsid w:val="5FE64912"/>
    <w:rsid w:val="616E77B8"/>
    <w:rsid w:val="62823EBE"/>
    <w:rsid w:val="6CB06D3E"/>
    <w:rsid w:val="6D2A1A28"/>
    <w:rsid w:val="78153AC4"/>
    <w:rsid w:val="7FD25A8E"/>
  </w:rsids>
  <m:mathPr>
    <m:brkBin m:val="before"/>
    <m:brkBinSub m:val="--"/>
    <m:smallFrac m:val="0"/>
    <m:dispDef/>
    <m:lMargin m:val="0"/>
    <m:rMargin m:val="0"/>
    <m:defJc m:val="centerGroup"/>
    <m:wrapIndent m:val="1440"/>
    <m:intLim m:val="subSup"/>
    <m:naryLim m:val="undOvr"/>
  </m:mathPr>
  <w:themeFontLang w:val="pt-BR"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uiPriority="99" w:name="page number"/>
    <w:lsdException w:qFormat="1" w:unhideWhenUsed="0" w:uiPriority="0" w:semiHidden="0"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59" w:semiHidden="0" w:name="Table Grid"/>
    <w:lsdException w:uiPriority="99" w:name="Table Theme"/>
    <w:lsdException w:qFormat="1" w:unhideWhenUsed="0" w:uiPriority="67" w:name="Placeholder Text"/>
    <w:lsdException w:qFormat="1" w:unhideWhenUsed="0" w:uiPriority="0" w:semiHidden="0" w:name="No Spacing"/>
    <w:lsdException w:qFormat="1" w:unhideWhenUsed="0" w:uiPriority="34" w:semiHidden="0" w:name="List Paragraph"/>
    <w:lsdException w:qFormat="1" w:unhideWhenUsed="0" w:uiPriority="0" w:semiHidden="0" w:name="Quote"/>
  </w:latentStyles>
  <w:style w:type="paragraph" w:default="1" w:styleId="1">
    <w:name w:val="Normal"/>
    <w:qFormat/>
    <w:uiPriority w:val="0"/>
    <w:pPr>
      <w:widowControl/>
      <w:suppressAutoHyphens/>
      <w:bidi w:val="0"/>
      <w:spacing w:before="0" w:after="200" w:line="276" w:lineRule="auto"/>
      <w:jc w:val="left"/>
    </w:pPr>
    <w:rPr>
      <w:rFonts w:asciiTheme="minorHAnsi" w:hAnsiTheme="minorHAnsi" w:eastAsiaTheme="minorHAnsi" w:cstheme="minorBidi"/>
      <w:color w:val="auto"/>
      <w:kern w:val="0"/>
      <w:sz w:val="22"/>
      <w:szCs w:val="22"/>
      <w:lang w:val="pt-BR" w:eastAsia="en-US" w:bidi="ar-SA"/>
    </w:rPr>
  </w:style>
  <w:style w:type="paragraph" w:styleId="2">
    <w:name w:val="heading 1"/>
    <w:basedOn w:val="1"/>
    <w:next w:val="3"/>
    <w:qFormat/>
    <w:uiPriority w:val="9"/>
    <w:pPr>
      <w:numPr>
        <w:ilvl w:val="0"/>
        <w:numId w:val="1"/>
      </w:numPr>
      <w:pBdr>
        <w:bottom w:val="single" w:color="000000" w:sz="8" w:space="1"/>
      </w:pBdr>
      <w:shd w:val="clear" w:color="auto" w:fill="BEBEBE" w:themeFill="background1" w:themeFillShade="BF"/>
      <w:spacing w:before="360" w:beforeAutospacing="0" w:after="120" w:afterAutospacing="0"/>
      <w:jc w:val="both"/>
      <w:textAlignment w:val="baseline"/>
      <w:outlineLvl w:val="0"/>
    </w:pPr>
    <w:rPr>
      <w:b/>
      <w:bCs/>
    </w:rPr>
  </w:style>
  <w:style w:type="paragraph" w:styleId="4">
    <w:name w:val="heading 2"/>
    <w:basedOn w:val="5"/>
    <w:next w:val="3"/>
    <w:qFormat/>
    <w:uiPriority w:val="0"/>
    <w:pPr>
      <w:spacing w:beforeAutospacing="1" w:afterAutospacing="1" w:line="240" w:lineRule="auto"/>
      <w:outlineLvl w:val="1"/>
    </w:pPr>
    <w:rPr>
      <w:rFonts w:ascii="Times New Roman" w:hAnsi="Times New Roman" w:eastAsia="Times New Roman" w:cs="Times New Roman"/>
      <w:b/>
      <w:bCs/>
      <w:sz w:val="36"/>
      <w:szCs w:val="36"/>
      <w:lang w:eastAsia="pt-BR"/>
    </w:rPr>
  </w:style>
  <w:style w:type="paragraph" w:styleId="6">
    <w:name w:val="heading 3"/>
    <w:basedOn w:val="1"/>
    <w:next w:val="1"/>
    <w:semiHidden/>
    <w:unhideWhenUsed/>
    <w:qFormat/>
    <w:uiPriority w:val="9"/>
    <w:pPr>
      <w:keepNext/>
      <w:keepLines/>
      <w:spacing w:before="40" w:after="0"/>
      <w:outlineLvl w:val="2"/>
    </w:pPr>
    <w:rPr>
      <w:rFonts w:asciiTheme="majorHAnsi" w:hAnsiTheme="majorHAnsi" w:eastAsiaTheme="majorEastAsia" w:cstheme="majorBidi"/>
      <w:color w:val="243F61" w:themeColor="accent1" w:themeShade="7F"/>
      <w:sz w:val="24"/>
      <w:szCs w:val="24"/>
    </w:rPr>
  </w:style>
  <w:style w:type="paragraph" w:styleId="7">
    <w:name w:val="heading 4"/>
    <w:basedOn w:val="1"/>
    <w:next w:val="1"/>
    <w:semiHidden/>
    <w:unhideWhenUsed/>
    <w:qFormat/>
    <w:uiPriority w:val="0"/>
    <w:pPr>
      <w:keepNext/>
      <w:keepLines/>
      <w:spacing w:before="40" w:after="0" w:line="240" w:lineRule="auto"/>
      <w:outlineLvl w:val="3"/>
    </w:pPr>
    <w:rPr>
      <w:rFonts w:asciiTheme="majorHAnsi" w:hAnsiTheme="majorHAnsi" w:eastAsiaTheme="majorEastAsia" w:cstheme="majorBidi"/>
      <w:i/>
      <w:iCs/>
      <w:color w:val="366091" w:themeColor="accent1" w:themeShade="BF"/>
      <w:sz w:val="24"/>
      <w:szCs w:val="24"/>
      <w:lang w:eastAsia="pt-BR"/>
    </w:rPr>
  </w:style>
  <w:style w:type="paragraph" w:styleId="8">
    <w:name w:val="heading 6"/>
    <w:basedOn w:val="1"/>
    <w:next w:val="1"/>
    <w:semiHidden/>
    <w:unhideWhenUsed/>
    <w:qFormat/>
    <w:uiPriority w:val="9"/>
    <w:pPr>
      <w:keepNext/>
      <w:keepLines/>
      <w:spacing w:before="40" w:after="0" w:line="259" w:lineRule="auto"/>
      <w:outlineLvl w:val="5"/>
    </w:pPr>
    <w:rPr>
      <w:rFonts w:asciiTheme="majorHAnsi" w:hAnsiTheme="majorHAnsi" w:eastAsiaTheme="majorEastAsia" w:cstheme="majorBidi"/>
      <w:color w:val="243F61" w:themeColor="accent1" w:themeShade="7F"/>
    </w:rPr>
  </w:style>
  <w:style w:type="character" w:default="1" w:styleId="9">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Body Text"/>
    <w:basedOn w:val="1"/>
    <w:link w:val="81"/>
    <w:unhideWhenUsed/>
    <w:uiPriority w:val="99"/>
    <w:pPr>
      <w:spacing w:before="0" w:after="120"/>
    </w:pPr>
  </w:style>
  <w:style w:type="paragraph" w:customStyle="1" w:styleId="5">
    <w:name w:val="Heading"/>
    <w:basedOn w:val="1"/>
    <w:next w:val="3"/>
    <w:qFormat/>
    <w:uiPriority w:val="6"/>
    <w:pPr>
      <w:keepNext/>
      <w:suppressAutoHyphens/>
      <w:spacing w:before="240" w:after="120"/>
    </w:pPr>
    <w:rPr>
      <w:rFonts w:ascii="Liberation Sans" w:hAnsi="Liberation Sans" w:eastAsia="Liberation Sans" w:cs="Liberation Sans"/>
      <w:sz w:val="28"/>
      <w:szCs w:val="28"/>
      <w:lang w:eastAsia="ar-SA"/>
    </w:rPr>
  </w:style>
  <w:style w:type="character" w:styleId="11">
    <w:name w:val="endnote reference"/>
    <w:qFormat/>
    <w:uiPriority w:val="0"/>
    <w:rPr>
      <w:vertAlign w:val="superscript"/>
    </w:rPr>
  </w:style>
  <w:style w:type="character" w:styleId="12">
    <w:name w:val="Strong"/>
    <w:basedOn w:val="9"/>
    <w:qFormat/>
    <w:uiPriority w:val="22"/>
    <w:rPr>
      <w:b/>
      <w:bCs/>
    </w:rPr>
  </w:style>
  <w:style w:type="character" w:styleId="13">
    <w:name w:val="annotation reference"/>
    <w:basedOn w:val="9"/>
    <w:unhideWhenUsed/>
    <w:qFormat/>
    <w:uiPriority w:val="0"/>
    <w:rPr>
      <w:sz w:val="16"/>
      <w:szCs w:val="16"/>
    </w:rPr>
  </w:style>
  <w:style w:type="character" w:styleId="14">
    <w:name w:val="FollowedHyperlink"/>
    <w:basedOn w:val="9"/>
    <w:semiHidden/>
    <w:unhideWhenUsed/>
    <w:qFormat/>
    <w:uiPriority w:val="99"/>
    <w:rPr>
      <w:color w:val="800080" w:themeColor="followedHyperlink"/>
      <w:u w:val="single"/>
    </w:rPr>
  </w:style>
  <w:style w:type="character" w:styleId="15">
    <w:name w:val="Emphasis"/>
    <w:qFormat/>
    <w:uiPriority w:val="20"/>
    <w:rPr>
      <w:rFonts w:cs="Times New Roman"/>
      <w:i/>
      <w:iCs/>
    </w:rPr>
  </w:style>
  <w:style w:type="character" w:styleId="16">
    <w:name w:val="footnote reference"/>
    <w:qFormat/>
    <w:uiPriority w:val="0"/>
    <w:rPr>
      <w:vertAlign w:val="superscript"/>
    </w:rPr>
  </w:style>
  <w:style w:type="character" w:styleId="17">
    <w:name w:val="Hyperlink"/>
    <w:uiPriority w:val="0"/>
    <w:rPr>
      <w:color w:val="000080"/>
      <w:u w:val="single"/>
    </w:rPr>
  </w:style>
  <w:style w:type="paragraph" w:styleId="18">
    <w:name w:val="toc 2"/>
    <w:basedOn w:val="19"/>
    <w:uiPriority w:val="0"/>
  </w:style>
  <w:style w:type="paragraph" w:customStyle="1" w:styleId="19">
    <w:name w:val="Índice"/>
    <w:basedOn w:val="1"/>
    <w:qFormat/>
    <w:uiPriority w:val="0"/>
    <w:pPr>
      <w:suppressLineNumbers/>
    </w:pPr>
    <w:rPr>
      <w:rFonts w:cs="Arial"/>
    </w:rPr>
  </w:style>
  <w:style w:type="paragraph" w:styleId="20">
    <w:name w:val="List"/>
    <w:basedOn w:val="3"/>
    <w:uiPriority w:val="0"/>
    <w:rPr>
      <w:rFonts w:cs="Arial"/>
    </w:rPr>
  </w:style>
  <w:style w:type="paragraph" w:styleId="21">
    <w:name w:val="toc 9"/>
    <w:basedOn w:val="19"/>
    <w:qFormat/>
    <w:uiPriority w:val="0"/>
  </w:style>
  <w:style w:type="paragraph" w:styleId="22">
    <w:name w:val="toc 6"/>
    <w:basedOn w:val="19"/>
    <w:qFormat/>
    <w:uiPriority w:val="0"/>
  </w:style>
  <w:style w:type="paragraph" w:styleId="23">
    <w:name w:val="annotation text"/>
    <w:basedOn w:val="1"/>
    <w:link w:val="49"/>
    <w:unhideWhenUsed/>
    <w:qFormat/>
    <w:uiPriority w:val="99"/>
    <w:pPr>
      <w:spacing w:line="240" w:lineRule="auto"/>
    </w:pPr>
    <w:rPr>
      <w:sz w:val="20"/>
      <w:szCs w:val="20"/>
    </w:rPr>
  </w:style>
  <w:style w:type="paragraph" w:styleId="24">
    <w:name w:val="toc 5"/>
    <w:basedOn w:val="19"/>
    <w:qFormat/>
    <w:uiPriority w:val="0"/>
  </w:style>
  <w:style w:type="paragraph" w:styleId="25">
    <w:name w:val="Body Text Indent 2"/>
    <w:basedOn w:val="1"/>
    <w:link w:val="80"/>
    <w:qFormat/>
    <w:uiPriority w:val="0"/>
    <w:pPr>
      <w:spacing w:before="0" w:after="0" w:line="240" w:lineRule="auto"/>
      <w:ind w:firstLine="708"/>
      <w:jc w:val="both"/>
    </w:pPr>
    <w:rPr>
      <w:rFonts w:ascii="Arial Narrow" w:hAnsi="Arial Narrow" w:eastAsia="Times New Roman" w:cs="Times New Roman"/>
      <w:sz w:val="24"/>
      <w:szCs w:val="20"/>
      <w:lang w:eastAsia="pt-BR"/>
    </w:rPr>
  </w:style>
  <w:style w:type="paragraph" w:styleId="26">
    <w:name w:val="Title"/>
    <w:basedOn w:val="1"/>
    <w:next w:val="1"/>
    <w:link w:val="95"/>
    <w:qFormat/>
    <w:uiPriority w:val="0"/>
    <w:pPr>
      <w:pBdr>
        <w:bottom w:val="single" w:color="4F81BD" w:themeColor="accent1" w:sz="8" w:space="4"/>
      </w:pBdr>
      <w:spacing w:before="0" w:after="300" w:line="240" w:lineRule="auto"/>
      <w:contextualSpacing/>
    </w:pPr>
    <w:rPr>
      <w:rFonts w:asciiTheme="majorHAnsi" w:hAnsiTheme="majorHAnsi" w:eastAsiaTheme="majorEastAsia" w:cstheme="majorBidi"/>
      <w:color w:val="17365D" w:themeColor="text2" w:themeShade="BF"/>
      <w:spacing w:val="5"/>
      <w:kern w:val="2"/>
      <w:sz w:val="52"/>
      <w:szCs w:val="52"/>
      <w:lang w:eastAsia="pt-BR"/>
    </w:rPr>
  </w:style>
  <w:style w:type="paragraph" w:styleId="27">
    <w:name w:val="List Bullet 5"/>
    <w:basedOn w:val="1"/>
    <w:qFormat/>
    <w:uiPriority w:val="0"/>
    <w:pPr>
      <w:numPr>
        <w:ilvl w:val="0"/>
        <w:numId w:val="2"/>
      </w:numPr>
      <w:spacing w:before="0" w:after="0" w:line="240" w:lineRule="auto"/>
      <w:contextualSpacing/>
    </w:pPr>
    <w:rPr>
      <w:rFonts w:ascii="Ecofont_Spranq_eco_Sans" w:hAnsi="Ecofont_Spranq_eco_Sans" w:cs="Tahoma" w:eastAsiaTheme="minorEastAsia"/>
      <w:sz w:val="24"/>
      <w:szCs w:val="24"/>
      <w:lang w:eastAsia="pt-BR"/>
    </w:rPr>
  </w:style>
  <w:style w:type="paragraph" w:styleId="28">
    <w:name w:val="Normal (Web)"/>
    <w:basedOn w:val="1"/>
    <w:unhideWhenUsed/>
    <w:qFormat/>
    <w:uiPriority w:val="99"/>
    <w:pPr>
      <w:spacing w:beforeAutospacing="1" w:afterAutospacing="1" w:line="240" w:lineRule="auto"/>
    </w:pPr>
    <w:rPr>
      <w:rFonts w:ascii="Times New Roman" w:hAnsi="Times New Roman" w:eastAsia="Times New Roman" w:cs="Times New Roman"/>
      <w:sz w:val="24"/>
      <w:szCs w:val="24"/>
      <w:lang w:eastAsia="pt-BR"/>
    </w:rPr>
  </w:style>
  <w:style w:type="paragraph" w:styleId="29">
    <w:name w:val="toc 4"/>
    <w:basedOn w:val="19"/>
    <w:qFormat/>
    <w:uiPriority w:val="0"/>
  </w:style>
  <w:style w:type="paragraph" w:styleId="30">
    <w:name w:val="toc 8"/>
    <w:basedOn w:val="19"/>
    <w:qFormat/>
    <w:uiPriority w:val="0"/>
  </w:style>
  <w:style w:type="paragraph" w:styleId="31">
    <w:name w:val="index heading"/>
    <w:basedOn w:val="32"/>
    <w:qFormat/>
    <w:uiPriority w:val="0"/>
  </w:style>
  <w:style w:type="paragraph" w:customStyle="1" w:styleId="32">
    <w:name w:val="Título12"/>
    <w:basedOn w:val="1"/>
    <w:next w:val="3"/>
    <w:qFormat/>
    <w:uiPriority w:val="0"/>
    <w:pPr>
      <w:keepNext/>
      <w:spacing w:before="240" w:after="120"/>
    </w:pPr>
    <w:rPr>
      <w:rFonts w:ascii="Liberation Sans" w:hAnsi="Liberation Sans" w:eastAsia="Microsoft YaHei" w:cs="Arial"/>
      <w:sz w:val="28"/>
      <w:szCs w:val="28"/>
    </w:rPr>
  </w:style>
  <w:style w:type="paragraph" w:styleId="33">
    <w:name w:val="header"/>
    <w:basedOn w:val="1"/>
    <w:link w:val="52"/>
    <w:unhideWhenUsed/>
    <w:qFormat/>
    <w:uiPriority w:val="99"/>
    <w:pPr>
      <w:tabs>
        <w:tab w:val="center" w:pos="4252"/>
        <w:tab w:val="right" w:pos="8504"/>
      </w:tabs>
      <w:spacing w:before="0" w:after="0" w:line="240" w:lineRule="auto"/>
    </w:pPr>
  </w:style>
  <w:style w:type="paragraph" w:styleId="34">
    <w:name w:val="annotation subject"/>
    <w:basedOn w:val="23"/>
    <w:next w:val="23"/>
    <w:link w:val="50"/>
    <w:semiHidden/>
    <w:unhideWhenUsed/>
    <w:qFormat/>
    <w:uiPriority w:val="99"/>
    <w:rPr>
      <w:b/>
      <w:bCs/>
    </w:rPr>
  </w:style>
  <w:style w:type="paragraph" w:styleId="35">
    <w:name w:val="footer"/>
    <w:basedOn w:val="1"/>
    <w:link w:val="53"/>
    <w:unhideWhenUsed/>
    <w:qFormat/>
    <w:uiPriority w:val="99"/>
    <w:pPr>
      <w:tabs>
        <w:tab w:val="center" w:pos="4252"/>
        <w:tab w:val="right" w:pos="8504"/>
      </w:tabs>
      <w:spacing w:before="0" w:after="0" w:line="240" w:lineRule="auto"/>
    </w:pPr>
  </w:style>
  <w:style w:type="paragraph" w:styleId="36">
    <w:name w:val="caption"/>
    <w:basedOn w:val="1"/>
    <w:qFormat/>
    <w:uiPriority w:val="0"/>
    <w:pPr>
      <w:suppressLineNumbers/>
      <w:spacing w:before="120" w:after="120"/>
    </w:pPr>
    <w:rPr>
      <w:rFonts w:cs="Arial"/>
      <w:i/>
      <w:iCs/>
      <w:sz w:val="24"/>
      <w:szCs w:val="24"/>
    </w:rPr>
  </w:style>
  <w:style w:type="paragraph" w:styleId="37">
    <w:name w:val="toc 7"/>
    <w:basedOn w:val="19"/>
    <w:qFormat/>
    <w:uiPriority w:val="0"/>
  </w:style>
  <w:style w:type="paragraph" w:styleId="38">
    <w:name w:val="toc 3"/>
    <w:basedOn w:val="19"/>
    <w:qFormat/>
    <w:uiPriority w:val="0"/>
  </w:style>
  <w:style w:type="paragraph" w:styleId="39">
    <w:name w:val="Balloon Text"/>
    <w:basedOn w:val="1"/>
    <w:link w:val="51"/>
    <w:unhideWhenUsed/>
    <w:qFormat/>
    <w:uiPriority w:val="99"/>
    <w:pPr>
      <w:spacing w:before="0" w:after="0" w:line="240" w:lineRule="auto"/>
    </w:pPr>
    <w:rPr>
      <w:rFonts w:ascii="Tahoma" w:hAnsi="Tahoma" w:cs="Tahoma"/>
      <w:sz w:val="16"/>
      <w:szCs w:val="16"/>
    </w:rPr>
  </w:style>
  <w:style w:type="paragraph" w:styleId="40">
    <w:name w:val="footnote text"/>
    <w:basedOn w:val="1"/>
    <w:link w:val="56"/>
    <w:semiHidden/>
    <w:unhideWhenUsed/>
    <w:qFormat/>
    <w:uiPriority w:val="99"/>
    <w:pPr>
      <w:spacing w:before="0" w:after="0" w:line="240" w:lineRule="auto"/>
    </w:pPr>
    <w:rPr>
      <w:sz w:val="20"/>
      <w:szCs w:val="20"/>
    </w:rPr>
  </w:style>
  <w:style w:type="paragraph" w:styleId="41">
    <w:name w:val="toc 1"/>
    <w:basedOn w:val="1"/>
    <w:next w:val="1"/>
    <w:unhideWhenUsed/>
    <w:qFormat/>
    <w:uiPriority w:val="39"/>
    <w:pPr>
      <w:spacing w:before="0" w:after="100"/>
    </w:pPr>
  </w:style>
  <w:style w:type="table" w:styleId="42">
    <w:name w:val="Table Grid"/>
    <w:basedOn w:val="10"/>
    <w:unhideWhenUsed/>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3">
    <w:name w:val="Caracteres de nota de fim"/>
    <w:qFormat/>
    <w:uiPriority w:val="0"/>
    <w:rPr>
      <w:vertAlign w:val="superscript"/>
    </w:rPr>
  </w:style>
  <w:style w:type="character" w:customStyle="1" w:styleId="44">
    <w:name w:val="Caracteres de nota de rodapé"/>
    <w:semiHidden/>
    <w:unhideWhenUsed/>
    <w:qFormat/>
    <w:uiPriority w:val="99"/>
    <w:rPr>
      <w:vertAlign w:val="superscript"/>
    </w:rPr>
  </w:style>
  <w:style w:type="character" w:customStyle="1" w:styleId="45">
    <w:name w:val="normaltextrun"/>
    <w:basedOn w:val="9"/>
    <w:qFormat/>
    <w:uiPriority w:val="0"/>
    <w:rPr>
      <w:rFonts w:ascii="Times New Roman" w:hAnsi="Times New Roman" w:eastAsia="SimSun"/>
      <w:sz w:val="24"/>
    </w:rPr>
  </w:style>
  <w:style w:type="character" w:customStyle="1" w:styleId="46">
    <w:name w:val="scxw155697705"/>
    <w:basedOn w:val="9"/>
    <w:qFormat/>
    <w:uiPriority w:val="0"/>
  </w:style>
  <w:style w:type="character" w:customStyle="1" w:styleId="47">
    <w:name w:val="eop"/>
    <w:basedOn w:val="9"/>
    <w:qFormat/>
    <w:uiPriority w:val="0"/>
  </w:style>
  <w:style w:type="character" w:customStyle="1" w:styleId="48">
    <w:name w:val="tabchar"/>
    <w:basedOn w:val="9"/>
    <w:qFormat/>
    <w:uiPriority w:val="0"/>
  </w:style>
  <w:style w:type="character" w:customStyle="1" w:styleId="49">
    <w:name w:val="Texto de comentário Char"/>
    <w:basedOn w:val="9"/>
    <w:link w:val="23"/>
    <w:qFormat/>
    <w:uiPriority w:val="99"/>
    <w:rPr>
      <w:sz w:val="20"/>
      <w:szCs w:val="20"/>
    </w:rPr>
  </w:style>
  <w:style w:type="character" w:customStyle="1" w:styleId="50">
    <w:name w:val="Assunto do comentário Char"/>
    <w:basedOn w:val="49"/>
    <w:link w:val="34"/>
    <w:semiHidden/>
    <w:qFormat/>
    <w:uiPriority w:val="99"/>
    <w:rPr>
      <w:b/>
      <w:bCs/>
      <w:sz w:val="20"/>
      <w:szCs w:val="20"/>
    </w:rPr>
  </w:style>
  <w:style w:type="character" w:customStyle="1" w:styleId="51">
    <w:name w:val="Texto de balão Char"/>
    <w:basedOn w:val="9"/>
    <w:link w:val="39"/>
    <w:qFormat/>
    <w:uiPriority w:val="99"/>
    <w:rPr>
      <w:rFonts w:ascii="Tahoma" w:hAnsi="Tahoma" w:cs="Tahoma"/>
      <w:sz w:val="16"/>
      <w:szCs w:val="16"/>
    </w:rPr>
  </w:style>
  <w:style w:type="character" w:customStyle="1" w:styleId="52">
    <w:name w:val="Cabeçalho Char"/>
    <w:basedOn w:val="9"/>
    <w:link w:val="33"/>
    <w:qFormat/>
    <w:uiPriority w:val="99"/>
  </w:style>
  <w:style w:type="character" w:customStyle="1" w:styleId="53">
    <w:name w:val="Rodapé Char"/>
    <w:basedOn w:val="9"/>
    <w:link w:val="35"/>
    <w:qFormat/>
    <w:uiPriority w:val="99"/>
  </w:style>
  <w:style w:type="character" w:customStyle="1" w:styleId="54">
    <w:name w:val="Hyperlink1"/>
    <w:basedOn w:val="9"/>
    <w:unhideWhenUsed/>
    <w:qFormat/>
    <w:uiPriority w:val="99"/>
    <w:rPr>
      <w:color w:val="0000FF" w:themeColor="hyperlink"/>
      <w:u w:val="single"/>
    </w:rPr>
  </w:style>
  <w:style w:type="character" w:customStyle="1" w:styleId="55">
    <w:name w:val="Unresolved Mention"/>
    <w:basedOn w:val="9"/>
    <w:semiHidden/>
    <w:unhideWhenUsed/>
    <w:qFormat/>
    <w:uiPriority w:val="99"/>
    <w:rPr>
      <w:color w:val="605E5C"/>
      <w:shd w:val="clear" w:fill="E1DFDD"/>
    </w:rPr>
  </w:style>
  <w:style w:type="character" w:customStyle="1" w:styleId="56">
    <w:name w:val="Texto de nota de rodapé Char"/>
    <w:basedOn w:val="9"/>
    <w:link w:val="40"/>
    <w:semiHidden/>
    <w:qFormat/>
    <w:uiPriority w:val="99"/>
    <w:rPr>
      <w:sz w:val="20"/>
      <w:szCs w:val="20"/>
    </w:rPr>
  </w:style>
  <w:style w:type="character" w:customStyle="1" w:styleId="57">
    <w:name w:val="Título 2 Char"/>
    <w:basedOn w:val="9"/>
    <w:qFormat/>
    <w:uiPriority w:val="0"/>
    <w:rPr>
      <w:rFonts w:ascii="Times New Roman" w:hAnsi="Times New Roman" w:eastAsia="Times New Roman" w:cs="Times New Roman"/>
      <w:b/>
      <w:bCs/>
      <w:sz w:val="36"/>
      <w:szCs w:val="36"/>
      <w:lang w:eastAsia="pt-BR"/>
    </w:rPr>
  </w:style>
  <w:style w:type="character" w:customStyle="1" w:styleId="58">
    <w:name w:val="producttitle"/>
    <w:basedOn w:val="9"/>
    <w:qFormat/>
    <w:uiPriority w:val="0"/>
  </w:style>
  <w:style w:type="character" w:customStyle="1" w:styleId="59">
    <w:name w:val="Parágrafo da Lista Char"/>
    <w:link w:val="60"/>
    <w:qFormat/>
    <w:locked/>
    <w:uiPriority w:val="34"/>
  </w:style>
  <w:style w:type="paragraph" w:styleId="60">
    <w:name w:val="List Paragraph"/>
    <w:basedOn w:val="1"/>
    <w:link w:val="59"/>
    <w:qFormat/>
    <w:uiPriority w:val="34"/>
    <w:pPr>
      <w:spacing w:before="0" w:after="200"/>
      <w:ind w:left="720"/>
      <w:contextualSpacing/>
    </w:pPr>
  </w:style>
  <w:style w:type="character" w:customStyle="1" w:styleId="61">
    <w:name w:val="Título 3 Char"/>
    <w:basedOn w:val="9"/>
    <w:qFormat/>
    <w:uiPriority w:val="9"/>
    <w:rPr>
      <w:rFonts w:asciiTheme="majorHAnsi" w:hAnsiTheme="majorHAnsi" w:eastAsiaTheme="majorEastAsia" w:cstheme="majorBidi"/>
      <w:color w:val="243F61" w:themeColor="accent1" w:themeShade="7F"/>
      <w:sz w:val="24"/>
      <w:szCs w:val="24"/>
    </w:rPr>
  </w:style>
  <w:style w:type="character" w:customStyle="1" w:styleId="62">
    <w:name w:val="Título 1 Char"/>
    <w:basedOn w:val="9"/>
    <w:qFormat/>
    <w:uiPriority w:val="9"/>
    <w:rPr>
      <w:rFonts w:ascii="Times New Roman" w:hAnsi="Times New Roman" w:eastAsia="Times New Roman" w:cs="Times New Roman"/>
      <w:b/>
      <w:bCs/>
      <w:sz w:val="24"/>
      <w:szCs w:val="24"/>
      <w:shd w:val="clear" w:fill="BFBFBF"/>
      <w:lang w:eastAsia="pt-BR"/>
    </w:rPr>
  </w:style>
  <w:style w:type="character" w:customStyle="1" w:styleId="63">
    <w:name w:val="apple-converted-space"/>
    <w:qFormat/>
    <w:uiPriority w:val="0"/>
  </w:style>
  <w:style w:type="character" w:customStyle="1" w:styleId="64">
    <w:name w:val="Nivel 2 Char"/>
    <w:basedOn w:val="9"/>
    <w:link w:val="65"/>
    <w:qFormat/>
    <w:locked/>
    <w:uiPriority w:val="0"/>
    <w:rPr>
      <w:rFonts w:ascii="Arial" w:hAnsi="Arial" w:eastAsia="Times New Roman" w:cs="Arial"/>
      <w:sz w:val="20"/>
      <w:szCs w:val="20"/>
      <w:lang w:eastAsia="pt-BR"/>
    </w:rPr>
  </w:style>
  <w:style w:type="paragraph" w:customStyle="1" w:styleId="65">
    <w:name w:val="Nivel 2"/>
    <w:basedOn w:val="1"/>
    <w:link w:val="64"/>
    <w:qFormat/>
    <w:uiPriority w:val="0"/>
    <w:pPr>
      <w:numPr>
        <w:ilvl w:val="1"/>
        <w:numId w:val="3"/>
      </w:numPr>
      <w:spacing w:before="120" w:after="120"/>
      <w:jc w:val="both"/>
    </w:pPr>
    <w:rPr>
      <w:rFonts w:ascii="Arial" w:hAnsi="Arial" w:eastAsia="Times New Roman" w:cs="Arial"/>
      <w:sz w:val="20"/>
      <w:szCs w:val="20"/>
      <w:lang w:eastAsia="pt-BR"/>
    </w:rPr>
  </w:style>
  <w:style w:type="character" w:customStyle="1" w:styleId="66">
    <w:name w:val="Nível 2 -Red Char"/>
    <w:basedOn w:val="64"/>
    <w:link w:val="67"/>
    <w:qFormat/>
    <w:uiPriority w:val="0"/>
    <w:rPr>
      <w:rFonts w:ascii="Arial" w:hAnsi="Arial" w:eastAsia="Times New Roman" w:cs="Arial"/>
      <w:i/>
      <w:iCs/>
      <w:color w:val="FF0000"/>
      <w:sz w:val="20"/>
      <w:szCs w:val="20"/>
      <w:lang w:eastAsia="pt-BR"/>
    </w:rPr>
  </w:style>
  <w:style w:type="paragraph" w:customStyle="1" w:styleId="67">
    <w:name w:val="Nível 2 -Red"/>
    <w:basedOn w:val="65"/>
    <w:link w:val="66"/>
    <w:qFormat/>
    <w:uiPriority w:val="0"/>
    <w:pPr>
      <w:numPr>
        <w:ilvl w:val="1"/>
        <w:numId w:val="4"/>
      </w:numPr>
      <w:ind w:left="0" w:firstLine="0"/>
    </w:pPr>
    <w:rPr>
      <w:i/>
      <w:iCs/>
      <w:color w:val="FF0000"/>
    </w:rPr>
  </w:style>
  <w:style w:type="character" w:customStyle="1" w:styleId="68">
    <w:name w:val="ou Char"/>
    <w:basedOn w:val="9"/>
    <w:link w:val="69"/>
    <w:qFormat/>
    <w:uiPriority w:val="0"/>
    <w:rPr>
      <w:rFonts w:ascii="Arial" w:hAnsi="Arial" w:cs="Arial"/>
      <w:b/>
      <w:bCs/>
      <w:i/>
      <w:iCs/>
      <w:color w:val="FF0000"/>
      <w:sz w:val="20"/>
      <w:szCs w:val="24"/>
      <w:u w:val="single"/>
      <w:lang w:eastAsia="pt-BR"/>
    </w:rPr>
  </w:style>
  <w:style w:type="paragraph" w:customStyle="1" w:styleId="69">
    <w:name w:val="ou"/>
    <w:basedOn w:val="60"/>
    <w:link w:val="68"/>
    <w:qFormat/>
    <w:uiPriority w:val="0"/>
    <w:pPr>
      <w:spacing w:before="60" w:after="60" w:line="259" w:lineRule="auto"/>
      <w:ind w:left="0"/>
      <w:contextualSpacing w:val="0"/>
      <w:jc w:val="center"/>
    </w:pPr>
    <w:rPr>
      <w:rFonts w:ascii="Arial" w:hAnsi="Arial" w:cs="Arial"/>
      <w:b/>
      <w:bCs/>
      <w:i/>
      <w:iCs/>
      <w:color w:val="FF0000"/>
      <w:sz w:val="20"/>
      <w:szCs w:val="24"/>
      <w:u w:val="single"/>
      <w:lang w:eastAsia="pt-BR"/>
    </w:rPr>
  </w:style>
  <w:style w:type="character" w:customStyle="1" w:styleId="70">
    <w:name w:val="Nível 3-R Char"/>
    <w:basedOn w:val="9"/>
    <w:link w:val="71"/>
    <w:qFormat/>
    <w:uiPriority w:val="0"/>
    <w:rPr>
      <w:rFonts w:ascii="Arial" w:hAnsi="Arial" w:cs="Arial" w:eastAsiaTheme="minorEastAsia"/>
      <w:i/>
      <w:iCs/>
      <w:color w:val="FF0000"/>
      <w:sz w:val="20"/>
      <w:szCs w:val="20"/>
      <w:lang w:eastAsia="pt-BR"/>
    </w:rPr>
  </w:style>
  <w:style w:type="paragraph" w:customStyle="1" w:styleId="71">
    <w:name w:val="Nível 3-R"/>
    <w:basedOn w:val="1"/>
    <w:link w:val="70"/>
    <w:qFormat/>
    <w:uiPriority w:val="0"/>
    <w:pPr>
      <w:numPr>
        <w:ilvl w:val="2"/>
        <w:numId w:val="3"/>
      </w:numPr>
      <w:spacing w:before="120" w:after="120"/>
      <w:ind w:left="284" w:firstLine="0"/>
      <w:jc w:val="both"/>
    </w:pPr>
    <w:rPr>
      <w:rFonts w:ascii="Arial" w:hAnsi="Arial" w:cs="Arial" w:eastAsiaTheme="minorEastAsia"/>
      <w:i/>
      <w:iCs/>
      <w:color w:val="FF0000"/>
      <w:sz w:val="20"/>
      <w:szCs w:val="20"/>
      <w:lang w:eastAsia="pt-BR"/>
    </w:rPr>
  </w:style>
  <w:style w:type="character" w:customStyle="1" w:styleId="72">
    <w:name w:val="SubTitNN Char"/>
    <w:basedOn w:val="9"/>
    <w:link w:val="73"/>
    <w:qFormat/>
    <w:uiPriority w:val="0"/>
    <w:rPr>
      <w:rFonts w:ascii="Arial" w:hAnsi="Arial" w:eastAsia="Times New Roman" w:cs="Arial"/>
      <w:b/>
      <w:bCs/>
      <w:iCs/>
      <w:sz w:val="20"/>
      <w:szCs w:val="20"/>
      <w:lang w:eastAsia="pt-BR"/>
    </w:rPr>
  </w:style>
  <w:style w:type="paragraph" w:customStyle="1" w:styleId="73">
    <w:name w:val="SubTitNN"/>
    <w:basedOn w:val="1"/>
    <w:link w:val="72"/>
    <w:qFormat/>
    <w:uiPriority w:val="0"/>
    <w:pPr>
      <w:spacing w:before="240" w:after="120"/>
      <w:jc w:val="both"/>
    </w:pPr>
    <w:rPr>
      <w:rFonts w:ascii="Arial" w:hAnsi="Arial" w:eastAsia="Times New Roman" w:cs="Arial"/>
      <w:b/>
      <w:bCs/>
      <w:iCs/>
      <w:sz w:val="20"/>
      <w:szCs w:val="20"/>
      <w:lang w:eastAsia="pt-BR"/>
    </w:rPr>
  </w:style>
  <w:style w:type="character" w:customStyle="1" w:styleId="74">
    <w:name w:val="Nível 3 Char"/>
    <w:basedOn w:val="70"/>
    <w:link w:val="75"/>
    <w:qFormat/>
    <w:uiPriority w:val="0"/>
    <w:rPr>
      <w:rFonts w:ascii="Arial" w:hAnsi="Arial" w:eastAsia="Times New Roman" w:cs="Arial"/>
      <w:i w:val="0"/>
      <w:iCs w:val="0"/>
      <w:color w:val="FF0000"/>
      <w:sz w:val="20"/>
      <w:szCs w:val="20"/>
      <w:lang w:eastAsia="pt-BR"/>
    </w:rPr>
  </w:style>
  <w:style w:type="paragraph" w:customStyle="1" w:styleId="75">
    <w:name w:val="Nível 3"/>
    <w:basedOn w:val="71"/>
    <w:link w:val="74"/>
    <w:qFormat/>
    <w:uiPriority w:val="0"/>
    <w:pPr>
      <w:numPr>
        <w:ilvl w:val="2"/>
        <w:numId w:val="4"/>
      </w:numPr>
      <w:ind w:left="284" w:firstLine="0"/>
    </w:pPr>
    <w:rPr>
      <w:rFonts w:eastAsia="Times New Roman"/>
      <w:i w:val="0"/>
      <w:iCs w:val="0"/>
    </w:rPr>
  </w:style>
  <w:style w:type="character" w:customStyle="1" w:styleId="76">
    <w:name w:val="Nível 4 Char"/>
    <w:basedOn w:val="74"/>
    <w:link w:val="77"/>
    <w:qFormat/>
    <w:uiPriority w:val="0"/>
    <w:rPr>
      <w:rFonts w:ascii="Arial" w:hAnsi="Arial" w:eastAsia="Times New Roman" w:cs="Arial"/>
      <w:color w:val="FF0000"/>
      <w:sz w:val="20"/>
      <w:szCs w:val="20"/>
      <w:lang w:eastAsia="pt-BR"/>
    </w:rPr>
  </w:style>
  <w:style w:type="paragraph" w:customStyle="1" w:styleId="77">
    <w:name w:val="Nível 4"/>
    <w:basedOn w:val="1"/>
    <w:link w:val="76"/>
    <w:qFormat/>
    <w:uiPriority w:val="0"/>
    <w:pPr>
      <w:numPr>
        <w:ilvl w:val="3"/>
        <w:numId w:val="3"/>
      </w:numPr>
      <w:spacing w:before="120" w:after="120"/>
      <w:ind w:left="567" w:firstLine="0"/>
      <w:jc w:val="both"/>
    </w:pPr>
    <w:rPr>
      <w:rFonts w:ascii="Arial" w:hAnsi="Arial" w:eastAsia="Times New Roman" w:cs="Arial"/>
      <w:sz w:val="20"/>
      <w:szCs w:val="20"/>
      <w:lang w:eastAsia="pt-BR"/>
    </w:rPr>
  </w:style>
  <w:style w:type="character" w:customStyle="1" w:styleId="78">
    <w:name w:val="markedcontent"/>
    <w:basedOn w:val="9"/>
    <w:qFormat/>
    <w:uiPriority w:val="0"/>
  </w:style>
  <w:style w:type="character" w:customStyle="1" w:styleId="79">
    <w:name w:val="highlight"/>
    <w:basedOn w:val="9"/>
    <w:qFormat/>
    <w:uiPriority w:val="0"/>
  </w:style>
  <w:style w:type="character" w:customStyle="1" w:styleId="80">
    <w:name w:val="Recuo de corpo de texto 2 Char"/>
    <w:basedOn w:val="9"/>
    <w:link w:val="25"/>
    <w:qFormat/>
    <w:uiPriority w:val="0"/>
    <w:rPr>
      <w:rFonts w:ascii="Arial Narrow" w:hAnsi="Arial Narrow" w:eastAsia="Times New Roman" w:cs="Times New Roman"/>
      <w:sz w:val="24"/>
      <w:szCs w:val="20"/>
      <w:lang w:eastAsia="pt-BR"/>
    </w:rPr>
  </w:style>
  <w:style w:type="character" w:customStyle="1" w:styleId="81">
    <w:name w:val="Corpo de texto Char"/>
    <w:basedOn w:val="9"/>
    <w:link w:val="3"/>
    <w:qFormat/>
    <w:uiPriority w:val="99"/>
  </w:style>
  <w:style w:type="character" w:customStyle="1" w:styleId="82">
    <w:name w:val="Nivel 3 Char"/>
    <w:basedOn w:val="9"/>
    <w:link w:val="83"/>
    <w:qFormat/>
    <w:uiPriority w:val="0"/>
    <w:rPr>
      <w:rFonts w:ascii="Arial" w:hAnsi="Arial" w:cs="Arial" w:eastAsiaTheme="minorEastAsia"/>
      <w:color w:val="000000"/>
      <w:sz w:val="20"/>
      <w:szCs w:val="20"/>
      <w:lang w:eastAsia="pt-BR"/>
    </w:rPr>
  </w:style>
  <w:style w:type="paragraph" w:customStyle="1" w:styleId="83">
    <w:name w:val="Nivel 3"/>
    <w:basedOn w:val="1"/>
    <w:link w:val="82"/>
    <w:qFormat/>
    <w:uiPriority w:val="0"/>
    <w:pPr>
      <w:spacing w:before="120" w:after="120"/>
      <w:ind w:left="284"/>
      <w:jc w:val="both"/>
    </w:pPr>
    <w:rPr>
      <w:rFonts w:ascii="Arial" w:hAnsi="Arial" w:cs="Arial" w:eastAsiaTheme="minorEastAsia"/>
      <w:color w:val="000000"/>
      <w:sz w:val="20"/>
      <w:szCs w:val="20"/>
      <w:lang w:eastAsia="pt-BR"/>
    </w:rPr>
  </w:style>
  <w:style w:type="character" w:customStyle="1" w:styleId="84">
    <w:name w:val="Nivel 4 Char"/>
    <w:basedOn w:val="9"/>
    <w:link w:val="85"/>
    <w:qFormat/>
    <w:uiPriority w:val="0"/>
    <w:rPr>
      <w:rFonts w:ascii="Arial" w:hAnsi="Arial" w:cs="Arial" w:eastAsiaTheme="minorEastAsia"/>
      <w:sz w:val="20"/>
      <w:szCs w:val="20"/>
      <w:lang w:eastAsia="pt-BR"/>
    </w:rPr>
  </w:style>
  <w:style w:type="paragraph" w:customStyle="1" w:styleId="85">
    <w:name w:val="Nivel 4"/>
    <w:basedOn w:val="83"/>
    <w:link w:val="84"/>
    <w:qFormat/>
    <w:uiPriority w:val="0"/>
    <w:pPr>
      <w:ind w:left="567"/>
    </w:pPr>
    <w:rPr>
      <w:color w:val="auto"/>
    </w:rPr>
  </w:style>
  <w:style w:type="character" w:customStyle="1" w:styleId="86">
    <w:name w:val="cf01"/>
    <w:basedOn w:val="9"/>
    <w:qFormat/>
    <w:uiPriority w:val="0"/>
    <w:rPr>
      <w:rFonts w:ascii="Segoe UI" w:hAnsi="Segoe UI" w:cs="Segoe UI"/>
      <w:sz w:val="18"/>
      <w:szCs w:val="18"/>
    </w:rPr>
  </w:style>
  <w:style w:type="character" w:customStyle="1" w:styleId="87">
    <w:name w:val="Título 4 Char"/>
    <w:basedOn w:val="9"/>
    <w:semiHidden/>
    <w:qFormat/>
    <w:uiPriority w:val="0"/>
    <w:rPr>
      <w:rFonts w:asciiTheme="majorHAnsi" w:hAnsiTheme="majorHAnsi" w:eastAsiaTheme="majorEastAsia" w:cstheme="majorBidi"/>
      <w:i/>
      <w:iCs/>
      <w:color w:val="366091" w:themeColor="accent1" w:themeShade="BF"/>
      <w:sz w:val="24"/>
      <w:szCs w:val="24"/>
      <w:lang w:eastAsia="pt-BR"/>
    </w:rPr>
  </w:style>
  <w:style w:type="character" w:customStyle="1" w:styleId="88">
    <w:name w:val="Título 6 Char"/>
    <w:basedOn w:val="9"/>
    <w:semiHidden/>
    <w:qFormat/>
    <w:uiPriority w:val="9"/>
    <w:rPr>
      <w:rFonts w:asciiTheme="majorHAnsi" w:hAnsiTheme="majorHAnsi" w:eastAsiaTheme="majorEastAsia" w:cstheme="majorBidi"/>
      <w:color w:val="243F61" w:themeColor="accent1" w:themeShade="7F"/>
    </w:rPr>
  </w:style>
  <w:style w:type="character" w:customStyle="1" w:styleId="89">
    <w:name w:val="normal__char1"/>
    <w:qFormat/>
    <w:uiPriority w:val="0"/>
    <w:rPr>
      <w:rFonts w:ascii="Arial" w:hAnsi="Arial" w:cs="Arial"/>
      <w:sz w:val="24"/>
      <w:szCs w:val="24"/>
      <w:u w:val="none"/>
    </w:rPr>
  </w:style>
  <w:style w:type="character" w:customStyle="1" w:styleId="90">
    <w:name w:val="apple-style-span"/>
    <w:basedOn w:val="9"/>
    <w:qFormat/>
    <w:uiPriority w:val="0"/>
  </w:style>
  <w:style w:type="character" w:customStyle="1" w:styleId="91">
    <w:name w:val="Citação Char"/>
    <w:basedOn w:val="9"/>
    <w:link w:val="92"/>
    <w:qFormat/>
    <w:uiPriority w:val="0"/>
    <w:rPr>
      <w:rFonts w:ascii="Arial" w:hAnsi="Arial" w:eastAsia="Calibri" w:cs="Tahoma"/>
      <w:i/>
      <w:iCs/>
      <w:color w:val="000000"/>
      <w:sz w:val="20"/>
      <w:szCs w:val="24"/>
      <w:shd w:val="clear" w:fill="FFFFCC"/>
    </w:rPr>
  </w:style>
  <w:style w:type="paragraph" w:styleId="92">
    <w:name w:val="Quote"/>
    <w:basedOn w:val="1"/>
    <w:next w:val="1"/>
    <w:link w:val="91"/>
    <w:qFormat/>
    <w:uiPriority w:val="0"/>
    <w:pPr>
      <w:pBdr>
        <w:top w:val="single" w:color="1F497D" w:sz="4" w:space="1"/>
        <w:left w:val="single" w:color="1F497D" w:sz="4" w:space="4"/>
        <w:bottom w:val="single" w:color="1F497D" w:sz="4" w:space="1"/>
        <w:right w:val="single" w:color="1F497D" w:sz="4" w:space="4"/>
      </w:pBdr>
      <w:shd w:val="clear" w:color="auto" w:fill="FFFFCC"/>
      <w:spacing w:before="120" w:after="0" w:line="240" w:lineRule="auto"/>
      <w:jc w:val="both"/>
    </w:pPr>
    <w:rPr>
      <w:rFonts w:ascii="Arial" w:hAnsi="Arial" w:eastAsia="Calibri" w:cs="Tahoma"/>
      <w:i/>
      <w:iCs/>
      <w:color w:val="000000"/>
      <w:sz w:val="20"/>
      <w:szCs w:val="24"/>
    </w:rPr>
  </w:style>
  <w:style w:type="character" w:customStyle="1" w:styleId="93">
    <w:name w:val="Nota explicativa Char"/>
    <w:basedOn w:val="91"/>
    <w:link w:val="94"/>
    <w:qFormat/>
    <w:uiPriority w:val="0"/>
    <w:rPr>
      <w:rFonts w:ascii="Arial" w:hAnsi="Arial" w:eastAsia="Calibri" w:cs="Tahoma"/>
      <w:color w:val="000000"/>
      <w:sz w:val="20"/>
      <w:szCs w:val="20"/>
      <w:shd w:val="clear" w:fill="FFFFCC"/>
    </w:rPr>
  </w:style>
  <w:style w:type="paragraph" w:customStyle="1" w:styleId="94">
    <w:name w:val="Nota explicativa"/>
    <w:basedOn w:val="92"/>
    <w:link w:val="93"/>
    <w:qFormat/>
    <w:uiPriority w:val="0"/>
    <w:rPr>
      <w:szCs w:val="20"/>
    </w:rPr>
  </w:style>
  <w:style w:type="character" w:customStyle="1" w:styleId="95">
    <w:name w:val="Título Char"/>
    <w:basedOn w:val="9"/>
    <w:link w:val="26"/>
    <w:qFormat/>
    <w:uiPriority w:val="0"/>
    <w:rPr>
      <w:rFonts w:asciiTheme="majorHAnsi" w:hAnsiTheme="majorHAnsi" w:eastAsiaTheme="majorEastAsia" w:cstheme="majorBidi"/>
      <w:color w:val="17365D" w:themeColor="text2" w:themeShade="BF"/>
      <w:spacing w:val="5"/>
      <w:kern w:val="2"/>
      <w:sz w:val="52"/>
      <w:szCs w:val="52"/>
      <w:lang w:eastAsia="pt-BR"/>
    </w:rPr>
  </w:style>
  <w:style w:type="character" w:customStyle="1" w:styleId="96">
    <w:name w:val="Nivel 01 Char"/>
    <w:basedOn w:val="95"/>
    <w:link w:val="97"/>
    <w:qFormat/>
    <w:uiPriority w:val="0"/>
    <w:rPr>
      <w:rFonts w:ascii="Arial" w:hAnsi="Arial" w:cs="Arial" w:eastAsiaTheme="majorEastAsia"/>
      <w:b/>
      <w:bCs/>
      <w:color w:val="17365D" w:themeColor="text2" w:themeShade="BF"/>
      <w:spacing w:val="5"/>
      <w:kern w:val="2"/>
      <w:sz w:val="20"/>
      <w:szCs w:val="20"/>
      <w:lang w:eastAsia="pt-BR"/>
    </w:rPr>
  </w:style>
  <w:style w:type="paragraph" w:customStyle="1" w:styleId="97">
    <w:name w:val="Nivel 01"/>
    <w:basedOn w:val="2"/>
    <w:next w:val="1"/>
    <w:link w:val="96"/>
    <w:qFormat/>
    <w:uiPriority w:val="0"/>
    <w:pPr>
      <w:keepNext/>
      <w:keepLines/>
      <w:numPr>
        <w:ilvl w:val="0"/>
        <w:numId w:val="3"/>
      </w:numPr>
      <w:pBdr>
        <w:bottom w:val="none" w:color="auto" w:sz="0" w:space="0"/>
      </w:pBdr>
      <w:shd w:val="clear" w:color="auto" w:fill="auto"/>
      <w:tabs>
        <w:tab w:val="left" w:pos="567"/>
      </w:tabs>
      <w:spacing w:before="120" w:after="120" w:line="276" w:lineRule="auto"/>
      <w:ind w:left="0" w:firstLine="0"/>
      <w:textAlignment w:val="auto"/>
    </w:pPr>
    <w:rPr>
      <w:rFonts w:ascii="Arial" w:hAnsi="Arial" w:cs="Arial" w:eastAsiaTheme="majorEastAsia"/>
      <w:sz w:val="20"/>
      <w:szCs w:val="20"/>
      <w:lang w:eastAsia="en-US"/>
    </w:rPr>
  </w:style>
  <w:style w:type="character" w:customStyle="1" w:styleId="98">
    <w:name w:val="Nivel_01_Titulo Char"/>
    <w:basedOn w:val="96"/>
    <w:link w:val="99"/>
    <w:qFormat/>
    <w:uiPriority w:val="0"/>
    <w:rPr>
      <w:rFonts w:ascii="Arial" w:hAnsi="Arial" w:eastAsiaTheme="majorEastAsia" w:cstheme="majorBidi"/>
      <w:color w:val="000000" w:themeColor="text1"/>
      <w:spacing w:val="5"/>
      <w:kern w:val="2"/>
      <w:sz w:val="20"/>
      <w:szCs w:val="20"/>
      <w:lang w:eastAsia="pt-BR"/>
    </w:rPr>
  </w:style>
  <w:style w:type="paragraph" w:customStyle="1" w:styleId="99">
    <w:name w:val="Nivel_01_Titulo"/>
    <w:basedOn w:val="97"/>
    <w:link w:val="98"/>
    <w:qFormat/>
    <w:uiPriority w:val="0"/>
    <w:pPr>
      <w:numPr>
        <w:ilvl w:val="0"/>
        <w:numId w:val="4"/>
      </w:numPr>
      <w:spacing w:before="240" w:after="0" w:line="240" w:lineRule="auto"/>
      <w:ind w:left="0" w:firstLine="0"/>
      <w:jc w:val="left"/>
    </w:pPr>
    <w:rPr>
      <w:rFonts w:cstheme="majorBidi"/>
      <w:color w:val="000000" w:themeColor="text1"/>
      <w:spacing w:val="5"/>
      <w:kern w:val="2"/>
      <w:lang w:eastAsia="pt-BR"/>
    </w:rPr>
  </w:style>
  <w:style w:type="character" w:customStyle="1" w:styleId="100">
    <w:name w:val="Quote Char"/>
    <w:basedOn w:val="9"/>
    <w:link w:val="101"/>
    <w:qFormat/>
    <w:uiPriority w:val="0"/>
    <w:rPr>
      <w:rFonts w:ascii="Ecofont_Spranq_eco_Sans" w:hAnsi="Ecofont_Spranq_eco_Sans" w:eastAsia="Calibri" w:cs="Tahoma"/>
      <w:i/>
      <w:iCs/>
      <w:color w:val="000000"/>
      <w:shd w:val="clear" w:fill="FFFFCC"/>
    </w:rPr>
  </w:style>
  <w:style w:type="paragraph" w:customStyle="1" w:styleId="101">
    <w:name w:val="Citação1"/>
    <w:basedOn w:val="1"/>
    <w:next w:val="1"/>
    <w:link w:val="100"/>
    <w:qFormat/>
    <w:uiPriority w:val="0"/>
    <w:pPr>
      <w:pBdr>
        <w:top w:val="single" w:color="1F497D" w:sz="4" w:space="1"/>
        <w:left w:val="single" w:color="1F497D" w:sz="4" w:space="4"/>
        <w:bottom w:val="single" w:color="1F497D" w:sz="4" w:space="1"/>
        <w:right w:val="single" w:color="1F497D" w:sz="4" w:space="4"/>
      </w:pBdr>
      <w:shd w:val="clear" w:color="auto" w:fill="FFFFCC"/>
      <w:spacing w:before="120" w:after="0" w:line="240" w:lineRule="auto"/>
      <w:jc w:val="both"/>
    </w:pPr>
    <w:rPr>
      <w:rFonts w:ascii="Ecofont_Spranq_eco_Sans" w:hAnsi="Ecofont_Spranq_eco_Sans" w:eastAsia="Calibri" w:cs="Tahoma"/>
      <w:i/>
      <w:iCs/>
      <w:color w:val="000000"/>
    </w:rPr>
  </w:style>
  <w:style w:type="character" w:customStyle="1" w:styleId="102">
    <w:name w:val="spellingerror"/>
    <w:basedOn w:val="9"/>
    <w:qFormat/>
    <w:uiPriority w:val="0"/>
  </w:style>
  <w:style w:type="character" w:customStyle="1" w:styleId="103">
    <w:name w:val="Nivel1 Char"/>
    <w:basedOn w:val="62"/>
    <w:link w:val="104"/>
    <w:qFormat/>
    <w:uiPriority w:val="0"/>
    <w:rPr>
      <w:rFonts w:ascii="Arial" w:hAnsi="Arial" w:cs="Arial" w:eastAsiaTheme="majorEastAsia"/>
      <w:bCs w:val="0"/>
      <w:color w:val="000000"/>
      <w:sz w:val="28"/>
      <w:szCs w:val="28"/>
      <w:shd w:val="clear" w:fill="BFBFBF"/>
      <w:lang w:eastAsia="pt-BR"/>
    </w:rPr>
  </w:style>
  <w:style w:type="paragraph" w:customStyle="1" w:styleId="104">
    <w:name w:val="Nivel1"/>
    <w:basedOn w:val="2"/>
    <w:link w:val="103"/>
    <w:qFormat/>
    <w:uiPriority w:val="0"/>
    <w:pPr>
      <w:keepNext/>
      <w:keepLines/>
      <w:numPr>
        <w:ilvl w:val="0"/>
        <w:numId w:val="0"/>
      </w:numPr>
      <w:pBdr>
        <w:bottom w:val="none" w:color="auto" w:sz="0" w:space="0"/>
      </w:pBdr>
      <w:shd w:val="clear" w:color="auto" w:fill="auto"/>
      <w:spacing w:before="480" w:after="0" w:line="276" w:lineRule="auto"/>
      <w:ind w:left="357" w:hanging="357"/>
      <w:textAlignment w:val="auto"/>
    </w:pPr>
    <w:rPr>
      <w:rFonts w:ascii="Arial" w:hAnsi="Arial" w:cs="Arial" w:eastAsiaTheme="majorEastAsia"/>
      <w:bCs w:val="0"/>
      <w:color w:val="000000"/>
      <w:sz w:val="28"/>
      <w:szCs w:val="28"/>
    </w:rPr>
  </w:style>
  <w:style w:type="character" w:customStyle="1" w:styleId="105">
    <w:name w:val="cp_0020corpodespacho__char1"/>
    <w:qFormat/>
    <w:uiPriority w:val="0"/>
    <w:rPr>
      <w:rFonts w:ascii="Times New Roman" w:hAnsi="Times New Roman" w:cs="Times New Roman"/>
      <w:sz w:val="26"/>
      <w:szCs w:val="26"/>
      <w:u w:val="none"/>
    </w:rPr>
  </w:style>
  <w:style w:type="character" w:customStyle="1" w:styleId="106">
    <w:name w:val="em_0020ementa__char1"/>
    <w:qFormat/>
    <w:uiPriority w:val="0"/>
    <w:rPr>
      <w:rFonts w:ascii="Times New Roman" w:hAnsi="Times New Roman" w:cs="Times New Roman"/>
      <w:sz w:val="28"/>
      <w:szCs w:val="28"/>
      <w:u w:val="none"/>
    </w:rPr>
  </w:style>
  <w:style w:type="character" w:customStyle="1" w:styleId="107">
    <w:name w:val="Manoel"/>
    <w:qFormat/>
    <w:uiPriority w:val="0"/>
    <w:rPr>
      <w:rFonts w:ascii="Arial" w:hAnsi="Arial" w:cs="Arial"/>
      <w:color w:val="7030A0"/>
      <w:sz w:val="20"/>
    </w:rPr>
  </w:style>
  <w:style w:type="character" w:customStyle="1" w:styleId="108">
    <w:name w:val="Grade Colorida - Ênfase 1 Char"/>
    <w:link w:val="109"/>
    <w:qFormat/>
    <w:uiPriority w:val="29"/>
    <w:rPr>
      <w:rFonts w:ascii="Arial" w:hAnsi="Arial" w:eastAsia="Calibri" w:cs="Times New Roman"/>
      <w:i/>
      <w:iCs/>
      <w:color w:val="000000"/>
      <w:sz w:val="20"/>
      <w:szCs w:val="24"/>
      <w:shd w:val="clear" w:fill="FFFFCC"/>
    </w:rPr>
  </w:style>
  <w:style w:type="paragraph" w:customStyle="1" w:styleId="109">
    <w:name w:val="Grade Colorida - Ênfase 11"/>
    <w:basedOn w:val="1"/>
    <w:next w:val="1"/>
    <w:link w:val="108"/>
    <w:qFormat/>
    <w:uiPriority w:val="29"/>
    <w:pPr>
      <w:pBdr>
        <w:top w:val="single" w:color="1F497D" w:sz="4" w:space="1"/>
        <w:left w:val="single" w:color="1F497D" w:sz="4" w:space="4"/>
        <w:bottom w:val="single" w:color="1F497D" w:sz="4" w:space="1"/>
        <w:right w:val="single" w:color="1F497D" w:sz="4" w:space="4"/>
      </w:pBdr>
      <w:shd w:val="clear" w:color="auto" w:fill="FFFFCC"/>
      <w:spacing w:before="120" w:after="0" w:line="240" w:lineRule="auto"/>
      <w:jc w:val="both"/>
    </w:pPr>
    <w:rPr>
      <w:rFonts w:ascii="Arial" w:hAnsi="Arial" w:eastAsia="Calibri" w:cs="Times New Roman"/>
      <w:i/>
      <w:iCs/>
      <w:color w:val="000000"/>
      <w:sz w:val="20"/>
      <w:szCs w:val="24"/>
    </w:rPr>
  </w:style>
  <w:style w:type="character" w:customStyle="1" w:styleId="110">
    <w:name w:val="Menção Pendente1"/>
    <w:basedOn w:val="9"/>
    <w:semiHidden/>
    <w:unhideWhenUsed/>
    <w:qFormat/>
    <w:uiPriority w:val="99"/>
    <w:rPr>
      <w:color w:val="605E5C"/>
      <w:shd w:val="clear" w:fill="E1DFDD"/>
    </w:rPr>
  </w:style>
  <w:style w:type="character" w:customStyle="1" w:styleId="111">
    <w:name w:val="Menção Pendente2"/>
    <w:basedOn w:val="9"/>
    <w:semiHidden/>
    <w:unhideWhenUsed/>
    <w:qFormat/>
    <w:uiPriority w:val="99"/>
    <w:rPr>
      <w:color w:val="605E5C"/>
      <w:shd w:val="clear" w:fill="E1DFDD"/>
    </w:rPr>
  </w:style>
  <w:style w:type="character" w:customStyle="1" w:styleId="112">
    <w:name w:val="Nível 2 Opcional Char"/>
    <w:basedOn w:val="9"/>
    <w:link w:val="113"/>
    <w:qFormat/>
    <w:uiPriority w:val="0"/>
    <w:rPr>
      <w:rFonts w:ascii="Arial" w:hAnsi="Arial" w:eastAsia="Times New Roman" w:cs="Arial"/>
      <w:i/>
      <w:color w:val="FF0000"/>
      <w:sz w:val="20"/>
      <w:szCs w:val="20"/>
      <w:lang w:eastAsia="pt-BR"/>
    </w:rPr>
  </w:style>
  <w:style w:type="paragraph" w:customStyle="1" w:styleId="113">
    <w:name w:val="Nível 2 Opcional"/>
    <w:basedOn w:val="65"/>
    <w:link w:val="112"/>
    <w:qFormat/>
    <w:uiPriority w:val="0"/>
    <w:pPr>
      <w:numPr>
        <w:ilvl w:val="0"/>
        <w:numId w:val="0"/>
      </w:numPr>
      <w:ind w:left="432" w:hanging="432"/>
    </w:pPr>
    <w:rPr>
      <w:i/>
      <w:color w:val="FF0000"/>
    </w:rPr>
  </w:style>
  <w:style w:type="character" w:customStyle="1" w:styleId="114">
    <w:name w:val="Nível 3 Opcional Char"/>
    <w:basedOn w:val="9"/>
    <w:link w:val="115"/>
    <w:qFormat/>
    <w:uiPriority w:val="0"/>
    <w:rPr>
      <w:rFonts w:ascii="Arial" w:hAnsi="Arial" w:eastAsia="Times New Roman" w:cs="Arial"/>
      <w:i/>
      <w:iCs/>
      <w:color w:val="FF0000"/>
      <w:sz w:val="20"/>
      <w:szCs w:val="20"/>
      <w:lang w:eastAsia="pt-BR"/>
    </w:rPr>
  </w:style>
  <w:style w:type="paragraph" w:customStyle="1" w:styleId="115">
    <w:name w:val="Nível 3 Opcional"/>
    <w:basedOn w:val="83"/>
    <w:link w:val="114"/>
    <w:qFormat/>
    <w:uiPriority w:val="0"/>
    <w:pPr>
      <w:ind w:left="1072" w:hanging="504"/>
    </w:pPr>
    <w:rPr>
      <w:rFonts w:eastAsia="Times New Roman"/>
      <w:i/>
      <w:iCs/>
      <w:color w:val="FF0000"/>
    </w:rPr>
  </w:style>
  <w:style w:type="character" w:styleId="116">
    <w:name w:val="Placeholder Text"/>
    <w:basedOn w:val="9"/>
    <w:semiHidden/>
    <w:qFormat/>
    <w:uiPriority w:val="67"/>
    <w:rPr>
      <w:color w:val="808080"/>
    </w:rPr>
  </w:style>
  <w:style w:type="character" w:customStyle="1" w:styleId="117">
    <w:name w:val="Menção Pendente3"/>
    <w:basedOn w:val="9"/>
    <w:semiHidden/>
    <w:unhideWhenUsed/>
    <w:qFormat/>
    <w:uiPriority w:val="99"/>
    <w:rPr>
      <w:color w:val="605E5C"/>
      <w:shd w:val="clear" w:fill="E1DFDD"/>
    </w:rPr>
  </w:style>
  <w:style w:type="character" w:customStyle="1" w:styleId="118">
    <w:name w:val="Menção Pendente4"/>
    <w:basedOn w:val="9"/>
    <w:semiHidden/>
    <w:unhideWhenUsed/>
    <w:qFormat/>
    <w:uiPriority w:val="99"/>
    <w:rPr>
      <w:color w:val="605E5C"/>
      <w:shd w:val="clear" w:fill="E1DFDD"/>
    </w:rPr>
  </w:style>
  <w:style w:type="character" w:customStyle="1" w:styleId="119">
    <w:name w:val="Nível 4-R Char"/>
    <w:basedOn w:val="84"/>
    <w:link w:val="120"/>
    <w:qFormat/>
    <w:uiPriority w:val="0"/>
    <w:rPr>
      <w:rFonts w:ascii="Arial" w:hAnsi="Arial" w:cs="Arial" w:eastAsiaTheme="minorEastAsia"/>
      <w:i/>
      <w:iCs/>
      <w:color w:val="FF0000"/>
      <w:sz w:val="20"/>
      <w:szCs w:val="20"/>
      <w:lang w:eastAsia="pt-BR"/>
    </w:rPr>
  </w:style>
  <w:style w:type="paragraph" w:customStyle="1" w:styleId="120">
    <w:name w:val="Nível 4-R"/>
    <w:basedOn w:val="85"/>
    <w:link w:val="119"/>
    <w:qFormat/>
    <w:uiPriority w:val="0"/>
    <w:pPr>
      <w:numPr>
        <w:ilvl w:val="3"/>
        <w:numId w:val="4"/>
      </w:numPr>
      <w:ind w:left="567" w:firstLine="0"/>
    </w:pPr>
    <w:rPr>
      <w:i/>
      <w:iCs/>
      <w:color w:val="FF0000"/>
    </w:rPr>
  </w:style>
  <w:style w:type="character" w:customStyle="1" w:styleId="121">
    <w:name w:val="Nível 1-Sem Num Char"/>
    <w:basedOn w:val="96"/>
    <w:link w:val="122"/>
    <w:qFormat/>
    <w:uiPriority w:val="0"/>
    <w:rPr>
      <w:rFonts w:ascii="Arial" w:hAnsi="Arial" w:cs="Arial" w:eastAsiaTheme="majorEastAsia"/>
      <w:color w:val="17365D" w:themeColor="text2" w:themeShade="BF"/>
      <w:spacing w:val="5"/>
      <w:kern w:val="2"/>
      <w:sz w:val="20"/>
      <w:szCs w:val="20"/>
      <w:lang w:eastAsia="pt-BR"/>
    </w:rPr>
  </w:style>
  <w:style w:type="paragraph" w:customStyle="1" w:styleId="122">
    <w:name w:val="Nível 1-Sem Num"/>
    <w:basedOn w:val="97"/>
    <w:link w:val="121"/>
    <w:qFormat/>
    <w:uiPriority w:val="0"/>
    <w:pPr>
      <w:numPr>
        <w:ilvl w:val="0"/>
        <w:numId w:val="0"/>
      </w:numPr>
      <w:spacing w:before="240" w:after="0" w:line="240" w:lineRule="auto"/>
      <w:ind w:left="357" w:firstLine="0"/>
      <w:outlineLvl w:val="1"/>
    </w:pPr>
    <w:rPr>
      <w:color w:val="FF0000"/>
      <w:spacing w:val="5"/>
      <w:kern w:val="2"/>
      <w:lang w:eastAsia="pt-BR"/>
    </w:rPr>
  </w:style>
  <w:style w:type="character" w:customStyle="1" w:styleId="123">
    <w:name w:val="Preâmbulo Char"/>
    <w:basedOn w:val="9"/>
    <w:link w:val="124"/>
    <w:qFormat/>
    <w:uiPriority w:val="0"/>
    <w:rPr>
      <w:rFonts w:ascii="Arial" w:hAnsi="Arial" w:eastAsia="Arial" w:cs="Arial"/>
      <w:bCs/>
      <w:sz w:val="20"/>
      <w:szCs w:val="20"/>
      <w:lang w:eastAsia="pt-BR"/>
    </w:rPr>
  </w:style>
  <w:style w:type="paragraph" w:customStyle="1" w:styleId="124">
    <w:name w:val="Preâmbulo"/>
    <w:basedOn w:val="1"/>
    <w:link w:val="123"/>
    <w:qFormat/>
    <w:uiPriority w:val="0"/>
    <w:pPr>
      <w:spacing w:before="480" w:after="120" w:line="360" w:lineRule="auto"/>
      <w:ind w:left="4253" w:right="-17"/>
      <w:jc w:val="both"/>
    </w:pPr>
    <w:rPr>
      <w:rFonts w:ascii="Arial" w:hAnsi="Arial" w:eastAsia="Arial" w:cs="Arial"/>
      <w:bCs/>
      <w:sz w:val="20"/>
      <w:szCs w:val="20"/>
      <w:lang w:eastAsia="pt-BR"/>
    </w:rPr>
  </w:style>
  <w:style w:type="character" w:customStyle="1" w:styleId="125">
    <w:name w:val="Menção Pendente5"/>
    <w:basedOn w:val="9"/>
    <w:semiHidden/>
    <w:unhideWhenUsed/>
    <w:qFormat/>
    <w:uiPriority w:val="99"/>
    <w:rPr>
      <w:color w:val="605E5C"/>
      <w:shd w:val="clear" w:fill="E1DFDD"/>
    </w:rPr>
  </w:style>
  <w:style w:type="character" w:customStyle="1" w:styleId="126">
    <w:name w:val="Vínculo de índice"/>
    <w:qFormat/>
    <w:uiPriority w:val="0"/>
  </w:style>
  <w:style w:type="character" w:customStyle="1" w:styleId="127">
    <w:name w:val="WW8Num4z0"/>
    <w:qFormat/>
    <w:uiPriority w:val="0"/>
    <w:rPr>
      <w:rFonts w:ascii="Arial" w:hAnsi="Arial" w:eastAsia="Arial" w:cs="Arial"/>
      <w:b/>
      <w:bCs/>
      <w:color w:val="000000"/>
      <w:kern w:val="2"/>
      <w:sz w:val="30"/>
      <w:szCs w:val="28"/>
      <w:lang w:val="pt-BR" w:eastAsia="ar-SA"/>
    </w:rPr>
  </w:style>
  <w:style w:type="character" w:customStyle="1" w:styleId="128">
    <w:name w:val="Fonte parág. padrão1"/>
    <w:qFormat/>
    <w:uiPriority w:val="0"/>
  </w:style>
  <w:style w:type="character" w:customStyle="1" w:styleId="129">
    <w:name w:val="Fonte parág. padrão2"/>
    <w:qFormat/>
    <w:uiPriority w:val="0"/>
  </w:style>
  <w:style w:type="paragraph" w:customStyle="1" w:styleId="130">
    <w:name w:val="paragraph"/>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31">
    <w:name w:val="index heading1"/>
    <w:basedOn w:val="132"/>
    <w:qFormat/>
    <w:uiPriority w:val="0"/>
  </w:style>
  <w:style w:type="paragraph" w:customStyle="1" w:styleId="132">
    <w:name w:val="Título11"/>
    <w:basedOn w:val="1"/>
    <w:next w:val="3"/>
    <w:qFormat/>
    <w:uiPriority w:val="0"/>
    <w:pPr>
      <w:keepNext/>
      <w:spacing w:before="240" w:after="120"/>
    </w:pPr>
    <w:rPr>
      <w:rFonts w:ascii="Liberation Sans" w:hAnsi="Liberation Sans" w:eastAsia="Microsoft YaHei" w:cs="Arial"/>
      <w:sz w:val="28"/>
      <w:szCs w:val="28"/>
    </w:rPr>
  </w:style>
  <w:style w:type="paragraph" w:customStyle="1" w:styleId="133">
    <w:name w:val="Cabeçalho e Rodapé"/>
    <w:basedOn w:val="1"/>
    <w:qFormat/>
    <w:uiPriority w:val="0"/>
  </w:style>
  <w:style w:type="paragraph" w:customStyle="1" w:styleId="134">
    <w:name w:val="caption1"/>
    <w:basedOn w:val="1"/>
    <w:qFormat/>
    <w:uiPriority w:val="0"/>
    <w:pPr>
      <w:suppressLineNumbers/>
      <w:spacing w:before="120" w:after="120"/>
    </w:pPr>
    <w:rPr>
      <w:rFonts w:cs="Arial"/>
      <w:i/>
      <w:iCs/>
      <w:sz w:val="24"/>
      <w:szCs w:val="24"/>
    </w:rPr>
  </w:style>
  <w:style w:type="paragraph" w:customStyle="1" w:styleId="135">
    <w:name w:val="index heading11"/>
    <w:basedOn w:val="136"/>
    <w:qFormat/>
    <w:uiPriority w:val="0"/>
  </w:style>
  <w:style w:type="paragraph" w:customStyle="1" w:styleId="136">
    <w:name w:val="Título1"/>
    <w:basedOn w:val="1"/>
    <w:next w:val="3"/>
    <w:qFormat/>
    <w:uiPriority w:val="0"/>
    <w:pPr>
      <w:keepNext/>
      <w:spacing w:before="240" w:after="120"/>
    </w:pPr>
    <w:rPr>
      <w:rFonts w:ascii="Liberation Sans" w:hAnsi="Liberation Sans" w:eastAsia="Microsoft YaHei" w:cs="Arial"/>
      <w:sz w:val="28"/>
      <w:szCs w:val="28"/>
    </w:rPr>
  </w:style>
  <w:style w:type="paragraph" w:customStyle="1" w:styleId="137">
    <w:name w:val="caption11"/>
    <w:basedOn w:val="1"/>
    <w:qFormat/>
    <w:uiPriority w:val="0"/>
    <w:pPr>
      <w:suppressLineNumbers/>
      <w:spacing w:before="120" w:after="120"/>
    </w:pPr>
    <w:rPr>
      <w:rFonts w:cs="Arial"/>
      <w:i/>
      <w:iCs/>
      <w:sz w:val="24"/>
      <w:szCs w:val="24"/>
    </w:rPr>
  </w:style>
  <w:style w:type="paragraph" w:customStyle="1" w:styleId="138">
    <w:name w:val="Default"/>
    <w:qFormat/>
    <w:uiPriority w:val="0"/>
    <w:pPr>
      <w:widowControl/>
      <w:suppressAutoHyphens/>
      <w:bidi w:val="0"/>
      <w:spacing w:before="0" w:after="0" w:line="240" w:lineRule="auto"/>
      <w:jc w:val="left"/>
    </w:pPr>
    <w:rPr>
      <w:rFonts w:ascii="Calibri" w:hAnsi="Calibri" w:eastAsia="Times New Roman" w:cs="Calibri"/>
      <w:color w:val="000000"/>
      <w:kern w:val="0"/>
      <w:sz w:val="24"/>
      <w:szCs w:val="24"/>
      <w:lang w:val="pt-BR" w:eastAsia="pt-BR" w:bidi="ar-SA"/>
    </w:rPr>
  </w:style>
  <w:style w:type="paragraph" w:customStyle="1" w:styleId="139">
    <w:name w:val="TOC Heading"/>
    <w:basedOn w:val="2"/>
    <w:next w:val="1"/>
    <w:unhideWhenUsed/>
    <w:qFormat/>
    <w:uiPriority w:val="39"/>
    <w:pPr>
      <w:keepNext/>
      <w:keepLines/>
      <w:numPr>
        <w:ilvl w:val="0"/>
        <w:numId w:val="0"/>
      </w:numPr>
      <w:pBdr>
        <w:bottom w:val="none" w:color="auto" w:sz="0" w:space="0"/>
      </w:pBdr>
      <w:shd w:val="clear" w:color="auto" w:fill="auto"/>
      <w:spacing w:before="240" w:after="0" w:line="259" w:lineRule="auto"/>
      <w:jc w:val="left"/>
      <w:textAlignment w:val="auto"/>
      <w:outlineLvl w:val="9"/>
    </w:pPr>
    <w:rPr>
      <w:rFonts w:asciiTheme="majorHAnsi" w:hAnsiTheme="majorHAnsi" w:eastAsiaTheme="majorEastAsia" w:cstheme="majorBidi"/>
      <w:b w:val="0"/>
      <w:bCs w:val="0"/>
      <w:color w:val="366091" w:themeColor="accent1" w:themeShade="BF"/>
      <w:sz w:val="32"/>
      <w:szCs w:val="32"/>
    </w:rPr>
  </w:style>
  <w:style w:type="paragraph" w:customStyle="1" w:styleId="140">
    <w:name w:val="WW-Corpo de texto 2"/>
    <w:basedOn w:val="1"/>
    <w:qFormat/>
    <w:uiPriority w:val="0"/>
    <w:pPr>
      <w:suppressAutoHyphens/>
      <w:spacing w:before="0" w:after="0" w:line="200" w:lineRule="exact"/>
      <w:jc w:val="both"/>
    </w:pPr>
    <w:rPr>
      <w:rFonts w:ascii="Times New Roman" w:hAnsi="Times New Roman" w:eastAsia="Times New Roman" w:cs="Times New Roman"/>
      <w:sz w:val="20"/>
      <w:szCs w:val="20"/>
      <w:lang w:eastAsia="pt-BR"/>
    </w:rPr>
  </w:style>
  <w:style w:type="paragraph" w:customStyle="1" w:styleId="141">
    <w:name w:val="Nivel 5"/>
    <w:basedOn w:val="85"/>
    <w:qFormat/>
    <w:uiPriority w:val="0"/>
    <w:pPr>
      <w:ind w:left="1276"/>
    </w:pPr>
  </w:style>
  <w:style w:type="paragraph" w:customStyle="1" w:styleId="142">
    <w:name w:val="pf0"/>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43">
    <w:name w:val="Nível 2"/>
    <w:basedOn w:val="1"/>
    <w:next w:val="1"/>
    <w:qFormat/>
    <w:uiPriority w:val="0"/>
    <w:pPr>
      <w:spacing w:before="0" w:after="120" w:line="240" w:lineRule="auto"/>
      <w:jc w:val="both"/>
    </w:pPr>
    <w:rPr>
      <w:rFonts w:ascii="Arial" w:hAnsi="Arial" w:cs="Times New Roman" w:eastAsiaTheme="minorEastAsia"/>
      <w:b/>
      <w:sz w:val="24"/>
      <w:szCs w:val="20"/>
      <w:lang w:eastAsia="pt-BR"/>
    </w:rPr>
  </w:style>
  <w:style w:type="paragraph" w:customStyle="1" w:styleId="144">
    <w:name w:val="PADRÃO"/>
    <w:qFormat/>
    <w:uiPriority w:val="0"/>
    <w:pPr>
      <w:keepNext/>
      <w:widowControl w:val="0"/>
      <w:shd w:val="clear" w:color="auto" w:fill="FFFFFF"/>
      <w:suppressAutoHyphens/>
      <w:bidi w:val="0"/>
      <w:spacing w:before="119" w:after="119" w:line="276" w:lineRule="auto"/>
      <w:ind w:firstLine="567"/>
      <w:jc w:val="both"/>
      <w:textAlignment w:val="baseline"/>
    </w:pPr>
    <w:rPr>
      <w:rFonts w:ascii="Ecofont_Spranq_eco_Sans" w:hAnsi="Ecofont_Spranq_eco_Sans" w:eastAsia="WenQuanYi Micro Hei" w:cs="Lohit Hindi"/>
      <w:color w:val="auto"/>
      <w:kern w:val="0"/>
      <w:sz w:val="20"/>
      <w:szCs w:val="24"/>
      <w:lang w:val="pt-BR" w:eastAsia="zh-CN" w:bidi="hi-IN"/>
    </w:rPr>
  </w:style>
  <w:style w:type="paragraph" w:customStyle="1" w:styleId="145">
    <w:name w:val="Parágrafo da Lista1"/>
    <w:basedOn w:val="1"/>
    <w:qFormat/>
    <w:uiPriority w:val="0"/>
    <w:pPr>
      <w:spacing w:before="0" w:after="0" w:line="240" w:lineRule="auto"/>
      <w:ind w:left="720"/>
    </w:pPr>
    <w:rPr>
      <w:rFonts w:ascii="Ecofont_Spranq_eco_Sans" w:hAnsi="Ecofont_Spranq_eco_Sans" w:eastAsia="Times New Roman" w:cs="Ecofont_Spranq_eco_Sans"/>
      <w:sz w:val="24"/>
      <w:szCs w:val="24"/>
      <w:lang w:eastAsia="pt-BR"/>
    </w:rPr>
  </w:style>
  <w:style w:type="paragraph" w:customStyle="1" w:styleId="146">
    <w:name w:val="Nivel 1"/>
    <w:basedOn w:val="65"/>
    <w:next w:val="65"/>
    <w:qFormat/>
    <w:uiPriority w:val="0"/>
    <w:pPr>
      <w:numPr>
        <w:ilvl w:val="0"/>
        <w:numId w:val="0"/>
      </w:numPr>
      <w:ind w:left="360" w:hanging="360"/>
    </w:pPr>
    <w:rPr>
      <w:rFonts w:eastAsiaTheme="minorEastAsia"/>
      <w:b/>
      <w:color w:val="000000"/>
    </w:rPr>
  </w:style>
  <w:style w:type="paragraph" w:customStyle="1" w:styleId="147">
    <w:name w:val="textbody"/>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48">
    <w:name w:val="em_0020ementa"/>
    <w:basedOn w:val="1"/>
    <w:qFormat/>
    <w:uiPriority w:val="0"/>
    <w:pPr>
      <w:spacing w:before="0" w:after="0" w:line="240" w:lineRule="auto"/>
      <w:ind w:left="4160"/>
      <w:jc w:val="both"/>
    </w:pPr>
    <w:rPr>
      <w:rFonts w:ascii="Times New Roman" w:hAnsi="Times New Roman" w:eastAsia="Times New Roman" w:cs="Times New Roman"/>
      <w:sz w:val="28"/>
      <w:szCs w:val="28"/>
      <w:lang w:eastAsia="pt-BR"/>
    </w:rPr>
  </w:style>
  <w:style w:type="paragraph" w:customStyle="1" w:styleId="149">
    <w:name w:val="Revision"/>
    <w:semiHidden/>
    <w:qFormat/>
    <w:uiPriority w:val="99"/>
    <w:pPr>
      <w:widowControl/>
      <w:suppressAutoHyphens/>
      <w:bidi w:val="0"/>
      <w:spacing w:before="0" w:after="0" w:line="240" w:lineRule="auto"/>
      <w:jc w:val="left"/>
    </w:pPr>
    <w:rPr>
      <w:rFonts w:ascii="Ecofont_Spranq_eco_Sans" w:hAnsi="Ecofont_Spranq_eco_Sans" w:eastAsia="Times New Roman" w:cs="Tahoma"/>
      <w:color w:val="auto"/>
      <w:kern w:val="0"/>
      <w:sz w:val="24"/>
      <w:szCs w:val="24"/>
      <w:lang w:val="pt-BR" w:eastAsia="pt-BR" w:bidi="ar-SA"/>
    </w:rPr>
  </w:style>
  <w:style w:type="paragraph" w:customStyle="1" w:styleId="150">
    <w:name w:val="texto1"/>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1">
    <w:name w:val="x_western"/>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2">
    <w:name w:val="TCU - Ac - item 9 - §§_0"/>
    <w:basedOn w:val="1"/>
    <w:qFormat/>
    <w:uiPriority w:val="0"/>
    <w:pPr>
      <w:spacing w:before="0" w:after="0" w:line="240" w:lineRule="auto"/>
      <w:ind w:firstLine="1134"/>
      <w:jc w:val="both"/>
    </w:pPr>
    <w:rPr>
      <w:rFonts w:ascii="Times New Roman" w:hAnsi="Times New Roman" w:eastAsia="Times New Roman" w:cs="Times New Roman"/>
      <w:sz w:val="24"/>
    </w:rPr>
  </w:style>
  <w:style w:type="paragraph" w:customStyle="1" w:styleId="153">
    <w:name w:val="Normal_1"/>
    <w:qFormat/>
    <w:uiPriority w:val="0"/>
    <w:pPr>
      <w:widowControl/>
      <w:suppressAutoHyphens/>
      <w:bidi w:val="0"/>
      <w:spacing w:before="0" w:after="0" w:line="240" w:lineRule="auto"/>
      <w:jc w:val="left"/>
    </w:pPr>
    <w:rPr>
      <w:rFonts w:ascii="Times New Roman" w:hAnsi="Times New Roman" w:eastAsia="Times New Roman" w:cs="Times New Roman"/>
      <w:color w:val="auto"/>
      <w:kern w:val="0"/>
      <w:sz w:val="24"/>
      <w:szCs w:val="22"/>
      <w:lang w:val="pt-BR" w:eastAsia="en-US" w:bidi="ar-SA"/>
    </w:rPr>
  </w:style>
  <w:style w:type="paragraph" w:customStyle="1" w:styleId="154">
    <w:name w:val="tcu_-__ac_-_item_9_-_1ª_linh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5">
    <w:name w:val="texto_justificado_recuo_primeira_linh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6">
    <w:name w:val="texto_justificado"/>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7">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after="0" w:line="240" w:lineRule="auto"/>
      <w:jc w:val="both"/>
    </w:pPr>
    <w:rPr>
      <w:rFonts w:ascii="Ecofont_Spranq_eco_Sans" w:hAnsi="Ecofont_Spranq_eco_Sans" w:eastAsia="Calibri" w:cs="Tahoma"/>
      <w:i/>
      <w:iCs/>
      <w:color w:val="000000"/>
      <w:sz w:val="20"/>
      <w:szCs w:val="24"/>
      <w:lang w:eastAsia="zh-CN"/>
    </w:rPr>
  </w:style>
  <w:style w:type="paragraph" w:customStyle="1" w:styleId="158">
    <w:name w:val="corpo"/>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9">
    <w:name w:val="item_nivel2"/>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0">
    <w:name w:val="item_nivel1"/>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1">
    <w:name w:val="item_alinea_letr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2">
    <w:name w:val="Standard"/>
    <w:qFormat/>
    <w:uiPriority w:val="0"/>
    <w:pPr>
      <w:widowControl/>
      <w:suppressAutoHyphens/>
      <w:bidi w:val="0"/>
      <w:spacing w:before="0" w:after="0" w:line="240" w:lineRule="auto"/>
      <w:jc w:val="left"/>
    </w:pPr>
    <w:rPr>
      <w:rFonts w:ascii="Liberation Serif" w:hAnsi="Liberation Serif" w:eastAsia="NSimSun" w:cs="Lucida Sans"/>
      <w:color w:val="auto"/>
      <w:kern w:val="2"/>
      <w:sz w:val="24"/>
      <w:szCs w:val="24"/>
      <w:lang w:val="pt-BR" w:eastAsia="zh-CN" w:bidi="hi-IN"/>
    </w:rPr>
  </w:style>
  <w:style w:type="paragraph" w:customStyle="1" w:styleId="163">
    <w:name w:val="Text body"/>
    <w:basedOn w:val="162"/>
    <w:qFormat/>
    <w:uiPriority w:val="0"/>
    <w:pPr>
      <w:spacing w:before="0" w:after="140" w:line="276" w:lineRule="auto"/>
    </w:pPr>
  </w:style>
  <w:style w:type="paragraph" w:customStyle="1" w:styleId="164">
    <w:name w:val="dou-paragraph"/>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5">
    <w:name w:val="citação 2"/>
    <w:basedOn w:val="92"/>
    <w:qFormat/>
    <w:uiPriority w:val="0"/>
    <w:pPr>
      <w:overflowPunct/>
    </w:pPr>
    <w:rPr>
      <w:szCs w:val="20"/>
    </w:rPr>
  </w:style>
  <w:style w:type="paragraph" w:customStyle="1" w:styleId="166">
    <w:name w:val="tabela_texto_alinhado_esquerd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7">
    <w:name w:val="tabela_texto_8"/>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8">
    <w:name w:val="tabela_texto_centralizado"/>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9">
    <w:name w:val="texto_centralizado_maiusculas"/>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0">
    <w:name w:val="Conteúdo da tabela"/>
    <w:basedOn w:val="1"/>
    <w:qFormat/>
    <w:uiPriority w:val="0"/>
    <w:pPr>
      <w:suppressAutoHyphens/>
    </w:pPr>
    <w:rPr>
      <w:lang w:eastAsia="ar-SA"/>
    </w:rPr>
  </w:style>
  <w:style w:type="paragraph" w:customStyle="1" w:styleId="171">
    <w:name w:val="Título de tabela"/>
    <w:basedOn w:val="170"/>
    <w:qFormat/>
    <w:uiPriority w:val="0"/>
    <w:pPr>
      <w:suppressLineNumbers/>
      <w:jc w:val="center"/>
    </w:pPr>
    <w:rPr>
      <w:b/>
      <w:bCs/>
    </w:rPr>
  </w:style>
  <w:style w:type="paragraph" w:customStyle="1" w:styleId="172">
    <w:name w:val="Table Paragraph"/>
    <w:basedOn w:val="1"/>
    <w:qFormat/>
    <w:uiPriority w:val="0"/>
  </w:style>
  <w:style w:type="paragraph" w:styleId="173">
    <w:name w:val="No Spacing"/>
    <w:qFormat/>
    <w:uiPriority w:val="0"/>
    <w:pPr>
      <w:widowControl/>
      <w:suppressAutoHyphens/>
      <w:bidi w:val="0"/>
      <w:spacing w:before="0" w:after="0" w:line="100" w:lineRule="atLeast"/>
      <w:jc w:val="left"/>
    </w:pPr>
    <w:rPr>
      <w:rFonts w:cs="Calibri" w:asciiTheme="minorHAnsi" w:hAnsiTheme="minorHAnsi" w:eastAsiaTheme="minorHAnsi"/>
      <w:color w:val="auto"/>
      <w:kern w:val="0"/>
      <w:sz w:val="22"/>
      <w:szCs w:val="22"/>
      <w:lang w:val="pt-BR" w:eastAsia="en-US" w:bidi="ar-SA"/>
    </w:rPr>
  </w:style>
  <w:style w:type="paragraph" w:customStyle="1" w:styleId="174">
    <w:name w:val="Sem Espaçamento"/>
    <w:qFormat/>
    <w:uiPriority w:val="0"/>
    <w:pPr>
      <w:widowControl/>
      <w:suppressAutoHyphens/>
      <w:bidi w:val="0"/>
      <w:spacing w:before="0" w:after="0" w:line="100" w:lineRule="atLeast"/>
      <w:jc w:val="left"/>
    </w:pPr>
    <w:rPr>
      <w:rFonts w:ascii="Times New Roman" w:hAnsi="Times New Roman" w:eastAsia="Liberation Serif" w:cs="Liberation Serif"/>
      <w:color w:val="auto"/>
      <w:kern w:val="0"/>
      <w:sz w:val="22"/>
      <w:szCs w:val="22"/>
      <w:lang w:val="pt-BR" w:eastAsia="hi-IN" w:bidi="ar-SA"/>
    </w:rPr>
  </w:style>
  <w:style w:type="paragraph" w:customStyle="1" w:styleId="175">
    <w:name w:val="western"/>
    <w:basedOn w:val="1"/>
    <w:qFormat/>
    <w:uiPriority w:val="0"/>
    <w:pPr>
      <w:widowControl/>
      <w:suppressAutoHyphens/>
      <w:spacing w:before="280" w:after="119"/>
    </w:pPr>
    <w:rPr>
      <w:rFonts w:ascii="Times New Roman" w:hAnsi="Times New Roman" w:eastAsia="Times New Roman" w:cs="Times New Roman"/>
      <w:sz w:val="24"/>
      <w:szCs w:val="24"/>
      <w:lang w:val="pt-BR" w:eastAsia="zh-CN"/>
    </w:rPr>
  </w:style>
  <w:style w:type="paragraph" w:customStyle="1" w:styleId="176">
    <w:name w:val="Título 21"/>
    <w:basedOn w:val="1"/>
    <w:qFormat/>
    <w:uiPriority w:val="0"/>
    <w:pPr>
      <w:numPr>
        <w:ilvl w:val="0"/>
        <w:numId w:val="0"/>
      </w:numPr>
      <w:ind w:left="476" w:hanging="285"/>
      <w:jc w:val="both"/>
      <w:outlineLvl w:val="1"/>
    </w:pPr>
    <w:rPr>
      <w:rFonts w:ascii="Tahoma" w:hAnsi="Tahoma" w:eastAsia="Times New Roman" w:cs="Tahoma"/>
      <w:b/>
      <w:bCs/>
      <w:lang w:val="pt-BR" w:eastAsia="pt-BR"/>
    </w:rPr>
  </w:style>
  <w:style w:type="table" w:customStyle="1" w:styleId="177">
    <w:name w:val="List Table 2"/>
    <w:basedOn w:val="10"/>
    <w:uiPriority w:val="47"/>
    <w:pPr>
      <w:spacing w:after="0" w:line="240" w:lineRule="auto"/>
    </w:pPr>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paragraph" w:customStyle="1" w:styleId="178">
    <w:name w:val="Parágrafo da Lista"/>
    <w:basedOn w:val="1"/>
    <w:qFormat/>
    <w:uiPriority w:val="7"/>
    <w:pPr>
      <w:suppressAutoHyphens/>
      <w:ind w:left="720" w:right="0" w:firstLine="0"/>
    </w:pPr>
    <w:rPr>
      <w:lang w:eastAsia="ar-SA"/>
    </w:rPr>
  </w:style>
  <w:style w:type="paragraph" w:customStyle="1" w:styleId="179">
    <w:name w:val="Table Contents"/>
    <w:basedOn w:val="1"/>
    <w:qFormat/>
    <w:uiPriority w:val="6"/>
    <w:pPr>
      <w:widowControl w:val="0"/>
      <w:suppressLineNumbers/>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majorFont>
      <a:minorFont>
        <a:latin typeface="Calibri"/>
        <a:ea typeface=""/>
        <a:cs typeface=""/>
      </a:minorFont>
    </a:fontScheme>
    <a:fmtScheme na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9BCD0BBE5FF6A428B22A2C1997703AB" ma:contentTypeVersion="2" ma:contentTypeDescription="Crie um novo documento." ma:contentTypeScope="" ma:versionID="4849a99c89ee830415bf1e799923efdb">
  <xsd:schema xmlns:xsd="http://www.w3.org/2001/XMLSchema" xmlns:xs="http://www.w3.org/2001/XMLSchema" xmlns:p="http://schemas.microsoft.com/office/2006/metadata/properties" xmlns:ns2="6fc0d3f4-1f87-48e4-be3e-f6909f2f0919" targetNamespace="http://schemas.microsoft.com/office/2006/metadata/properties" ma:root="true" ma:fieldsID="55ffb4ea865a6613d550fea9559a6110" ns2:_="">
    <xsd:import namespace="6fc0d3f4-1f87-48e4-be3e-f6909f2f091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0d3f4-1f87-48e4-be3e-f6909f2f0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C04C24-93FC-4DC4-AA5D-F86104CE1FE2}">
  <ds:schemaRefs/>
</ds:datastoreItem>
</file>

<file path=customXml/itemProps2.xml><?xml version="1.0" encoding="utf-8"?>
<ds:datastoreItem xmlns:ds="http://schemas.openxmlformats.org/officeDocument/2006/customXml" ds:itemID="{89AF43AB-258F-46AE-84B1-DCEC811B5169}">
  <ds:schemaRefs/>
</ds:datastoreItem>
</file>

<file path=customXml/itemProps3.xml><?xml version="1.0" encoding="utf-8"?>
<ds:datastoreItem xmlns:ds="http://schemas.openxmlformats.org/officeDocument/2006/customXml" ds:itemID="{7E0CCFE8-B119-41DE-8C8E-2F3073DA7E25}">
  <ds:schemaRefs/>
</ds:datastoreItem>
</file>

<file path=customXml/itemProps4.xml><?xml version="1.0" encoding="utf-8"?>
<ds:datastoreItem xmlns:ds="http://schemas.openxmlformats.org/officeDocument/2006/customXml" ds:itemID="{781D5C72-3651-4138-9965-9B0CE3CCB50E}">
  <ds:schemaRefs/>
</ds:datastoreItem>
</file>

<file path=docProps/app.xml><?xml version="1.0" encoding="utf-8"?>
<Properties xmlns="http://schemas.openxmlformats.org/officeDocument/2006/extended-properties" xmlns:vt="http://schemas.openxmlformats.org/officeDocument/2006/docPropsVTypes">
  <Template>Normal.dotm</Template>
  <Pages>66</Pages>
  <Words>28673</Words>
  <Characters>160418</Characters>
  <Paragraphs>1384</Paragraphs>
  <TotalTime>0</TotalTime>
  <ScaleCrop>false</ScaleCrop>
  <LinksUpToDate>false</LinksUpToDate>
  <CharactersWithSpaces>187080</CharactersWithSpaces>
  <Application>WPS Office_12.2.0.13489_F1E327BC-269C-435d-A152-05C5408002CA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2023-08-29T13:09:00Z</dcterms:created>
  <dc:creator>Nilson</dc:creator>
  <cp:lastModifiedBy>Licitações e Contratos Câma</cp:lastModifiedBy>
  <cp:lastPrinted>2024-03-12T16:41:00Z</cp:lastPrinted>
  <dcterms:modified xsi:type="dcterms:W3CDTF">2024-03-27T18:26:53Z</dcterms:modified>
  <dc:title>Minuta Edital de Pregão - Serviços com SRP</dc:title>
  <cp:revision>1330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0x010100F9BCD0BBE5FF6A428B22A2C1997703AB</vt:lpwstr>
  </property>
  <property fmtid="{D5CDD505-2E9C-101B-9397-08002B2CF9AE}" pid="3" name="ICV">
    <vt:lpwstr>74057C4FAE744338ABF96E110D5224C4_12</vt:lpwstr>
  </property>
  <property fmtid="{D5CDD505-2E9C-101B-9397-08002B2CF9AE}" pid="4" name="KSOProductBuildVer">
    <vt:lpwstr>1046-12.2.0.13489</vt:lpwstr>
  </property>
</Properties>
</file>