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600" w:beforeAutospacing="0" w:after="0" w:afterAutospacing="0"/>
        <w:jc w:val="center"/>
        <w:textAlignment w:val="baseline"/>
        <w:rPr>
          <w:sz w:val="24"/>
          <w:szCs w:val="24"/>
          <w:u w:val="none"/>
        </w:rPr>
      </w:pPr>
      <w:r>
        <w:rPr>
          <w:rStyle w:val="52"/>
          <w:b/>
          <w:bCs/>
          <w:color w:val="000000"/>
          <w:sz w:val="24"/>
          <w:szCs w:val="24"/>
          <w:u w:val="none"/>
          <w:shd w:val="clear" w:fill="auto"/>
        </w:rPr>
        <w:t xml:space="preserve">EDITAL DO PREGÃO Nº </w:t>
      </w:r>
      <w:r>
        <w:rPr>
          <w:rStyle w:val="52"/>
          <w:rFonts w:hint="default"/>
          <w:b/>
          <w:bCs/>
          <w:color w:val="000000"/>
          <w:sz w:val="24"/>
          <w:szCs w:val="24"/>
          <w:u w:val="none"/>
          <w:shd w:val="clear" w:fill="auto"/>
          <w:lang w:val="pt-BR"/>
        </w:rPr>
        <w:t>10/</w:t>
      </w:r>
      <w:r>
        <w:rPr>
          <w:rStyle w:val="52"/>
          <w:b/>
          <w:bCs/>
          <w:color w:val="000000"/>
          <w:sz w:val="24"/>
          <w:szCs w:val="24"/>
          <w:u w:val="none"/>
          <w:shd w:val="clear" w:fill="auto"/>
        </w:rPr>
        <w:t>2024</w:t>
      </w:r>
    </w:p>
    <w:p>
      <w:pPr>
        <w:pStyle w:val="49"/>
        <w:spacing w:before="0" w:beforeAutospacing="0" w:after="600" w:afterAutospacing="0"/>
        <w:jc w:val="center"/>
        <w:textAlignment w:val="baseline"/>
        <w:rPr>
          <w:rFonts w:hint="default"/>
          <w:sz w:val="24"/>
          <w:szCs w:val="24"/>
          <w:lang w:val="pt-BR"/>
        </w:rPr>
      </w:pPr>
      <w:r>
        <w:rPr>
          <w:rStyle w:val="52"/>
          <w:b/>
          <w:bCs/>
          <w:color w:val="000000"/>
          <w:sz w:val="24"/>
          <w:szCs w:val="24"/>
          <w:shd w:val="clear" w:fill="auto"/>
        </w:rPr>
        <w:t>PROCESSO ADMINISTRATIVO</w:t>
      </w:r>
      <w:r>
        <w:rPr>
          <w:rStyle w:val="52"/>
          <w:rFonts w:hint="default"/>
          <w:b/>
          <w:bCs/>
          <w:color w:val="000000"/>
          <w:sz w:val="24"/>
          <w:szCs w:val="24"/>
          <w:shd w:val="clear" w:fill="auto"/>
          <w:lang w:val="pt-BR"/>
        </w:rPr>
        <w:t xml:space="preserve"> Nº 28/</w:t>
      </w:r>
      <w:r>
        <w:rPr>
          <w:rStyle w:val="52"/>
          <w:b/>
          <w:bCs/>
          <w:color w:val="000000"/>
          <w:sz w:val="24"/>
          <w:szCs w:val="24"/>
          <w:shd w:val="clear" w:fill="auto"/>
        </w:rPr>
        <w:t>202</w:t>
      </w:r>
      <w:r>
        <w:rPr>
          <w:rStyle w:val="52"/>
          <w:rFonts w:hint="default"/>
          <w:b/>
          <w:bCs/>
          <w:color w:val="000000"/>
          <w:sz w:val="24"/>
          <w:szCs w:val="24"/>
          <w:shd w:val="clear" w:fill="auto"/>
          <w:lang w:val="pt-BR"/>
        </w:rPr>
        <w:t>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49"/>
              <w:widowControl/>
              <w:suppressAutoHyphens/>
              <w:spacing w:before="120" w:beforeAutospacing="0" w:after="120" w:afterAutospacing="0" w:line="240" w:lineRule="auto"/>
              <w:jc w:val="center"/>
              <w:textAlignment w:val="baseline"/>
              <w:rPr>
                <w:b/>
                <w:bCs/>
                <w:sz w:val="22"/>
                <w:szCs w:val="22"/>
              </w:rPr>
            </w:pPr>
            <w:r>
              <w:rPr>
                <w:rStyle w:val="52"/>
                <w:b/>
                <w:bCs/>
                <w:color w:val="000000"/>
                <w:kern w:val="0"/>
                <w:sz w:val="22"/>
                <w:szCs w:val="22"/>
                <w:u w:val="none"/>
                <w:lang w:val="pt-BR" w:bidi="ar-SA"/>
              </w:rPr>
              <w:t>Resumo do Certame Licitatório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Órgão Gerenciador:</w:t>
            </w:r>
          </w:p>
          <w:p>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kern w:val="0"/>
                <w:sz w:val="22"/>
                <w:szCs w:val="22"/>
                <w:lang w:val="pt-BR" w:bidi="ar-SA"/>
              </w:rPr>
              <w:t>Câmara Municipal de Primavera do Leste - MT</w:t>
            </w:r>
          </w:p>
        </w:tc>
        <w:tc>
          <w:tcPr>
            <w:tcW w:w="2347" w:type="dxa"/>
            <w:gridSpan w:val="2"/>
            <w:shd w:val="clear" w:color="auto" w:fill="DDDDDD"/>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CNPJ:</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u w:val="none"/>
                <w:lang w:val="pt-BR"/>
              </w:rPr>
              <w:t>24.672.727/0001-83</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Modalidade:</w:t>
            </w:r>
          </w:p>
          <w:p>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kern w:val="0"/>
                <w:sz w:val="22"/>
                <w:szCs w:val="22"/>
                <w:lang w:val="pt-BR" w:bidi="ar-SA"/>
              </w:rPr>
              <w:t>Pregão</w:t>
            </w:r>
          </w:p>
        </w:tc>
        <w:tc>
          <w:tcPr>
            <w:tcW w:w="1703" w:type="dxa"/>
          </w:tcPr>
          <w:p>
            <w:pPr>
              <w:pStyle w:val="49"/>
              <w:widowControl/>
              <w:suppressAutoHyphens/>
              <w:spacing w:before="0" w:beforeAutospacing="0" w:after="0" w:afterAutospacing="0" w:line="240" w:lineRule="auto"/>
              <w:jc w:val="left"/>
              <w:textAlignment w:val="baseline"/>
              <w:rPr>
                <w:sz w:val="22"/>
                <w:szCs w:val="22"/>
              </w:rPr>
            </w:pPr>
            <w:r>
              <w:rPr>
                <w:rStyle w:val="52"/>
                <w:color w:val="000000"/>
                <w:kern w:val="0"/>
                <w:sz w:val="22"/>
                <w:szCs w:val="22"/>
                <w:lang w:val="pt-BR" w:bidi="ar-SA"/>
              </w:rPr>
              <w:t>Forma:</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lang w:val="pt-BR" w:bidi="ar-SA"/>
              </w:rPr>
              <w:t>Eletrônica</w:t>
            </w:r>
          </w:p>
        </w:tc>
        <w:tc>
          <w:tcPr>
            <w:tcW w:w="2743" w:type="dxa"/>
            <w:gridSpan w:val="2"/>
          </w:tcPr>
          <w:p>
            <w:pPr>
              <w:pStyle w:val="49"/>
              <w:widowControl/>
              <w:suppressAutoHyphens/>
              <w:spacing w:before="0" w:beforeAutospacing="0" w:after="0" w:afterAutospacing="0" w:line="240" w:lineRule="auto"/>
              <w:jc w:val="left"/>
              <w:textAlignment w:val="baseline"/>
              <w:rPr>
                <w:sz w:val="22"/>
                <w:szCs w:val="22"/>
              </w:rPr>
            </w:pPr>
            <w:r>
              <w:rPr>
                <w:rStyle w:val="54"/>
                <w:color w:val="000000"/>
                <w:kern w:val="0"/>
                <w:sz w:val="22"/>
                <w:szCs w:val="22"/>
                <w:lang w:val="pt-BR" w:bidi="ar-SA"/>
              </w:rPr>
              <w:t>Modo de Disputa:</w:t>
            </w:r>
          </w:p>
          <w:p>
            <w:pPr>
              <w:pStyle w:val="49"/>
              <w:widowControl/>
              <w:suppressAutoHyphens/>
              <w:spacing w:before="0" w:beforeAutospacing="0" w:after="0" w:afterAutospacing="0" w:line="240" w:lineRule="auto"/>
              <w:jc w:val="left"/>
              <w:textAlignment w:val="baseline"/>
              <w:rPr>
                <w:sz w:val="22"/>
                <w:szCs w:val="22"/>
              </w:rPr>
            </w:pPr>
            <w:r>
              <w:rPr>
                <w:rStyle w:val="54"/>
                <w:b/>
                <w:bCs/>
                <w:color w:val="000000"/>
                <w:kern w:val="0"/>
                <w:sz w:val="22"/>
                <w:szCs w:val="22"/>
                <w:shd w:val="clear" w:fill="auto"/>
                <w:lang w:val="pt-BR" w:bidi="ar-SA"/>
              </w:rPr>
              <w:t>Aberto</w:t>
            </w:r>
          </w:p>
        </w:tc>
        <w:tc>
          <w:tcPr>
            <w:tcW w:w="2367" w:type="dxa"/>
            <w:gridSpan w:val="2"/>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Critério de Julgamento:</w:t>
            </w:r>
          </w:p>
          <w:p>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b/>
                <w:bCs/>
                <w:color w:val="000000" w:themeColor="text1"/>
                <w:kern w:val="0"/>
                <w:sz w:val="22"/>
                <w:szCs w:val="22"/>
                <w:lang w:val="pt-BR" w:bidi="ar-SA"/>
                <w14:textFill>
                  <w14:solidFill>
                    <w14:schemeClr w14:val="tx1"/>
                  </w14:solidFill>
                </w14:textFill>
              </w:rPr>
              <w:t xml:space="preserve">MENOR PREÇO POR </w:t>
            </w:r>
            <w:r>
              <w:rPr>
                <w:rStyle w:val="52"/>
                <w:rFonts w:hint="default"/>
                <w:b/>
                <w:bCs/>
                <w:color w:val="000000" w:themeColor="text1"/>
                <w:kern w:val="0"/>
                <w:sz w:val="22"/>
                <w:szCs w:val="22"/>
                <w:lang w:val="pt-BR" w:bidi="ar-SA"/>
                <w14:textFill>
                  <w14:solidFill>
                    <w14:schemeClr w14:val="tx1"/>
                  </w14:solidFill>
                </w14:textFill>
              </w:rPr>
              <w:t>LOTE</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49"/>
              <w:widowControl/>
              <w:suppressAutoHyphens/>
              <w:spacing w:before="0" w:beforeAutospacing="0" w:after="0" w:afterAutospacing="0" w:line="240" w:lineRule="auto"/>
              <w:jc w:val="left"/>
              <w:textAlignment w:val="baseline"/>
              <w:rPr>
                <w:rStyle w:val="52"/>
                <w:b w:val="0"/>
                <w:bCs w:val="0"/>
                <w:color w:val="000000" w:themeColor="text1"/>
                <w:kern w:val="0"/>
                <w:sz w:val="22"/>
                <w:szCs w:val="22"/>
                <w:lang w:val="pt-BR" w:bidi="ar-SA"/>
                <w14:textFill>
                  <w14:solidFill>
                    <w14:schemeClr w14:val="tx1"/>
                  </w14:solidFill>
                </w14:textFill>
              </w:rPr>
            </w:pPr>
            <w:r>
              <w:rPr>
                <w:rStyle w:val="52"/>
                <w:b w:val="0"/>
                <w:bCs w:val="0"/>
                <w:color w:val="000000" w:themeColor="text1"/>
                <w:kern w:val="0"/>
                <w:sz w:val="22"/>
                <w:szCs w:val="22"/>
                <w:lang w:val="pt-BR" w:bidi="ar-SA"/>
                <w14:textFill>
                  <w14:solidFill>
                    <w14:schemeClr w14:val="tx1"/>
                  </w14:solidFill>
                </w14:textFill>
              </w:rPr>
              <w:t>Data:</w:t>
            </w:r>
          </w:p>
          <w:p>
            <w:pPr>
              <w:pStyle w:val="49"/>
              <w:widowControl/>
              <w:suppressAutoHyphens/>
              <w:spacing w:before="0" w:beforeAutospacing="0" w:after="0" w:afterAutospacing="0" w:line="240" w:lineRule="auto"/>
              <w:jc w:val="left"/>
              <w:textAlignment w:val="baseline"/>
              <w:rPr>
                <w:b/>
                <w:bCs/>
                <w:sz w:val="22"/>
                <w:szCs w:val="22"/>
              </w:rPr>
            </w:pPr>
            <w:r>
              <w:rPr>
                <w:rStyle w:val="52"/>
                <w:rFonts w:hint="default"/>
                <w:b w:val="0"/>
                <w:bCs w:val="0"/>
                <w:color w:val="000000" w:themeColor="text1"/>
                <w:kern w:val="0"/>
                <w:sz w:val="22"/>
                <w:szCs w:val="22"/>
                <w:lang w:val="pt-BR" w:bidi="ar-SA"/>
                <w14:textFill>
                  <w14:solidFill>
                    <w14:schemeClr w14:val="tx1"/>
                  </w14:solidFill>
                </w14:textFill>
              </w:rPr>
              <w:t>13/06/2024</w:t>
            </w:r>
          </w:p>
        </w:tc>
        <w:tc>
          <w:tcPr>
            <w:tcW w:w="1839" w:type="dxa"/>
            <w:gridSpan w:val="2"/>
            <w:shd w:val="clear" w:color="auto" w:fill="DDDDDD"/>
          </w:tcPr>
          <w:p>
            <w:pPr>
              <w:pStyle w:val="49"/>
              <w:widowControl/>
              <w:suppressAutoHyphens/>
              <w:spacing w:before="0" w:beforeAutospacing="0" w:after="0" w:afterAutospacing="0" w:line="240" w:lineRule="auto"/>
              <w:jc w:val="left"/>
              <w:textAlignment w:val="baseline"/>
              <w:rPr>
                <w:rStyle w:val="52"/>
                <w:rFonts w:hint="default"/>
                <w:color w:val="000000" w:themeColor="text1"/>
                <w:kern w:val="0"/>
                <w:sz w:val="22"/>
                <w:szCs w:val="22"/>
                <w:lang w:val="pt-BR" w:bidi="ar-SA"/>
                <w14:textFill>
                  <w14:solidFill>
                    <w14:schemeClr w14:val="tx1"/>
                  </w14:solidFill>
                </w14:textFill>
              </w:rPr>
            </w:pPr>
            <w:r>
              <w:rPr>
                <w:rStyle w:val="52"/>
                <w:color w:val="000000" w:themeColor="text1"/>
                <w:kern w:val="0"/>
                <w:sz w:val="22"/>
                <w:szCs w:val="22"/>
                <w:lang w:val="pt-BR" w:bidi="ar-SA"/>
                <w14:textFill>
                  <w14:solidFill>
                    <w14:schemeClr w14:val="tx1"/>
                  </w14:solidFill>
                </w14:textFill>
              </w:rPr>
              <w:t>Horário:</w:t>
            </w:r>
          </w:p>
          <w:p>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rFonts w:hint="default"/>
                <w:color w:val="000000" w:themeColor="text1"/>
                <w:kern w:val="0"/>
                <w:sz w:val="22"/>
                <w:szCs w:val="22"/>
                <w:lang w:val="pt-BR" w:bidi="ar-SA"/>
                <w14:textFill>
                  <w14:solidFill>
                    <w14:schemeClr w14:val="tx1"/>
                  </w14:solidFill>
                </w14:textFill>
              </w:rPr>
              <w:t>09h00 min</w:t>
            </w:r>
          </w:p>
          <w:p>
            <w:pPr>
              <w:pStyle w:val="49"/>
              <w:widowControl/>
              <w:suppressAutoHyphens/>
              <w:spacing w:before="0" w:beforeAutospacing="0" w:after="0" w:afterAutospacing="0" w:line="240" w:lineRule="auto"/>
              <w:jc w:val="left"/>
              <w:textAlignment w:val="baseline"/>
              <w:rPr>
                <w:sz w:val="22"/>
                <w:szCs w:val="22"/>
              </w:rPr>
            </w:pPr>
          </w:p>
        </w:tc>
        <w:tc>
          <w:tcPr>
            <w:tcW w:w="5027" w:type="dxa"/>
            <w:gridSpan w:val="4"/>
            <w:shd w:val="clear" w:color="auto" w:fill="DDDDDD"/>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Plataforma:</w:t>
            </w:r>
          </w:p>
          <w:p>
            <w:pPr>
              <w:pStyle w:val="49"/>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Exige Amostra?</w:t>
            </w:r>
          </w:p>
          <w:p>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Não</w:t>
            </w:r>
          </w:p>
        </w:tc>
        <w:tc>
          <w:tcPr>
            <w:tcW w:w="1703" w:type="dxa"/>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Participação:</w:t>
            </w:r>
          </w:p>
          <w:p>
            <w:pPr>
              <w:pStyle w:val="49"/>
              <w:widowControl/>
              <w:suppressAutoHyphens/>
              <w:spacing w:before="0" w:beforeAutospacing="0" w:after="0" w:afterAutospacing="0" w:line="240" w:lineRule="auto"/>
              <w:jc w:val="left"/>
              <w:textAlignment w:val="baseline"/>
              <w:rPr>
                <w:rFonts w:hint="default"/>
                <w:sz w:val="22"/>
                <w:szCs w:val="22"/>
                <w:lang w:val="pt-BR"/>
              </w:rPr>
            </w:pPr>
            <w:r>
              <w:rPr>
                <w:rFonts w:hint="default"/>
                <w:b/>
                <w:bCs/>
                <w:sz w:val="22"/>
                <w:szCs w:val="22"/>
                <w:lang w:val="pt-BR"/>
              </w:rPr>
              <w:t xml:space="preserve">Itens Exclusivos e de Ampla Participação. </w:t>
            </w:r>
          </w:p>
        </w:tc>
        <w:tc>
          <w:tcPr>
            <w:tcW w:w="2743" w:type="dxa"/>
            <w:gridSpan w:val="2"/>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Reserva de Cota ME/EPP?</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Decreto Federal nº 7.174/2010?</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Registro de Preços?</w:t>
            </w:r>
          </w:p>
          <w:p>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Sim</w:t>
            </w:r>
          </w:p>
        </w:tc>
        <w:tc>
          <w:tcPr>
            <w:tcW w:w="1703" w:type="dxa"/>
            <w:shd w:val="clear" w:color="auto" w:fill="DDDDDD"/>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Vistoria?</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Amostra?</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Instrumento Contratual?</w:t>
            </w:r>
          </w:p>
          <w:p>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pPr>
              <w:pStyle w:val="32"/>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2"/>
                <w:b w:val="0"/>
                <w:bCs w:val="0"/>
                <w:color w:val="000000" w:themeColor="text1"/>
                <w:kern w:val="0"/>
                <w:sz w:val="22"/>
                <w:szCs w:val="22"/>
                <w:lang w:val="pt-BR" w:bidi="ar-SA"/>
                <w14:textFill>
                  <w14:solidFill>
                    <w14:schemeClr w14:val="tx1"/>
                  </w14:solidFill>
                </w14:textFill>
              </w:rPr>
              <w:t>Objeto:</w:t>
            </w:r>
            <w:r>
              <w:rPr>
                <w:rStyle w:val="52"/>
                <w:rFonts w:hint="default"/>
                <w:b w:val="0"/>
                <w:bCs w:val="0"/>
                <w:color w:val="000000" w:themeColor="text1"/>
                <w:kern w:val="0"/>
                <w:sz w:val="22"/>
                <w:szCs w:val="22"/>
                <w:lang w:val="pt-BR" w:bidi="ar-SA"/>
                <w14:textFill>
                  <w14:solidFill>
                    <w14:schemeClr w14:val="tx1"/>
                  </w14:solidFill>
                </w14:textFill>
              </w:rPr>
              <w:t xml:space="preserve"> </w:t>
            </w:r>
            <w:r>
              <w:rPr>
                <w:rFonts w:hint="default" w:ascii="Times New Roman" w:hAnsi="Times New Roman" w:cs="Times New Roman"/>
                <w:b/>
                <w:bCs/>
                <w:sz w:val="22"/>
                <w:szCs w:val="22"/>
                <w:u w:val="none"/>
                <w:lang w:val="pt-BR"/>
              </w:rPr>
              <w:t>Registro de preços para futura e eventual aquisição de painéis de Led e Câmeras de gravação com materiais e instalação inclusa, para o Plenário Da Câmara Municipal de Primavera de Leste – MT.</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pPr>
              <w:pStyle w:val="49"/>
              <w:widowControl/>
              <w:suppressAutoHyphens/>
              <w:spacing w:before="0" w:beforeAutospacing="0" w:after="0" w:afterAutospacing="0" w:line="240" w:lineRule="auto"/>
              <w:jc w:val="both"/>
              <w:textAlignment w:val="baseline"/>
              <w:rPr>
                <w:rFonts w:hint="default"/>
                <w:b/>
                <w:bCs/>
                <w:sz w:val="22"/>
                <w:szCs w:val="22"/>
                <w:lang w:val="pt-BR"/>
              </w:rPr>
            </w:pPr>
            <w:r>
              <w:rPr>
                <w:rStyle w:val="52"/>
                <w:b w:val="0"/>
                <w:bCs w:val="0"/>
                <w:color w:val="000000" w:themeColor="text1"/>
                <w:kern w:val="0"/>
                <w:sz w:val="22"/>
                <w:szCs w:val="22"/>
                <w:lang w:val="pt-BR" w:bidi="ar-SA"/>
                <w14:textFill>
                  <w14:solidFill>
                    <w14:schemeClr w14:val="tx1"/>
                  </w14:solidFill>
                </w14:textFill>
              </w:rPr>
              <w:t>Valor Estimado:</w:t>
            </w:r>
            <w:r>
              <w:rPr>
                <w:rStyle w:val="52"/>
                <w:rFonts w:hint="default"/>
                <w:b w:val="0"/>
                <w:bCs w:val="0"/>
                <w:color w:val="000000" w:themeColor="text1"/>
                <w:kern w:val="0"/>
                <w:sz w:val="22"/>
                <w:szCs w:val="22"/>
                <w:lang w:val="pt-BR" w:bidi="ar-SA"/>
                <w14:textFill>
                  <w14:solidFill>
                    <w14:schemeClr w14:val="tx1"/>
                  </w14:solidFill>
                </w14:textFill>
              </w:rPr>
              <w:t xml:space="preserve"> </w:t>
            </w:r>
          </w:p>
          <w:p>
            <w:pPr>
              <w:pStyle w:val="179"/>
              <w:spacing w:before="0" w:after="0" w:line="240" w:lineRule="auto"/>
              <w:jc w:val="both"/>
              <w:rPr>
                <w:rFonts w:hint="default"/>
                <w:b/>
                <w:bCs/>
                <w:sz w:val="22"/>
                <w:szCs w:val="22"/>
                <w:lang w:val="pt-BR"/>
              </w:rPr>
            </w:pPr>
            <w:r>
              <w:rPr>
                <w:rFonts w:ascii="Times New Roman" w:hAnsi="Times New Roman" w:eastAsia="Times New Roman"/>
                <w:b/>
                <w:bCs/>
                <w:sz w:val="22"/>
                <w:szCs w:val="22"/>
                <w:lang w:eastAsia="en-US"/>
              </w:rPr>
              <w:t>R$ 318.520,77 (trezentos e dezoito mil, quinhentos e vinte reais e setenta e sete centavos).</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shd w:val="clear" w:fill="auto"/>
                <w:lang w:val="pt-BR" w:bidi="ar-SA"/>
                <w14:textFill>
                  <w14:solidFill>
                    <w14:schemeClr w14:val="tx1"/>
                  </w14:solidFill>
                </w14:textFill>
              </w:rPr>
              <w:t>Pregoeiro:</w:t>
            </w:r>
          </w:p>
          <w:p>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shd w:val="clear" w:fill="auto"/>
                <w:lang w:val="pt-BR" w:bidi="ar-SA"/>
                <w14:textFill>
                  <w14:solidFill>
                    <w14:schemeClr w14:val="tx1"/>
                  </w14:solidFill>
                </w14:textFill>
              </w:rPr>
              <w:t>Ato de Designação:</w:t>
            </w:r>
          </w:p>
          <w:p>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Lei de Regência:</w:t>
            </w:r>
          </w:p>
          <w:p>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tcPr>
          <w:p>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Lei Complementar:</w:t>
            </w:r>
          </w:p>
          <w:p>
            <w:pPr>
              <w:pStyle w:val="49"/>
              <w:widowControl/>
              <w:suppressAutoHyphens/>
              <w:spacing w:before="0" w:beforeAutospacing="0" w:after="0" w:afterAutospacing="0" w:line="240" w:lineRule="auto"/>
              <w:ind w:left="0" w:leftChars="0" w:firstLine="0" w:firstLineChars="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tcPr>
          <w:p>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pPr>
        <w:pStyle w:val="49"/>
        <w:spacing w:before="360" w:beforeAutospacing="0" w:after="120" w:afterAutospacing="0"/>
        <w:ind w:firstLine="0"/>
        <w:jc w:val="both"/>
        <w:textAlignment w:val="baseline"/>
        <w:rPr>
          <w:rStyle w:val="52"/>
          <w:color w:val="000000" w:themeColor="text1"/>
          <w:sz w:val="22"/>
          <w:szCs w:val="22"/>
          <w14:textFill>
            <w14:solidFill>
              <w14:schemeClr w14:val="tx1"/>
            </w14:solidFill>
          </w14:textFill>
        </w:rPr>
      </w:pPr>
      <w:r>
        <w:rPr>
          <w:rStyle w:val="52"/>
          <w:color w:val="000000" w:themeColor="text1"/>
          <w14:textFill>
            <w14:solidFill>
              <w14:schemeClr w14:val="tx1"/>
            </w14:solidFill>
          </w14:textFill>
        </w:rPr>
        <w:tab/>
      </w:r>
      <w:r>
        <w:rPr>
          <w:rStyle w:val="52"/>
          <w:color w:val="000000" w:themeColor="text1"/>
          <w:sz w:val="22"/>
          <w:szCs w:val="22"/>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2"/>
          <w:color w:val="auto"/>
          <w:sz w:val="22"/>
          <w:szCs w:val="22"/>
        </w:rPr>
        <w:t>com participação Exclusiva de ME/EPP</w:t>
      </w:r>
      <w:r>
        <w:rPr>
          <w:rStyle w:val="52"/>
          <w:rFonts w:hint="default"/>
          <w:color w:val="auto"/>
          <w:sz w:val="22"/>
          <w:szCs w:val="22"/>
          <w:lang w:val="pt-BR"/>
        </w:rPr>
        <w:t>,</w:t>
      </w:r>
      <w:r>
        <w:rPr>
          <w:rStyle w:val="52"/>
          <w:rFonts w:hint="default"/>
          <w:color w:val="000000" w:themeColor="text1"/>
          <w:sz w:val="22"/>
          <w:szCs w:val="22"/>
          <w:lang w:val="pt-BR"/>
          <w14:textFill>
            <w14:solidFill>
              <w14:schemeClr w14:val="tx1"/>
            </w14:solidFill>
          </w14:textFill>
        </w:rPr>
        <w:t xml:space="preserve"> </w:t>
      </w:r>
      <w:r>
        <w:rPr>
          <w:rStyle w:val="52"/>
          <w:color w:val="000000" w:themeColor="text1"/>
          <w:sz w:val="22"/>
          <w:szCs w:val="22"/>
          <w14:textFill>
            <w14:solidFill>
              <w14:schemeClr w14:val="tx1"/>
            </w14:solidFill>
          </w14:textFill>
        </w:rPr>
        <w:t>para</w:t>
      </w:r>
      <w:r>
        <w:rPr>
          <w:rStyle w:val="52"/>
          <w:rFonts w:hint="default"/>
          <w:color w:val="000000" w:themeColor="text1"/>
          <w:sz w:val="22"/>
          <w:szCs w:val="22"/>
          <w:lang w:val="pt-BR"/>
          <w14:textFill>
            <w14:solidFill>
              <w14:schemeClr w14:val="tx1"/>
            </w14:solidFill>
          </w14:textFill>
        </w:rPr>
        <w:t xml:space="preserve"> </w:t>
      </w:r>
      <w:r>
        <w:rPr>
          <w:rFonts w:hint="default" w:ascii="Times New Roman" w:hAnsi="Times New Roman" w:cs="Times New Roman"/>
          <w:b/>
          <w:bCs/>
          <w:sz w:val="22"/>
          <w:szCs w:val="22"/>
          <w:u w:val="none"/>
          <w:lang w:val="pt-BR"/>
        </w:rPr>
        <w:t>Registro de preços para futura e eventual aquisição de painéis de Led e Câmeras de gravação com materiais e instalação inclusa, para o Plenário Da Câmara Municipal de Primavera de Leste – MT</w:t>
      </w:r>
      <w:r>
        <w:rPr>
          <w:b/>
          <w:bCs/>
          <w:color w:val="000000"/>
          <w:kern w:val="0"/>
          <w:sz w:val="22"/>
          <w:szCs w:val="22"/>
          <w:lang w:val="pt-BR" w:bidi="ar-SA"/>
        </w:rPr>
        <w:t xml:space="preserve">, </w:t>
      </w:r>
      <w:r>
        <w:rPr>
          <w:color w:val="000000"/>
          <w:sz w:val="22"/>
          <w:szCs w:val="22"/>
        </w:rPr>
        <w:t xml:space="preserve"> </w:t>
      </w:r>
      <w:r>
        <w:rPr>
          <w:rStyle w:val="52"/>
          <w:color w:val="000000" w:themeColor="text1"/>
          <w:sz w:val="22"/>
          <w:szCs w:val="22"/>
          <w14:textFill>
            <w14:solidFill>
              <w14:schemeClr w14:val="tx1"/>
            </w14:solidFill>
          </w14:textFill>
        </w:rPr>
        <w:t xml:space="preserve">conforme especificações, condições, quantidades e prazos constantes do </w:t>
      </w:r>
      <w:r>
        <w:rPr>
          <w:sz w:val="22"/>
          <w:szCs w:val="22"/>
        </w:rPr>
        <w:fldChar w:fldCharType="begin"/>
      </w:r>
      <w:r>
        <w:rPr>
          <w:sz w:val="22"/>
          <w:szCs w:val="22"/>
        </w:rPr>
        <w:instrText xml:space="preserve"> HYPERLINK \l "_ANEXO_I_-_1" \h </w:instrText>
      </w:r>
      <w:r>
        <w:rPr>
          <w:sz w:val="22"/>
          <w:szCs w:val="22"/>
        </w:rPr>
        <w:fldChar w:fldCharType="separate"/>
      </w:r>
      <w:r>
        <w:rPr>
          <w:rStyle w:val="61"/>
          <w:sz w:val="22"/>
          <w:szCs w:val="22"/>
        </w:rPr>
        <w:t>Termo de Referência - Anexo I deste Edital</w:t>
      </w:r>
      <w:r>
        <w:rPr>
          <w:rStyle w:val="61"/>
          <w:sz w:val="22"/>
          <w:szCs w:val="22"/>
        </w:rPr>
        <w:fldChar w:fldCharType="end"/>
      </w:r>
      <w:r>
        <w:rPr>
          <w:rStyle w:val="52"/>
          <w:color w:val="000000" w:themeColor="text1"/>
          <w:sz w:val="22"/>
          <w:szCs w:val="22"/>
          <w14:textFill>
            <w14:solidFill>
              <w14:schemeClr w14:val="tx1"/>
            </w14:solidFill>
          </w14:textFill>
        </w:rPr>
        <w:t xml:space="preserve">. </w:t>
      </w:r>
    </w:p>
    <w:p>
      <w:pPr>
        <w:pStyle w:val="49"/>
        <w:spacing w:before="120" w:beforeAutospacing="0" w:after="120" w:afterAutospacing="0"/>
        <w:ind w:firstLine="567"/>
        <w:jc w:val="both"/>
        <w:textAlignment w:val="baseline"/>
        <w:rPr>
          <w:sz w:val="22"/>
          <w:szCs w:val="22"/>
        </w:rPr>
        <w:sectPr>
          <w:headerReference r:id="rId5" w:type="default"/>
          <w:footerReference r:id="rId6" w:type="default"/>
          <w:pgSz w:w="11906" w:h="16838"/>
          <w:pgMar w:top="2658" w:right="1274" w:bottom="1134" w:left="1701" w:header="709" w:footer="709" w:gutter="0"/>
          <w:pgNumType w:fmt="decimal"/>
          <w:cols w:space="720" w:num="1"/>
          <w:formProt w:val="0"/>
          <w:docGrid w:linePitch="360" w:charSpace="4096"/>
        </w:sectPr>
      </w:pPr>
      <w:r>
        <w:rPr>
          <w:rStyle w:val="52"/>
          <w:color w:val="000000" w:themeColor="text1"/>
          <w:sz w:val="22"/>
          <w:szCs w:val="22"/>
          <w14:textFill>
            <w14:solidFill>
              <w14:schemeClr w14:val="tx1"/>
            </w14:solidFill>
          </w14:textFill>
        </w:rPr>
        <w:t xml:space="preserve">A licitação será regida pela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rStyle w:val="52"/>
          <w:color w:val="000000" w:themeColor="text1"/>
          <w:sz w:val="22"/>
          <w:szCs w:val="22"/>
          <w14:textFill>
            <w14:solidFill>
              <w14:schemeClr w14:val="tx1"/>
            </w14:solidFill>
          </w14:textFill>
        </w:rPr>
        <w:t xml:space="preserve"> e, complementarmente, pela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themeColor="text1"/>
          <w:sz w:val="22"/>
          <w:szCs w:val="22"/>
          <w:shd w:val="clear" w:fill="auto"/>
          <w14:textFill>
            <w14:solidFill>
              <w14:schemeClr w14:val="tx1"/>
            </w14:solidFill>
          </w14:textFill>
        </w:rPr>
        <w:t>, pelas Resoluções 042/</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043/</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044/</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046/</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048/</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049/</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050/</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051/</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052/</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053/</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055/</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055/</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056/</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057/</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058/</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059/</w:t>
      </w:r>
      <w:r>
        <w:rPr>
          <w:rStyle w:val="52"/>
          <w:color w:val="000000" w:themeColor="text1"/>
          <w:sz w:val="22"/>
          <w:szCs w:val="22"/>
          <w:shd w:val="clear" w:fill="auto"/>
          <w:lang w:val="pt-BR"/>
          <w14:textFill>
            <w14:solidFill>
              <w14:schemeClr w14:val="tx1"/>
            </w14:solidFill>
          </w14:textFill>
        </w:rPr>
        <w:t>2023</w:t>
      </w:r>
      <w:r>
        <w:rPr>
          <w:rStyle w:val="52"/>
          <w:color w:val="000000" w:themeColor="text1"/>
          <w:sz w:val="22"/>
          <w:szCs w:val="22"/>
          <w:shd w:val="clear" w:fill="auto"/>
          <w14:textFill>
            <w14:solidFill>
              <w14:schemeClr w14:val="tx1"/>
            </w14:solidFill>
          </w14:textFill>
        </w:rPr>
        <w:t>, 06</w:t>
      </w:r>
      <w:r>
        <w:rPr>
          <w:rStyle w:val="52"/>
          <w:color w:val="000000" w:themeColor="text1"/>
          <w:sz w:val="22"/>
          <w:szCs w:val="22"/>
          <w:shd w:val="clear" w:fill="auto"/>
          <w:lang w:val="pt-BR"/>
          <w14:textFill>
            <w14:solidFill>
              <w14:schemeClr w14:val="tx1"/>
            </w14:solidFill>
          </w14:textFill>
        </w:rPr>
        <w:t>2</w:t>
      </w:r>
      <w:r>
        <w:rPr>
          <w:rStyle w:val="52"/>
          <w:color w:val="000000" w:themeColor="text1"/>
          <w:sz w:val="22"/>
          <w:szCs w:val="22"/>
          <w:shd w:val="clear" w:fill="auto"/>
          <w14:textFill>
            <w14:solidFill>
              <w14:schemeClr w14:val="tx1"/>
            </w14:solidFill>
          </w14:textFill>
        </w:rPr>
        <w:t>/</w:t>
      </w:r>
      <w:r>
        <w:rPr>
          <w:rStyle w:val="52"/>
          <w:color w:val="000000" w:themeColor="text1"/>
          <w:sz w:val="22"/>
          <w:szCs w:val="22"/>
          <w:shd w:val="clear" w:fill="auto"/>
          <w:lang w:val="pt-BR"/>
          <w14:textFill>
            <w14:solidFill>
              <w14:schemeClr w14:val="tx1"/>
            </w14:solidFill>
          </w14:textFill>
        </w:rPr>
        <w:t xml:space="preserve">2023 </w:t>
      </w:r>
      <w:r>
        <w:rPr>
          <w:rStyle w:val="52"/>
          <w:color w:val="000000" w:themeColor="text1"/>
          <w:sz w:val="22"/>
          <w:szCs w:val="22"/>
          <w:shd w:val="clear" w:fill="auto"/>
          <w14:textFill>
            <w14:solidFill>
              <w14:schemeClr w14:val="tx1"/>
            </w14:solidFill>
          </w14:textFill>
        </w:rPr>
        <w:t>e 06</w:t>
      </w:r>
      <w:r>
        <w:rPr>
          <w:rStyle w:val="52"/>
          <w:color w:val="000000" w:themeColor="text1"/>
          <w:sz w:val="22"/>
          <w:szCs w:val="22"/>
          <w:shd w:val="clear" w:fill="auto"/>
          <w:lang w:val="pt-BR"/>
          <w14:textFill>
            <w14:solidFill>
              <w14:schemeClr w14:val="tx1"/>
            </w14:solidFill>
          </w14:textFill>
        </w:rPr>
        <w:t>4</w:t>
      </w:r>
      <w:r>
        <w:rPr>
          <w:rStyle w:val="52"/>
          <w:color w:val="000000" w:themeColor="text1"/>
          <w:sz w:val="22"/>
          <w:szCs w:val="22"/>
          <w:shd w:val="clear" w:fill="auto"/>
          <w14:textFill>
            <w14:solidFill>
              <w14:schemeClr w14:val="tx1"/>
            </w14:solidFill>
          </w14:textFill>
        </w:rPr>
        <w:t>/2024.</w:t>
      </w:r>
    </w:p>
    <w:p>
      <w:pPr>
        <w:pStyle w:val="49"/>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14:textFill>
            <w14:solidFill>
              <w14:schemeClr w14:val="tx1"/>
            </w14:solidFill>
          </w14:textFill>
        </w:rPr>
      </w:pPr>
    </w:p>
    <w:p>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....................................................20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.....................................................................20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S.........................................................................................................20</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.......................................................21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.....................................................................................22</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..................................................................................23</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...........................................................................................................24</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29</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2</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...............................................................................46</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.......................................................................................47</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8</w:t>
      </w:r>
    </w:p>
    <w:p>
      <w:pPr>
        <w:pStyle w:val="27"/>
        <w:bidi w:val="0"/>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9</w:t>
      </w:r>
    </w:p>
    <w:p>
      <w:pPr>
        <w:pStyle w:val="2"/>
        <w:spacing w:before="360" w:after="0"/>
        <w:rPr>
          <w:sz w:val="22"/>
          <w:szCs w:val="22"/>
        </w:rPr>
      </w:pPr>
      <w:bookmarkStart w:id="0" w:name="_Toc149517427"/>
      <w:r>
        <w:rPr>
          <w:rStyle w:val="52"/>
          <w:sz w:val="22"/>
          <w:szCs w:val="22"/>
        </w:rPr>
        <w:t>PUBLICIDADE</w:t>
      </w:r>
      <w:bookmarkEnd w:id="0"/>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xml:space="preserve">, nos termos fixados nos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1"/>
          <w:sz w:val="22"/>
          <w:szCs w:val="22"/>
        </w:rPr>
        <w:t>Diário Oficial</w:t>
      </w:r>
      <w:r>
        <w:rPr>
          <w:rStyle w:val="61"/>
          <w:sz w:val="22"/>
          <w:szCs w:val="22"/>
        </w:rPr>
        <w:fldChar w:fldCharType="end"/>
      </w:r>
      <w:r>
        <w:rPr>
          <w:sz w:val="22"/>
          <w:szCs w:val="22"/>
        </w:rPr>
        <w:t>, bem como em jornal diário de grande circulação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 1º,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w:t>
      </w:r>
    </w:p>
    <w:p>
      <w:pPr>
        <w:pStyle w:val="2"/>
        <w:spacing w:before="360" w:after="0"/>
        <w:rPr>
          <w:sz w:val="22"/>
          <w:szCs w:val="22"/>
        </w:rPr>
      </w:pPr>
      <w:bookmarkStart w:id="1" w:name="_Toc149517428"/>
      <w:r>
        <w:rPr>
          <w:rStyle w:val="52"/>
          <w:sz w:val="22"/>
          <w:szCs w:val="22"/>
        </w:rPr>
        <w:t>PLATAFORMA ELETRÔNICA</w:t>
      </w:r>
      <w:bookmarkEnd w:id="1"/>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O Pregão</w:t>
      </w:r>
      <w:r>
        <w:rPr>
          <w:rStyle w:val="52"/>
          <w:color w:val="000000"/>
          <w:sz w:val="22"/>
          <w:szCs w:val="22"/>
        </w:rPr>
        <w:t>, em sua forma eletrônica (</w:t>
      </w:r>
      <w:r>
        <w:rPr>
          <w:sz w:val="22"/>
          <w:szCs w:val="22"/>
        </w:rPr>
        <w:fldChar w:fldCharType="begin"/>
      </w:r>
      <w:r>
        <w:rPr>
          <w:rStyle w:val="61"/>
          <w:sz w:val="22"/>
          <w:szCs w:val="22"/>
        </w:rPr>
        <w:instrText xml:space="preserve"> HYPERLINK "http://www.planalto.gov.br/ccivil_03/_ato2019-2022/2021/lei/L14133.htm"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pPr>
        <w:pStyle w:val="2"/>
        <w:spacing w:before="360" w:after="0"/>
        <w:rPr>
          <w:sz w:val="22"/>
          <w:szCs w:val="22"/>
        </w:rPr>
      </w:pPr>
      <w:bookmarkStart w:id="2" w:name="_DATA_E_HORÁRIO"/>
      <w:bookmarkEnd w:id="2"/>
      <w:bookmarkStart w:id="3" w:name="_Toc149517429"/>
      <w:r>
        <w:rPr>
          <w:rStyle w:val="52"/>
          <w:sz w:val="22"/>
          <w:szCs w:val="22"/>
        </w:rPr>
        <w:t>DATA E HORÁRIO</w:t>
      </w:r>
      <w:bookmarkEnd w:id="3"/>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até às </w:t>
      </w:r>
      <w:r>
        <w:rPr>
          <w:rFonts w:hint="default"/>
          <w:sz w:val="22"/>
          <w:szCs w:val="22"/>
          <w:lang w:val="pt-BR"/>
        </w:rPr>
        <w:t xml:space="preserve">09:00 </w:t>
      </w:r>
      <w:r>
        <w:rPr>
          <w:sz w:val="22"/>
          <w:szCs w:val="22"/>
        </w:rPr>
        <w:t xml:space="preserve">horas (horário oficial de Brasília/DF) do dia </w:t>
      </w:r>
      <w:r>
        <w:rPr>
          <w:rFonts w:hint="default"/>
          <w:sz w:val="22"/>
          <w:szCs w:val="22"/>
          <w:lang w:val="pt-BR"/>
        </w:rPr>
        <w:t xml:space="preserve">13 </w:t>
      </w:r>
      <w:r>
        <w:rPr>
          <w:sz w:val="22"/>
          <w:szCs w:val="22"/>
        </w:rPr>
        <w:t xml:space="preserve">de </w:t>
      </w:r>
      <w:r>
        <w:rPr>
          <w:rFonts w:hint="default"/>
          <w:sz w:val="22"/>
          <w:szCs w:val="22"/>
          <w:lang w:val="pt-BR"/>
        </w:rPr>
        <w:t>junho</w:t>
      </w:r>
      <w:r>
        <w:rPr>
          <w:sz w:val="22"/>
          <w:szCs w:val="22"/>
        </w:rPr>
        <w:t xml:space="preserve"> de 2024 (</w:t>
      </w:r>
      <w:r>
        <w:rPr>
          <w:rFonts w:hint="default"/>
          <w:sz w:val="22"/>
          <w:szCs w:val="22"/>
          <w:lang w:val="pt-BR"/>
        </w:rPr>
        <w:t xml:space="preserve">quinta </w:t>
      </w:r>
      <w:r>
        <w:rPr>
          <w:sz w:val="22"/>
          <w:szCs w:val="22"/>
        </w:rPr>
        <w:t>-feira), quando se dará a abertura da sessão pública.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pPr>
        <w:pStyle w:val="2"/>
        <w:spacing w:before="360" w:after="0"/>
        <w:rPr>
          <w:sz w:val="22"/>
          <w:szCs w:val="22"/>
        </w:rPr>
      </w:pPr>
      <w:bookmarkStart w:id="4" w:name="_Toc149517430"/>
      <w:r>
        <w:rPr>
          <w:rStyle w:val="52"/>
          <w:sz w:val="22"/>
          <w:szCs w:val="22"/>
        </w:rPr>
        <w:t>AGENTE DE CONTRAÇÃO</w:t>
      </w:r>
      <w:bookmarkEnd w:id="4"/>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 xml:space="preserve">Os trabalhos do certame licitatório serão conduzidos pelo  servidor </w:t>
      </w:r>
      <w:r>
        <w:rPr>
          <w:rStyle w:val="52"/>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da Lei Federal nº 14.133, de 2021</w:t>
      </w:r>
      <w:r>
        <w:rPr>
          <w:rStyle w:val="61"/>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§5º,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1"/>
          <w:sz w:val="22"/>
          <w:szCs w:val="22"/>
          <w:shd w:val="clear" w:fill="auto"/>
        </w:rPr>
        <w:instrText xml:space="preserve"> HYPERLINK "https://www.planalto.gov.br/ccivil_03/_ato2019-2022/2021/lei/l14133.htm" \l "art8"</w:instrText>
      </w:r>
      <w:r>
        <w:rPr>
          <w:rStyle w:val="61"/>
          <w:sz w:val="22"/>
          <w:szCs w:val="22"/>
          <w:shd w:val="clear" w:fill="auto"/>
        </w:rPr>
        <w:fldChar w:fldCharType="separate"/>
      </w:r>
      <w:r>
        <w:rPr>
          <w:rStyle w:val="61"/>
          <w:sz w:val="22"/>
          <w:szCs w:val="22"/>
          <w:shd w:val="clear" w:fill="auto"/>
        </w:rPr>
        <w:t>art. 8º, §1º, da Lei Federal nº 14.133, de 2021</w:t>
      </w:r>
      <w:r>
        <w:rPr>
          <w:rStyle w:val="61"/>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pPr>
        <w:pStyle w:val="2"/>
        <w:spacing w:before="360" w:after="0"/>
        <w:rPr>
          <w:sz w:val="22"/>
          <w:szCs w:val="22"/>
        </w:rPr>
      </w:pPr>
      <w:bookmarkStart w:id="5" w:name="_Toc149517431"/>
      <w:r>
        <w:rPr>
          <w:rStyle w:val="52"/>
          <w:sz w:val="22"/>
          <w:szCs w:val="22"/>
        </w:rPr>
        <w:t>OBJETO</w:t>
      </w:r>
      <w:bookmarkEnd w:id="5"/>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sz w:val="22"/>
          <w:szCs w:val="22"/>
        </w:rPr>
        <w:t xml:space="preserve">A presente licitação, </w:t>
      </w:r>
      <w:r>
        <w:rPr>
          <w:rStyle w:val="52"/>
          <w:rFonts w:hint="default"/>
          <w:color w:val="000000"/>
          <w:sz w:val="22"/>
          <w:szCs w:val="22"/>
          <w:lang w:val="pt-BR"/>
        </w:rPr>
        <w:t>de menor rpeço por lote</w:t>
      </w:r>
      <w:r>
        <w:rPr>
          <w:rStyle w:val="52"/>
          <w:color w:val="000000"/>
          <w:sz w:val="22"/>
          <w:szCs w:val="22"/>
        </w:rPr>
        <w:t xml:space="preserve">, tem por objeto </w:t>
      </w:r>
      <w:r>
        <w:rPr>
          <w:rStyle w:val="52"/>
          <w:rFonts w:hint="default"/>
          <w:color w:val="000000"/>
          <w:sz w:val="22"/>
          <w:szCs w:val="22"/>
          <w:lang w:val="pt-BR"/>
        </w:rPr>
        <w:t xml:space="preserve">o </w:t>
      </w:r>
      <w:r>
        <w:rPr>
          <w:color w:val="000000"/>
          <w:sz w:val="22"/>
          <w:szCs w:val="22"/>
        </w:rPr>
        <w:t xml:space="preserve"> </w:t>
      </w:r>
      <w:r>
        <w:rPr>
          <w:rFonts w:hint="default" w:ascii="Times New Roman" w:hAnsi="Times New Roman" w:cs="Times New Roman"/>
          <w:b/>
          <w:bCs/>
          <w:sz w:val="22"/>
          <w:szCs w:val="22"/>
          <w:u w:val="none"/>
          <w:lang w:val="pt-BR"/>
        </w:rPr>
        <w:t>Registro de preços para futura e eventual aquisição de painéis de Led e Câmeras de gravação com materiais e instalação inclusa, para o Plenário Da Câmara Municipal de Primavera de Leste – MT</w:t>
      </w:r>
      <w:r>
        <w:rPr>
          <w:rFonts w:cs="Times New Roman"/>
          <w:b/>
          <w:bCs/>
          <w:color w:val="000000"/>
          <w:kern w:val="0"/>
          <w:sz w:val="22"/>
          <w:szCs w:val="22"/>
          <w:shd w:val="clear" w:fill="auto"/>
          <w:lang w:val="pt-BR" w:bidi="ar-SA"/>
        </w:rPr>
        <w:t xml:space="preserve">, </w:t>
      </w:r>
      <w:r>
        <w:rPr>
          <w:rStyle w:val="52"/>
          <w:color w:val="000000"/>
          <w:sz w:val="22"/>
          <w:szCs w:val="22"/>
        </w:rPr>
        <w:t>conforme especificações, condições, quantidades e prazos constantes do</w:t>
      </w:r>
      <w:r>
        <w:rPr>
          <w:rStyle w:val="52"/>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1"/>
          <w:b/>
          <w:bCs/>
          <w:sz w:val="22"/>
          <w:szCs w:val="22"/>
        </w:rPr>
        <w:t>Termo de Referência - Anexo I deste Edital</w:t>
      </w:r>
      <w:r>
        <w:rPr>
          <w:rStyle w:val="61"/>
          <w:b/>
          <w:bCs/>
          <w:sz w:val="22"/>
          <w:szCs w:val="22"/>
        </w:rPr>
        <w:fldChar w:fldCharType="end"/>
      </w:r>
      <w:r>
        <w:rPr>
          <w:rStyle w:val="52"/>
          <w:b/>
          <w:bCs/>
          <w:color w:val="000000"/>
          <w:sz w:val="22"/>
          <w:szCs w:val="22"/>
        </w:rPr>
        <w:t>.</w:t>
      </w:r>
    </w:p>
    <w:p>
      <w:pPr>
        <w:pStyle w:val="49"/>
        <w:numPr>
          <w:ilvl w:val="0"/>
          <w:numId w:val="0"/>
        </w:numPr>
        <w:tabs>
          <w:tab w:val="left" w:pos="1134"/>
        </w:tabs>
        <w:spacing w:before="120" w:beforeAutospacing="0" w:after="0" w:afterAutospacing="0"/>
        <w:ind w:left="567" w:leftChars="0"/>
        <w:jc w:val="both"/>
        <w:textAlignment w:val="baseline"/>
        <w:rPr>
          <w:sz w:val="22"/>
          <w:szCs w:val="22"/>
        </w:rPr>
      </w:pP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Fazem parte do presente Edital os anexos abaixo relacionados: </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 - Termo de Referência;</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 - Modelo de Declarações;</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III - Modelo de Proposta;</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IV - Minuta da Ata de Registro de Preços;</w:t>
      </w:r>
    </w:p>
    <w:p>
      <w:pPr>
        <w:pStyle w:val="49"/>
        <w:numPr>
          <w:ilvl w:val="2"/>
          <w:numId w:val="1"/>
        </w:numPr>
        <w:tabs>
          <w:tab w:val="left" w:pos="1134"/>
        </w:tabs>
        <w:spacing w:before="0" w:beforeAutospacing="0" w:after="0" w:afterAutospacing="0"/>
        <w:jc w:val="both"/>
        <w:textAlignment w:val="baseline"/>
        <w:rPr>
          <w:rStyle w:val="52"/>
          <w:color w:val="000000"/>
          <w:sz w:val="22"/>
          <w:szCs w:val="22"/>
        </w:rPr>
      </w:pPr>
      <w:r>
        <w:rPr>
          <w:rStyle w:val="52"/>
          <w:color w:val="000000"/>
          <w:sz w:val="22"/>
          <w:szCs w:val="22"/>
        </w:rPr>
        <w:t>Anexo V - Minuta do Instrumento de Contrato.</w:t>
      </w:r>
    </w:p>
    <w:p>
      <w:pPr>
        <w:pStyle w:val="2"/>
        <w:spacing w:before="360" w:after="0"/>
        <w:rPr>
          <w:sz w:val="22"/>
          <w:szCs w:val="22"/>
        </w:rPr>
      </w:pPr>
      <w:bookmarkStart w:id="6" w:name="_Toc149517432"/>
      <w:r>
        <w:rPr>
          <w:rStyle w:val="52"/>
          <w:sz w:val="22"/>
          <w:szCs w:val="22"/>
        </w:rPr>
        <w:t>CONDIÇÕES PARA PARTICIPAÇÃO</w:t>
      </w:r>
      <w:bookmarkEnd w:id="6"/>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sz w:val="22"/>
          <w:szCs w:val="22"/>
        </w:rPr>
        <w:t xml:space="preserve">Para </w:t>
      </w:r>
      <w:r>
        <w:rPr>
          <w:sz w:val="22"/>
          <w:szCs w:val="22"/>
        </w:rPr>
        <w:t>participar</w:t>
      </w:r>
      <w:r>
        <w:rPr>
          <w:rStyle w:val="52"/>
          <w:color w:val="000000"/>
          <w:sz w:val="22"/>
          <w:szCs w:val="22"/>
        </w:rPr>
        <w:t xml:space="preserve"> deste Pregão, em sua forma eletrônica (</w:t>
      </w:r>
      <w:r>
        <w:rPr>
          <w:sz w:val="22"/>
          <w:szCs w:val="22"/>
        </w:rPr>
        <w:fldChar w:fldCharType="begin"/>
      </w:r>
      <w:r>
        <w:rPr>
          <w:rStyle w:val="61"/>
          <w:sz w:val="22"/>
          <w:szCs w:val="22"/>
        </w:rPr>
        <w:instrText xml:space="preserve"> HYPERLINK "https://www.planalto.gov.br/ccivil_03/_ato2019-2022/2021/lei/l14133.htm"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 a licitante deverá preencher os seguintes requisitos:</w:t>
      </w:r>
      <w:r>
        <w:rPr>
          <w:rStyle w:val="54"/>
          <w:color w:val="000000"/>
          <w:sz w:val="22"/>
          <w:szCs w:val="22"/>
        </w:rPr>
        <w:t xml:space="preserve"> </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cujo ramo de atividade seja compatível com o objeto desta licitação;</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que atuará como órgão provedor do sistema eletrônico;</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Enviar em campo próprio do sistema eletrônico a</w:t>
      </w:r>
      <w:r>
        <w:rPr>
          <w:rStyle w:val="52"/>
          <w:sz w:val="22"/>
          <w:szCs w:val="22"/>
        </w:rPr>
        <w:t>s</w:t>
      </w:r>
      <w:r>
        <w:rPr>
          <w:rStyle w:val="52"/>
          <w:color w:val="000000"/>
          <w:sz w:val="22"/>
          <w:szCs w:val="22"/>
        </w:rPr>
        <w:t xml:space="preserve"> seguintes declarações virtuais de que:</w:t>
      </w:r>
    </w:p>
    <w:p>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 da Lei Federal nº 14.133, de 2021</w:t>
      </w:r>
      <w:r>
        <w:rPr>
          <w:rStyle w:val="61"/>
          <w:sz w:val="22"/>
          <w:szCs w:val="22"/>
        </w:rPr>
        <w:fldChar w:fldCharType="end"/>
      </w:r>
      <w:r>
        <w:rPr>
          <w:rStyle w:val="52"/>
          <w:color w:val="000000"/>
          <w:sz w:val="22"/>
          <w:szCs w:val="22"/>
        </w:rPr>
        <w:t>).</w:t>
      </w:r>
    </w:p>
    <w:p>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atende aos requisitos do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 xml:space="preserve"> para fazer jus aos benefícios previstos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rStyle w:val="52"/>
          <w:color w:val="000000"/>
          <w:sz w:val="22"/>
          <w:szCs w:val="22"/>
        </w:rPr>
        <w:t>;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w:t>
      </w:r>
    </w:p>
    <w:p>
      <w:pPr>
        <w:pStyle w:val="49"/>
        <w:numPr>
          <w:ilvl w:val="3"/>
          <w:numId w:val="1"/>
        </w:numPr>
        <w:tabs>
          <w:tab w:val="left" w:pos="1134"/>
        </w:tabs>
        <w:spacing w:before="0" w:beforeAutospacing="0" w:after="0" w:afterAutospacing="0"/>
        <w:jc w:val="both"/>
        <w:textAlignment w:val="baseline"/>
        <w:rPr>
          <w:sz w:val="22"/>
          <w:szCs w:val="22"/>
        </w:rPr>
      </w:pPr>
      <w:r>
        <w:rPr>
          <w:rStyle w:val="52"/>
          <w:sz w:val="22"/>
          <w:szCs w:val="22"/>
        </w:rPr>
        <w:t xml:space="preserve">cumpre as exigências de reserva de cargos para pessoa com deficiência e para reabilitado da Previdência Social, previstas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rStyle w:val="52"/>
          <w:sz w:val="22"/>
          <w:szCs w:val="22"/>
        </w:rPr>
        <w:t xml:space="preserve"> e em outras normas específicas;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rStyle w:val="52"/>
          <w:sz w:val="22"/>
          <w:szCs w:val="22"/>
        </w:rPr>
        <w:t>)</w:t>
      </w:r>
    </w:p>
    <w:p>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inexiste fato impeditivo para licitar ou contratar com a União Federal.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 declaração falsa sujeitará a licitante à inabilitação e ao enquadramento na infração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Não poderão participar deste Pregão:</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não atenda às condições deste Edital e seu(s) anexo(s);</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físicas;</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Microempreendedores Individuais (MEI’s);</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jurídicas que não possuam Inscrição Municipal ou que não possuam autorização legal para a prestação dos serviços que são objeto do presente Pregão;</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 que possua entre seus sócios </w:t>
      </w:r>
      <w:r>
        <w:rPr>
          <w:rStyle w:val="52"/>
          <w:sz w:val="22"/>
          <w:szCs w:val="22"/>
        </w:rPr>
        <w:t xml:space="preserve">agente público vinculado à </w:t>
      </w:r>
      <w:r>
        <w:rPr>
          <w:rStyle w:val="52"/>
          <w:color w:val="000000"/>
          <w:sz w:val="22"/>
          <w:szCs w:val="22"/>
        </w:rPr>
        <w:t>Câmara Municipal de Primavera do Leste - MT</w:t>
      </w:r>
      <w:r>
        <w:rPr>
          <w:rStyle w:val="52"/>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quem não cumprir os requisitos formais para participação neste </w:t>
      </w:r>
      <w:r>
        <w:rPr>
          <w:rStyle w:val="52"/>
          <w:color w:val="000000" w:themeColor="text1"/>
          <w:sz w:val="22"/>
          <w:szCs w:val="22"/>
          <w14:textFill>
            <w14:solidFill>
              <w14:schemeClr w14:val="tx1"/>
            </w14:solidFill>
          </w14:textFill>
        </w:rPr>
        <w:t>Pregão</w:t>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§1º,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§2º,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sz w:val="22"/>
          <w:szCs w:val="22"/>
        </w:rPr>
        <w:t xml:space="preserve">autor do anteprojeto, do projeto básico ou do projeto executivo; </w:t>
      </w:r>
      <w:r>
        <w:rPr>
          <w:rStyle w:val="52"/>
          <w:color w:val="000000"/>
          <w:sz w:val="22"/>
          <w:szCs w:val="22"/>
        </w:rPr>
        <w:t>(</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 e II e §§ 2º e 3º,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III e §1º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2"/>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1"/>
          <w:sz w:val="22"/>
          <w:szCs w:val="22"/>
        </w:rPr>
        <w:t>Lei Federal nº 6.404, de 1976</w:t>
      </w:r>
      <w:r>
        <w:rPr>
          <w:rStyle w:val="61"/>
          <w:sz w:val="22"/>
          <w:szCs w:val="22"/>
        </w:rPr>
        <w:fldChar w:fldCharType="end"/>
      </w:r>
      <w:r>
        <w:rPr>
          <w:rStyle w:val="52"/>
          <w:color w:val="000000"/>
          <w:sz w:val="22"/>
          <w:szCs w:val="22"/>
        </w:rPr>
        <w:t>, concorrendo entre si;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VI, da Lei Federal nº 14.133, de 2021</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1"/>
          <w:sz w:val="22"/>
          <w:szCs w:val="22"/>
        </w:rPr>
        <w:t>Acórdão nº 746/2014-TCU-Plenário</w:t>
      </w:r>
      <w:r>
        <w:rPr>
          <w:rStyle w:val="61"/>
          <w:sz w:val="22"/>
          <w:szCs w:val="22"/>
        </w:rPr>
        <w:fldChar w:fldCharType="end"/>
      </w:r>
      <w:r>
        <w:rPr>
          <w:rStyle w:val="52"/>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aqueles que se enquadrem nas demais vedações do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 xml:space="preserve">art. 14 da Lei Federal nº 14.133, de </w:t>
      </w:r>
      <w:r>
        <w:rPr>
          <w:rStyle w:val="61"/>
          <w:sz w:val="22"/>
          <w:szCs w:val="22"/>
        </w:rPr>
        <w:fldChar w:fldCharType="end"/>
      </w:r>
      <w:r>
        <w:rPr>
          <w:rStyle w:val="61"/>
          <w:sz w:val="22"/>
          <w:szCs w:val="22"/>
        </w:rPr>
        <w:t>2021</w:t>
      </w:r>
      <w:r>
        <w:rPr>
          <w:rStyle w:val="52"/>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permite a identificação dos participantes do certame licitatório.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Encerrada a fase de lances, o  </w:t>
      </w:r>
      <w:r>
        <w:rPr>
          <w:sz w:val="22"/>
          <w:szCs w:val="22"/>
        </w:rPr>
        <w:t>Pregoeiro</w:t>
      </w:r>
      <w:r>
        <w:rPr>
          <w:rStyle w:val="52"/>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2"/>
          <w:szCs w:val="22"/>
        </w:rPr>
        <w:t>cadastro unificado de licitantes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rStyle w:val="52"/>
          <w:sz w:val="22"/>
          <w:szCs w:val="22"/>
        </w:rPr>
        <w:t>)</w:t>
      </w:r>
      <w:r>
        <w:rPr>
          <w:rStyle w:val="52"/>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Havendo qualquer impedimento, a licitante será, automaticamente, excluída da licitação, sem prejuízo das sanções previstas neste edital e em lei.</w:t>
      </w:r>
    </w:p>
    <w:p>
      <w:pPr>
        <w:pStyle w:val="2"/>
        <w:spacing w:before="360" w:after="0"/>
        <w:rPr>
          <w:sz w:val="22"/>
          <w:szCs w:val="22"/>
        </w:rPr>
      </w:pPr>
      <w:bookmarkStart w:id="7" w:name="_CONSÓRCIO"/>
      <w:bookmarkEnd w:id="7"/>
      <w:bookmarkStart w:id="8" w:name="_Toc149517433"/>
      <w:r>
        <w:rPr>
          <w:rStyle w:val="52"/>
          <w:sz w:val="22"/>
          <w:szCs w:val="22"/>
        </w:rPr>
        <w:t>CONSÓRCIO</w:t>
      </w:r>
      <w:bookmarkEnd w:id="8"/>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da Lei Federal nº 14.133, de 2021</w:t>
      </w:r>
      <w:r>
        <w:rPr>
          <w:rStyle w:val="61"/>
          <w:sz w:val="22"/>
          <w:szCs w:val="22"/>
        </w:rPr>
        <w:fldChar w:fldCharType="end"/>
      </w:r>
      <w:r>
        <w:rPr>
          <w:sz w:val="22"/>
          <w:szCs w:val="22"/>
        </w:rPr>
        <w:t>, pessoa jurídica poderá participar de licitação em consórcio, observadas as seguintes normas: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I, da Lei Federal nº 14.133, de 2021</w:t>
      </w:r>
      <w:r>
        <w:rPr>
          <w:rStyle w:val="61"/>
          <w:sz w:val="22"/>
          <w:szCs w:val="22"/>
        </w:rPr>
        <w:fldChar w:fldCharType="end"/>
      </w:r>
      <w:r>
        <w:rPr>
          <w:sz w:val="22"/>
          <w:szCs w:val="22"/>
        </w:rPr>
        <w:t>.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§3º,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A substituição de consorciado deverá ser expressamente autorizada pela </w:t>
      </w:r>
      <w:r>
        <w:rPr>
          <w:rStyle w:val="52"/>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§5º, da Lei Federal nº 14.133, de 2021</w:t>
      </w:r>
      <w:r>
        <w:rPr>
          <w:rStyle w:val="61"/>
          <w:sz w:val="22"/>
          <w:szCs w:val="22"/>
        </w:rPr>
        <w:fldChar w:fldCharType="end"/>
      </w:r>
      <w:r>
        <w:rPr>
          <w:sz w:val="22"/>
          <w:szCs w:val="22"/>
        </w:rPr>
        <w:t>).</w:t>
      </w:r>
    </w:p>
    <w:p>
      <w:pPr>
        <w:pStyle w:val="49"/>
        <w:numPr>
          <w:ilvl w:val="0"/>
          <w:numId w:val="0"/>
        </w:numPr>
        <w:tabs>
          <w:tab w:val="left" w:pos="1134"/>
        </w:tabs>
        <w:spacing w:before="0" w:beforeAutospacing="0" w:after="0" w:afterAutospacing="0"/>
        <w:ind w:left="0" w:firstLine="0"/>
        <w:jc w:val="both"/>
        <w:textAlignment w:val="baseline"/>
        <w:rPr>
          <w:sz w:val="22"/>
          <w:szCs w:val="22"/>
        </w:rPr>
      </w:pPr>
    </w:p>
    <w:p>
      <w:pPr>
        <w:pStyle w:val="2"/>
        <w:spacing w:before="360" w:after="0"/>
        <w:rPr>
          <w:sz w:val="22"/>
          <w:szCs w:val="22"/>
        </w:rPr>
      </w:pPr>
      <w:bookmarkStart w:id="9" w:name="_Toc149517434"/>
      <w:r>
        <w:rPr>
          <w:rStyle w:val="52"/>
          <w:sz w:val="22"/>
          <w:szCs w:val="22"/>
        </w:rPr>
        <w:t>COOPERATIVA</w:t>
      </w:r>
      <w:bookmarkEnd w:id="9"/>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 pessoa jurídica organizada em forma de cooperativa poderá participar da licitação quando:</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1"/>
          <w:sz w:val="22"/>
          <w:szCs w:val="22"/>
        </w:rPr>
        <w:t>Lei Federal nº 5.764, de 1971</w:t>
      </w:r>
      <w:r>
        <w:rPr>
          <w:rStyle w:val="61"/>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1"/>
          <w:sz w:val="22"/>
          <w:szCs w:val="22"/>
        </w:rPr>
        <w:t>Lei Complementar Federal nº 130, de 2009;</w:t>
      </w:r>
      <w:r>
        <w:rPr>
          <w:rStyle w:val="61"/>
          <w:sz w:val="22"/>
          <w:szCs w:val="22"/>
        </w:rPr>
        <w:fldChar w:fldCharType="end"/>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a serviços especializados constantes do objeto social da cooperativa, a serem executados de forma complementar à sua atuação.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licitante organizado em cooperativa deverá declarar, ainda, em campo próprio do sistema eletrônico, que cumpre os requisitos estabelecidos no </w:t>
      </w:r>
      <w:r>
        <w:rPr>
          <w:sz w:val="22"/>
          <w:szCs w:val="22"/>
        </w:rPr>
        <w:fldChar w:fldCharType="begin"/>
      </w:r>
      <w:r>
        <w:rPr>
          <w:rStyle w:val="61"/>
          <w:sz w:val="22"/>
          <w:szCs w:val="22"/>
        </w:rPr>
        <w:instrText xml:space="preserve"> HYPERLINK "http://www.planalto.gov.br/ccivil_03/_ato2019-2022/2021/lei/L14133.htm"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w:t>
      </w:r>
    </w:p>
    <w:p>
      <w:pPr>
        <w:pStyle w:val="2"/>
        <w:spacing w:before="360" w:after="0"/>
        <w:rPr>
          <w:sz w:val="22"/>
          <w:szCs w:val="22"/>
        </w:rPr>
      </w:pPr>
      <w:bookmarkStart w:id="10" w:name="_Toc149517435"/>
      <w:r>
        <w:rPr>
          <w:rStyle w:val="52"/>
          <w:sz w:val="22"/>
          <w:szCs w:val="22"/>
        </w:rPr>
        <w:t>IMPUGNAÇÃO E ESCLARECIMENTOS</w:t>
      </w:r>
      <w:bookmarkEnd w:id="10"/>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 xml:space="preserve">art. 164, </w:t>
      </w:r>
      <w:r>
        <w:rPr>
          <w:rStyle w:val="61"/>
          <w:sz w:val="22"/>
          <w:szCs w:val="22"/>
        </w:rPr>
        <w:fldChar w:fldCharType="end"/>
      </w:r>
      <w:r>
        <w:rPr>
          <w:rStyle w:val="61"/>
          <w:i/>
          <w:iCs/>
          <w:sz w:val="22"/>
          <w:szCs w:val="22"/>
        </w:rPr>
        <w:t>caput</w:t>
      </w:r>
      <w:r>
        <w:rPr>
          <w:rStyle w:val="61"/>
          <w:sz w:val="22"/>
          <w:szCs w:val="22"/>
        </w:rPr>
        <w:t>, da Lei Federal nº 14.133, de 2021</w:t>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2"/>
          <w:color w:val="000000" w:themeColor="text1"/>
          <w:sz w:val="22"/>
          <w:szCs w:val="22"/>
          <w14:textFill>
            <w14:solidFill>
              <w14:schemeClr w14:val="tx1"/>
            </w14:solidFill>
          </w14:textFill>
        </w:rPr>
        <w:t>oficial</w:t>
      </w:r>
      <w:r>
        <w:rPr>
          <w:color w:val="000000"/>
          <w:sz w:val="22"/>
          <w:szCs w:val="22"/>
        </w:rPr>
        <w:t xml:space="preserve"> da </w:t>
      </w:r>
      <w:r>
        <w:rPr>
          <w:rStyle w:val="52"/>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 xml:space="preserve"> </w:t>
      </w:r>
      <w:r>
        <w:rPr>
          <w:color w:val="000000"/>
          <w:sz w:val="22"/>
          <w:szCs w:val="22"/>
        </w:rPr>
        <w:t>(</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art. 164, parágrafo único,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1"/>
          <w:sz w:val="22"/>
          <w:szCs w:val="22"/>
        </w:rPr>
        <w:instrText xml:space="preserve"> HYPERLINK "https://www.planalto.gov.br/ccivil_03/_ato2019-2022/2021/lei/l14133.htm" \l "art55"</w:instrText>
      </w:r>
      <w:r>
        <w:rPr>
          <w:rStyle w:val="61"/>
          <w:sz w:val="22"/>
          <w:szCs w:val="22"/>
        </w:rPr>
        <w:fldChar w:fldCharType="separate"/>
      </w:r>
      <w:r>
        <w:rPr>
          <w:rStyle w:val="61"/>
          <w:sz w:val="22"/>
          <w:szCs w:val="22"/>
        </w:rPr>
        <w:t>art. 55, § 1º,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pPr>
        <w:pStyle w:val="2"/>
        <w:spacing w:before="360" w:after="0"/>
        <w:rPr>
          <w:sz w:val="22"/>
          <w:szCs w:val="22"/>
        </w:rPr>
      </w:pPr>
      <w:bookmarkStart w:id="11" w:name="_CREDENCIAMENTO"/>
      <w:bookmarkEnd w:id="11"/>
      <w:bookmarkStart w:id="12" w:name="_Toc149517436"/>
      <w:r>
        <w:rPr>
          <w:rStyle w:val="52"/>
          <w:sz w:val="22"/>
          <w:szCs w:val="22"/>
        </w:rPr>
        <w:t>CREDENCIAMENTO</w:t>
      </w:r>
      <w:bookmarkEnd w:id="12"/>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sz w:val="22"/>
          <w:szCs w:val="22"/>
        </w:rPr>
        <w:t>As empresas licitantes interessadas deverão proceder ao credenciamento antes da data marcada para início da Sessão Pública via internet.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 participação do licitante no </w:t>
      </w:r>
      <w:r>
        <w:rPr>
          <w:rStyle w:val="52"/>
          <w:color w:val="000000" w:themeColor="text1"/>
          <w:sz w:val="22"/>
          <w:szCs w:val="22"/>
          <w14:textFill>
            <w14:solidFill>
              <w14:schemeClr w14:val="tx1"/>
            </w14:solidFill>
          </w14:textFill>
        </w:rPr>
        <w:t>Pregão</w:t>
      </w:r>
      <w:r>
        <w:rPr>
          <w:rStyle w:val="52"/>
          <w:color w:val="000000"/>
          <w:sz w:val="22"/>
          <w:szCs w:val="22"/>
        </w:rPr>
        <w:t xml:space="preserve"> se dará exclusivamente através de </w:t>
      </w:r>
      <w:r>
        <w:rPr>
          <w:rStyle w:val="52"/>
          <w:i/>
          <w:iCs/>
          <w:color w:val="000000"/>
          <w:sz w:val="22"/>
          <w:szCs w:val="22"/>
        </w:rPr>
        <w:t>Home Broker</w:t>
      </w:r>
      <w:r>
        <w:rPr>
          <w:rStyle w:val="52"/>
          <w:color w:val="000000"/>
          <w:sz w:val="22"/>
          <w:szCs w:val="22"/>
        </w:rPr>
        <w:t>, o qual deverá manifestar em campo próprio da plataforma Eletrônica, pleno conhecimento, aceitação e atendimento às exigências de habilitação previstas no Edital.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w:t>
      </w:r>
      <w:r>
        <w:rPr>
          <w:rStyle w:val="52"/>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O acesso do licitante ao </w:t>
      </w:r>
      <w:r>
        <w:rPr>
          <w:rStyle w:val="52"/>
          <w:color w:val="000000" w:themeColor="text1"/>
          <w:sz w:val="22"/>
          <w:szCs w:val="22"/>
          <w14:textFill>
            <w14:solidFill>
              <w14:schemeClr w14:val="tx1"/>
            </w14:solidFill>
          </w14:textFill>
        </w:rPr>
        <w:t>Pregão</w:t>
      </w:r>
      <w:r>
        <w:rPr>
          <w:rStyle w:val="52"/>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xml:space="preserve">) e à </w:t>
      </w:r>
      <w:r>
        <w:rPr>
          <w:rStyle w:val="52"/>
          <w:color w:val="000000" w:themeColor="text1"/>
          <w:sz w:val="22"/>
          <w:szCs w:val="22"/>
          <w14:textFill>
            <w14:solidFill>
              <w14:schemeClr w14:val="tx1"/>
            </w14:solidFill>
          </w14:textFill>
        </w:rPr>
        <w:t>Câmara Municipal de Primavera do Leste - MT</w:t>
      </w:r>
      <w:r>
        <w:rPr>
          <w:rStyle w:val="52"/>
          <w:color w:val="000000"/>
          <w:sz w:val="22"/>
          <w:szCs w:val="22"/>
        </w:rPr>
        <w:t xml:space="preserve"> a responsabilidade por eventuais danos decorrentes de uso indevido da senha, ainda que por terceiros.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O cadastramento do licitante junto a plataforma onde ocorrerá a disputa no presente </w:t>
      </w:r>
      <w:r>
        <w:rPr>
          <w:rStyle w:val="52"/>
          <w:color w:val="000000" w:themeColor="text1"/>
          <w:sz w:val="22"/>
          <w:szCs w:val="22"/>
          <w14:textFill>
            <w14:solidFill>
              <w14:schemeClr w14:val="tx1"/>
            </w14:solidFill>
          </w14:textFill>
        </w:rPr>
        <w:t>Pregão</w:t>
      </w:r>
      <w:r>
        <w:rPr>
          <w:rStyle w:val="52"/>
          <w:color w:val="000000"/>
          <w:sz w:val="22"/>
          <w:szCs w:val="22"/>
        </w:rPr>
        <w:t xml:space="preserve"> implica a responsabilidade legal pelos atos praticados e a presunção de capacidade técnica para realização das transações inerentes ao certame.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 caso se enquadre, implicará o IMPEDIMENTO DA LICITANTE EM BENEFICIAR-SE DA CONDIÇÃO DE MICROEMPRESA (ME) OU EMPRESA DE PEQUENO PORTE (EPP).</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 xml:space="preserve">.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A perda da senha ou a quebra de sigilo deverá ser comunicada ao provedor do sistema para imediato bloqueio de acesso.</w:t>
      </w:r>
    </w:p>
    <w:p>
      <w:pPr>
        <w:pStyle w:val="2"/>
        <w:spacing w:before="360" w:after="0"/>
        <w:rPr>
          <w:sz w:val="22"/>
          <w:szCs w:val="22"/>
        </w:rPr>
      </w:pPr>
      <w:bookmarkStart w:id="13" w:name="_Toc149517437"/>
      <w:r>
        <w:rPr>
          <w:rStyle w:val="52"/>
          <w:sz w:val="22"/>
          <w:szCs w:val="22"/>
        </w:rPr>
        <w:t>CADASTRAMENTO DA PROPOSTA</w:t>
      </w:r>
      <w:bookmarkEnd w:id="13"/>
      <w:r>
        <w:rPr>
          <w:rStyle w:val="52"/>
          <w:sz w:val="22"/>
          <w:szCs w:val="22"/>
        </w:rPr>
        <w:t xml:space="preserve"> </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sz w:val="22"/>
          <w:szCs w:val="22"/>
        </w:rPr>
        <w:t>”</w:t>
      </w:r>
      <w:r>
        <w:rPr>
          <w:rStyle w:val="52"/>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O registro de proposta eletrônica vinculada ao presente certame implica, independente de expressa declaração, na(o):</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Aceitação de todas as condições estabelecidas neste Edital e seus Anexos;</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garantia do cumprimento da proposta por prazo mínimo de 90 (noventa) dias, contados da data de abertura da sessão pública;</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compromisso do licitante para com o rigoroso cumprimento das especificações técnicas, prazos e condições fixadas no Termo de Referência (Anexo I);</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Impossibilidade de posterior desistência ou declínio de proposta a partir da data da sessão eletrônica inicial, ou de requerer qualquer acréscimo de custos que deveria ter sido incluído na sua proposta;</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Submissão às sanções administrativas previstas neste Edital e seus Anexos;</w:t>
      </w:r>
    </w:p>
    <w:p>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2"/>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As propostas registradas no “Sistema” NÃO DEVEM CONTER NENHUMA IDENTIFICAÇÃO DA EMPRESA PROPONENTE, visando atender o princípio da impessoalidade e preservar o sigilo das propostas, sob pena de desclassificação.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Os lances serão de envio automático pelo sistema, que respeitará o preço final mínimo, bem como o intervalo de que trata o item anterior.</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O preço final mínimo poderá ser alterado pela licitante durante a fase de lances, porém, não poderá ser superior a lance já registrado por ela no sistema.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Até a abertura da sessão, as licitantes poderão retirar ou substituir suas propostas anteriormente apresentadas.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Todas as especificações do objeto contidas na proposta vinculam o fornecedor registrado.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1"/>
          <w:sz w:val="22"/>
          <w:szCs w:val="22"/>
        </w:rPr>
        <w:t>Lei Federal nº 8.078, de 1990</w:t>
      </w:r>
      <w:r>
        <w:rPr>
          <w:rStyle w:val="61"/>
          <w:sz w:val="22"/>
          <w:szCs w:val="22"/>
        </w:rPr>
        <w:fldChar w:fldCharType="end"/>
      </w:r>
      <w:r>
        <w:rPr>
          <w:rStyle w:val="52"/>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Nenhuma indenização será devida aos licitantes pela elaboração ou apresentação de propostas relativas a presente licitação.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Após a abertura da sessão pública eletrônica do presente certame não cabe, em nenhuma hipótese, desistência de proposta.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 xml:space="preserve">Nenhuma proposta ou documentação de habilitação poderá ser encaminhada ao(à) </w:t>
      </w:r>
      <w:r>
        <w:rPr>
          <w:sz w:val="22"/>
          <w:szCs w:val="22"/>
        </w:rPr>
        <w:t>Pregoeiro</w:t>
      </w:r>
      <w:r>
        <w:rPr>
          <w:rStyle w:val="52"/>
          <w:color w:val="000000"/>
          <w:sz w:val="22"/>
          <w:szCs w:val="22"/>
        </w:rPr>
        <w:t xml:space="preserve"> por e-mail ou outro meio de comunicação antes do encerramento da etapa competitiva, sob pena de quebra do anonimato da competição e, consequentemente, desclassificação da proposta.</w:t>
      </w:r>
    </w:p>
    <w:p>
      <w:pPr>
        <w:pStyle w:val="49"/>
        <w:numPr>
          <w:ilvl w:val="0"/>
          <w:numId w:val="0"/>
        </w:numPr>
        <w:tabs>
          <w:tab w:val="left" w:pos="1134"/>
        </w:tabs>
        <w:spacing w:before="0" w:beforeAutospacing="0" w:after="0" w:afterAutospacing="0"/>
        <w:ind w:left="0" w:firstLine="0"/>
        <w:jc w:val="both"/>
        <w:textAlignment w:val="baseline"/>
        <w:rPr>
          <w:rStyle w:val="52"/>
          <w:color w:val="000000"/>
          <w:sz w:val="22"/>
          <w:szCs w:val="22"/>
        </w:rPr>
      </w:pPr>
    </w:p>
    <w:p>
      <w:pPr>
        <w:pStyle w:val="2"/>
        <w:spacing w:before="360" w:after="0"/>
        <w:rPr>
          <w:sz w:val="22"/>
          <w:szCs w:val="22"/>
        </w:rPr>
      </w:pPr>
      <w:bookmarkStart w:id="14" w:name="_Toc149517438"/>
      <w:r>
        <w:rPr>
          <w:rStyle w:val="52"/>
          <w:sz w:val="22"/>
          <w:szCs w:val="22"/>
        </w:rPr>
        <w:t>CADASTRAMENTO DOS DOCUMENTOS DE HABILITAÇÃO</w:t>
      </w:r>
      <w:bookmarkEnd w:id="14"/>
      <w:r>
        <w:rPr>
          <w:rStyle w:val="52"/>
          <w:sz w:val="22"/>
          <w:szCs w:val="22"/>
        </w:rPr>
        <w:t xml:space="preserve"> </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rPr>
          <w:sz w:val="22"/>
          <w:szCs w:val="22"/>
        </w:rPr>
        <w:fldChar w:fldCharType="begin"/>
      </w:r>
      <w:r>
        <w:rPr>
          <w:rStyle w:val="61"/>
          <w:rFonts w:eastAsia="Calibri"/>
          <w:sz w:val="22"/>
          <w:szCs w:val="22"/>
          <w:lang w:eastAsia="en-US"/>
        </w:rPr>
        <w:instrText xml:space="preserve"> HYPERLINK "https://www.planalto.gov.br/ccivil_03/leis/lcp/lcp123.htm" \l "art43"</w:instrText>
      </w:r>
      <w:r>
        <w:rPr>
          <w:rStyle w:val="61"/>
          <w:rFonts w:eastAsia="Calibri"/>
          <w:sz w:val="22"/>
          <w:szCs w:val="22"/>
          <w:lang w:eastAsia="en-US"/>
        </w:rPr>
        <w:fldChar w:fldCharType="separate"/>
      </w:r>
      <w:r>
        <w:rPr>
          <w:rStyle w:val="61"/>
          <w:rFonts w:eastAsiaTheme="minorHAnsi"/>
          <w:sz w:val="22"/>
          <w:szCs w:val="22"/>
          <w:lang w:eastAsia="en-US"/>
        </w:rPr>
        <w:t>art. 43, § 1º, da Lei Complementar Federal nº 123, de 2006</w:t>
      </w:r>
      <w:r>
        <w:rPr>
          <w:rStyle w:val="61"/>
          <w:rFonts w:eastAsia="Calibri"/>
          <w:sz w:val="22"/>
          <w:szCs w:val="22"/>
          <w:lang w:eastAsia="en-US"/>
        </w:rPr>
        <w:fldChar w:fldCharType="end"/>
      </w:r>
      <w:r>
        <w:rPr>
          <w:rFonts w:eastAsiaTheme="minorHAnsi"/>
          <w:sz w:val="22"/>
          <w:szCs w:val="22"/>
          <w:lang w:eastAsia="en-US"/>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ABERTURA DA SESSÃO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color w:val="000000"/>
          <w:sz w:val="22"/>
          <w:szCs w:val="22"/>
        </w:rPr>
        <w:t>” deste Edital, a sessão pública na internet será aberta automaticamente pelo sistema.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pPr>
        <w:pStyle w:val="2"/>
        <w:spacing w:before="360" w:after="0"/>
        <w:rPr>
          <w:sz w:val="22"/>
          <w:szCs w:val="22"/>
        </w:rPr>
      </w:pPr>
      <w:bookmarkStart w:id="15" w:name="_Toc149517439"/>
      <w:r>
        <w:rPr>
          <w:rStyle w:val="52"/>
          <w:sz w:val="22"/>
          <w:szCs w:val="22"/>
        </w:rPr>
        <w:t>FORMULAÇÃO DE LANCES</w:t>
      </w:r>
      <w:bookmarkEnd w:id="15"/>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Os lances serão ofertados pelo valor unitário/total do item/lote único.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1"/>
          <w:sz w:val="22"/>
          <w:szCs w:val="22"/>
        </w:rPr>
        <w:instrText xml:space="preserve"> HYPERLINK "https://www.planalto.gov.br/ccivil_03/_ato2019-2022/2021/lei/l14133.htm" \l "art56"</w:instrText>
      </w:r>
      <w:r>
        <w:rPr>
          <w:rStyle w:val="61"/>
          <w:sz w:val="22"/>
          <w:szCs w:val="22"/>
        </w:rPr>
        <w:fldChar w:fldCharType="separate"/>
      </w:r>
      <w:r>
        <w:rPr>
          <w:rStyle w:val="61"/>
          <w:sz w:val="22"/>
          <w:szCs w:val="22"/>
        </w:rPr>
        <w:t>art. 56, §3º, II,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b/>
          <w:bCs/>
          <w:color w:val="000000"/>
          <w:sz w:val="22"/>
          <w:szCs w:val="22"/>
        </w:rPr>
        <w:t xml:space="preserve">Será adotado para o envio de lances neste </w:t>
      </w:r>
      <w:r>
        <w:rPr>
          <w:rStyle w:val="52"/>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2"/>
          <w:color w:val="000000" w:themeColor="text1"/>
          <w:sz w:val="22"/>
          <w:szCs w:val="22"/>
          <w14:textFill>
            <w14:solidFill>
              <w14:schemeClr w14:val="tx1"/>
            </w14:solidFill>
          </w14:textFill>
        </w:rPr>
        <w:t>Pregão</w:t>
      </w:r>
      <w:r>
        <w:rPr>
          <w:color w:val="000000"/>
          <w:sz w:val="22"/>
          <w:szCs w:val="22"/>
        </w:rPr>
        <w:t>, sendo vedada a identificação do seu detentor.</w:t>
      </w:r>
    </w:p>
    <w:p>
      <w:pPr>
        <w:pStyle w:val="2"/>
        <w:spacing w:before="360" w:after="0"/>
        <w:rPr>
          <w:sz w:val="22"/>
          <w:szCs w:val="22"/>
        </w:rPr>
      </w:pPr>
      <w:bookmarkStart w:id="16" w:name="_Toc149517440"/>
      <w:r>
        <w:rPr>
          <w:rStyle w:val="52"/>
          <w:sz w:val="22"/>
          <w:szCs w:val="22"/>
        </w:rPr>
        <w:t>DESCONEXÃO DO</w:t>
      </w:r>
      <w:bookmarkEnd w:id="16"/>
      <w:r>
        <w:rPr>
          <w:rStyle w:val="52"/>
          <w:sz w:val="22"/>
          <w:szCs w:val="22"/>
        </w:rPr>
        <w:t xml:space="preserve"> PREGOEIRO</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2"/>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2"/>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pPr>
        <w:pStyle w:val="2"/>
        <w:spacing w:before="360" w:after="0"/>
        <w:rPr>
          <w:sz w:val="22"/>
          <w:szCs w:val="22"/>
        </w:rPr>
      </w:pPr>
      <w:bookmarkStart w:id="17" w:name="_Toc149517441"/>
      <w:r>
        <w:rPr>
          <w:rStyle w:val="52"/>
          <w:sz w:val="22"/>
          <w:szCs w:val="22"/>
        </w:rPr>
        <w:t>BENEFÍCIOS ÀS MICROEMPRESAS</w:t>
      </w:r>
      <w:r>
        <w:rPr>
          <w:rStyle w:val="52"/>
          <w:sz w:val="22"/>
          <w:szCs w:val="22"/>
          <w:lang w:val="pt-BR"/>
        </w:rPr>
        <w:t>,</w:t>
      </w:r>
      <w:r>
        <w:rPr>
          <w:rStyle w:val="52"/>
          <w:sz w:val="22"/>
          <w:szCs w:val="22"/>
        </w:rPr>
        <w:t xml:space="preserve"> EMPRESAS DE PEQUENO PORTE</w:t>
      </w:r>
      <w:bookmarkEnd w:id="17"/>
      <w:r>
        <w:rPr>
          <w:rStyle w:val="52"/>
          <w:sz w:val="22"/>
          <w:szCs w:val="22"/>
          <w:lang w:val="pt-BR"/>
        </w:rPr>
        <w:t xml:space="preserve"> E REGIONAIS</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artigos 42 a 49 da Lei Complementar Federal nº 123, de 2006</w:t>
      </w:r>
      <w:r>
        <w:rPr>
          <w:rStyle w:val="61"/>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art. 4º, §§ 1º ao 3º, da Lei Federal nº 14.133, de 2021.</w:t>
      </w:r>
      <w:r>
        <w:rPr>
          <w:rStyle w:val="61"/>
          <w:sz w:val="22"/>
          <w:szCs w:val="22"/>
        </w:rPr>
        <w:fldChar w:fldCharType="end"/>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automaticamente, procederá da seguinte forma: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sz w:val="22"/>
          <w:szCs w:val="22"/>
        </w:rPr>
        <w:t>, exercerá tal direito prioritariamente aquela cuja proposta tenha sido recebida e registrada pelo sistema primeiramente;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pPr>
        <w:pStyle w:val="49"/>
        <w:numPr>
          <w:ilvl w:val="1"/>
          <w:numId w:val="1"/>
        </w:numPr>
        <w:tabs>
          <w:tab w:val="left" w:pos="1134"/>
        </w:tabs>
        <w:spacing w:before="0" w:beforeAutospacing="0" w:after="0" w:afterAutospacing="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e 43 da Lei Complementar Federal nº 123, de 2006</w:t>
      </w:r>
      <w:r>
        <w:rPr>
          <w:rStyle w:val="61"/>
          <w:sz w:val="22"/>
          <w:szCs w:val="22"/>
        </w:rPr>
        <w:fldChar w:fldCharType="end"/>
      </w:r>
      <w:r>
        <w:rPr>
          <w:sz w:val="22"/>
          <w:szCs w:val="22"/>
        </w:rPr>
        <w:t>, conforme as seguintes regras: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pPr>
        <w:pStyle w:val="49"/>
        <w:numPr>
          <w:ilvl w:val="1"/>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pPr>
        <w:pStyle w:val="49"/>
        <w:numPr>
          <w:ilvl w:val="1"/>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pPr>
        <w:pStyle w:val="49"/>
        <w:numPr>
          <w:ilvl w:val="1"/>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pPr>
        <w:pStyle w:val="2"/>
        <w:spacing w:before="360" w:after="0"/>
        <w:rPr>
          <w:sz w:val="22"/>
          <w:szCs w:val="22"/>
        </w:rPr>
      </w:pPr>
      <w:bookmarkStart w:id="18" w:name="_Toc149517442"/>
      <w:r>
        <w:rPr>
          <w:rStyle w:val="52"/>
          <w:sz w:val="22"/>
          <w:szCs w:val="22"/>
        </w:rPr>
        <w:t>EMPATE FICTO</w:t>
      </w:r>
      <w:bookmarkEnd w:id="18"/>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1"/>
          <w:sz w:val="22"/>
          <w:szCs w:val="22"/>
        </w:rPr>
        <w:instrText xml:space="preserve"> HYPERLINK "https://www.planalto.gov.br/ccivil_03/leis/lcp/lcp123.htm" \l "art45"</w:instrText>
      </w:r>
      <w:r>
        <w:rPr>
          <w:rStyle w:val="61"/>
          <w:sz w:val="22"/>
          <w:szCs w:val="22"/>
        </w:rPr>
        <w:fldChar w:fldCharType="separate"/>
      </w:r>
      <w:r>
        <w:rPr>
          <w:rStyle w:val="61"/>
          <w:sz w:val="22"/>
          <w:szCs w:val="22"/>
        </w:rPr>
        <w:t>art. 45, §3º, da Lei Complementar Federal nº 123, de 2006</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o sistema efetuará sorteio para identificar a empresa que primeiro poderá apresentar melhor oferta.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na ordem de classificação.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pPr>
        <w:pStyle w:val="2"/>
        <w:spacing w:before="360" w:after="0"/>
        <w:rPr>
          <w:sz w:val="22"/>
          <w:szCs w:val="22"/>
        </w:rPr>
      </w:pPr>
      <w:bookmarkStart w:id="19" w:name="_Toc149517443"/>
      <w:r>
        <w:rPr>
          <w:rStyle w:val="52"/>
          <w:sz w:val="22"/>
          <w:szCs w:val="22"/>
        </w:rPr>
        <w:t>EMPATE REAL</w:t>
      </w:r>
      <w:bookmarkEnd w:id="19"/>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naquela ordem, mesmo não havendo envio de lances na fase competitiva.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1"/>
          <w:sz w:val="22"/>
          <w:szCs w:val="22"/>
        </w:rPr>
        <w:t>Lei Federal nº 12.187, de 2009</w:t>
      </w:r>
      <w:r>
        <w:rPr>
          <w:rStyle w:val="61"/>
          <w:sz w:val="22"/>
          <w:szCs w:val="22"/>
        </w:rPr>
        <w:fldChar w:fldCharType="end"/>
      </w:r>
      <w:r>
        <w:rPr>
          <w:sz w:val="22"/>
          <w:szCs w:val="22"/>
        </w:rPr>
        <w:t>.</w:t>
      </w:r>
    </w:p>
    <w:p>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CONFORMIDADE DA PROPOSTA CLASSIFICADA EM PRIMEIRO LUGAR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1"/>
          <w:sz w:val="22"/>
          <w:szCs w:val="22"/>
        </w:rPr>
        <w:t>8 - CONSÓRCIO</w:t>
      </w:r>
      <w:r>
        <w:rPr>
          <w:rStyle w:val="61"/>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NEGOCIAÇÃO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 61, §1º,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art.61, §1º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pPr>
        <w:pStyle w:val="2"/>
        <w:spacing w:before="360" w:after="0"/>
        <w:rPr>
          <w:sz w:val="22"/>
          <w:szCs w:val="22"/>
        </w:rPr>
      </w:pPr>
      <w:bookmarkStart w:id="20" w:name="_Toc149517444"/>
      <w:r>
        <w:rPr>
          <w:rStyle w:val="52"/>
          <w:sz w:val="22"/>
          <w:szCs w:val="22"/>
        </w:rPr>
        <w:t>DESCLASSIFICAÇÃO DE PROPOSTA</w:t>
      </w:r>
      <w:bookmarkEnd w:id="20"/>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Será desclassificada a proposta, que (</w:t>
      </w:r>
      <w:r>
        <w:rPr>
          <w:sz w:val="22"/>
          <w:szCs w:val="22"/>
        </w:rPr>
        <w:fldChar w:fldCharType="begin"/>
      </w:r>
      <w:r>
        <w:rPr>
          <w:rStyle w:val="61"/>
          <w:sz w:val="22"/>
          <w:szCs w:val="22"/>
        </w:rPr>
        <w:instrText xml:space="preserve"> HYPERLINK "https://www.planalto.gov.br/ccivil_03/_ato2019-2022/2021/lei/l14133.htm" \l "art59"</w:instrText>
      </w:r>
      <w:r>
        <w:rPr>
          <w:rStyle w:val="61"/>
          <w:sz w:val="22"/>
          <w:szCs w:val="22"/>
        </w:rPr>
        <w:fldChar w:fldCharType="separate"/>
      </w:r>
      <w:r>
        <w:rPr>
          <w:rStyle w:val="61"/>
          <w:sz w:val="22"/>
          <w:szCs w:val="22"/>
        </w:rPr>
        <w:t>art. 59, da Lei Federal nº 14.133, de 2021</w:t>
      </w:r>
      <w:r>
        <w:rPr>
          <w:rStyle w:val="61"/>
          <w:sz w:val="22"/>
          <w:szCs w:val="22"/>
        </w:rPr>
        <w:fldChar w:fldCharType="end"/>
      </w:r>
      <w:r>
        <w:rPr>
          <w:color w:val="000000"/>
          <w:sz w:val="22"/>
          <w:szCs w:val="22"/>
        </w:rPr>
        <w:t>):</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contiverem vícios insanáveis;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 obedecerem às especificações técnicas pormenorizadas no edital;</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presentarem preços inexequíveis e não tiverem sua exequibilidade demonstrada, quando exigido pela Administração;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com preço superior ao estimado para a contratação;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Apresentarem desconformidade com quaisquer outras exigências do edital, desde que insanável.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1"/>
          <w:sz w:val="22"/>
          <w:szCs w:val="22"/>
        </w:rPr>
        <w:t>Acórdão 1217/2023 Plenário - TCU</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pPr>
        <w:pStyle w:val="2"/>
        <w:spacing w:before="360" w:after="0"/>
        <w:rPr>
          <w:sz w:val="22"/>
          <w:szCs w:val="22"/>
        </w:rPr>
      </w:pPr>
      <w:bookmarkStart w:id="21" w:name="_Toc149517445"/>
      <w:r>
        <w:rPr>
          <w:rStyle w:val="52"/>
          <w:sz w:val="22"/>
          <w:szCs w:val="22"/>
        </w:rPr>
        <w:t>INEXEQUIBILIDADE DE PROPOSTA</w:t>
      </w:r>
      <w:bookmarkEnd w:id="21"/>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pPr>
        <w:pStyle w:val="49"/>
        <w:numPr>
          <w:ilvl w:val="1"/>
          <w:numId w:val="1"/>
        </w:numPr>
        <w:tabs>
          <w:tab w:val="left" w:pos="1134"/>
        </w:tabs>
        <w:spacing w:before="0" w:beforeAutospacing="0" w:after="120" w:afterAutospacing="0"/>
        <w:ind w:left="0" w:firstLine="567"/>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pPr>
        <w:pStyle w:val="49"/>
        <w:numPr>
          <w:ilvl w:val="2"/>
          <w:numId w:val="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pPr>
        <w:pStyle w:val="49"/>
        <w:numPr>
          <w:ilvl w:val="2"/>
          <w:numId w:val="6"/>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pPr>
        <w:pStyle w:val="2"/>
        <w:spacing w:before="360" w:after="0"/>
        <w:rPr>
          <w:sz w:val="22"/>
          <w:szCs w:val="22"/>
        </w:rPr>
      </w:pPr>
      <w:bookmarkStart w:id="22" w:name="_Toc149517446"/>
      <w:r>
        <w:rPr>
          <w:rStyle w:val="52"/>
          <w:sz w:val="22"/>
          <w:szCs w:val="22"/>
        </w:rPr>
        <w:t>PROPOSTA CLASSIFICADA EM PRIMEIRO LUGAR</w:t>
      </w:r>
      <w:bookmarkEnd w:id="22"/>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1"/>
          <w:sz w:val="22"/>
          <w:szCs w:val="22"/>
        </w:rPr>
        <w:instrText xml:space="preserve"> HYPERLINK "https://www.planalto.gov.br/ccivil_03/_ato2019-2022/2021/lei/l14133.htm" \l "art64"</w:instrText>
      </w:r>
      <w:r>
        <w:rPr>
          <w:rStyle w:val="61"/>
          <w:sz w:val="22"/>
          <w:szCs w:val="22"/>
        </w:rPr>
        <w:fldChar w:fldCharType="separate"/>
      </w:r>
      <w:r>
        <w:rPr>
          <w:rStyle w:val="61"/>
          <w:sz w:val="22"/>
          <w:szCs w:val="22"/>
        </w:rPr>
        <w:t>art. 64, §1º,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pPr>
        <w:pStyle w:val="49"/>
        <w:numPr>
          <w:ilvl w:val="1"/>
          <w:numId w:val="1"/>
        </w:numPr>
        <w:tabs>
          <w:tab w:val="left" w:pos="1134"/>
        </w:tabs>
        <w:spacing w:before="0" w:beforeAutospacing="0" w:after="120" w:afterAutospacing="0"/>
        <w:ind w:left="0" w:firstLine="567"/>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pPr>
        <w:pStyle w:val="49"/>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pPr>
        <w:pStyle w:val="49"/>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pPr>
        <w:pStyle w:val="49"/>
        <w:numPr>
          <w:ilvl w:val="1"/>
          <w:numId w:val="1"/>
        </w:numPr>
        <w:tabs>
          <w:tab w:val="left" w:pos="1134"/>
        </w:tabs>
        <w:spacing w:before="120" w:beforeAutospacing="0" w:after="120" w:afterAutospacing="0"/>
        <w:ind w:left="0" w:firstLine="567"/>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pPr>
        <w:pStyle w:val="49"/>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2"/>
          <w:color w:val="000000"/>
          <w:sz w:val="22"/>
          <w:szCs w:val="22"/>
        </w:rPr>
        <w:t>Termo de Referência</w:t>
      </w:r>
      <w:r>
        <w:rPr>
          <w:color w:val="000000"/>
          <w:sz w:val="22"/>
          <w:szCs w:val="22"/>
        </w:rPr>
        <w:t xml:space="preserve"> - Anexo I deste Edital;</w:t>
      </w:r>
    </w:p>
    <w:p>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1"/>
          <w:sz w:val="22"/>
          <w:szCs w:val="22"/>
        </w:rPr>
        <w:instrText xml:space="preserve"> HYPERLINK "https://www.planalto.gov.br/ccivil_03/_ato2019-2022/2021/lei/l14133.htm" \l "art42"</w:instrText>
      </w:r>
      <w:r>
        <w:rPr>
          <w:rStyle w:val="61"/>
          <w:sz w:val="22"/>
          <w:szCs w:val="22"/>
        </w:rPr>
        <w:fldChar w:fldCharType="separate"/>
      </w:r>
      <w:r>
        <w:rPr>
          <w:rStyle w:val="61"/>
          <w:sz w:val="22"/>
          <w:szCs w:val="22"/>
        </w:rPr>
        <w:t>art. 42 da Lei Federal nº 14.133, de 2021</w:t>
      </w:r>
      <w:r>
        <w:rPr>
          <w:rStyle w:val="61"/>
          <w:sz w:val="22"/>
          <w:szCs w:val="22"/>
        </w:rPr>
        <w:fldChar w:fldCharType="end"/>
      </w:r>
      <w:r>
        <w:rPr>
          <w:color w:val="000000"/>
          <w:sz w:val="22"/>
          <w:szCs w:val="22"/>
        </w:rPr>
        <w:t>.</w:t>
      </w:r>
    </w:p>
    <w:p>
      <w:pPr>
        <w:pStyle w:val="49"/>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pPr>
        <w:pStyle w:val="2"/>
        <w:spacing w:before="360" w:after="0"/>
        <w:rPr>
          <w:sz w:val="22"/>
          <w:szCs w:val="22"/>
        </w:rPr>
      </w:pPr>
      <w:bookmarkStart w:id="23" w:name="_Toc149517447"/>
      <w:r>
        <w:rPr>
          <w:rStyle w:val="52"/>
          <w:sz w:val="22"/>
          <w:szCs w:val="22"/>
        </w:rPr>
        <w:t>ACEITABILIDADE DA PROPOSTA</w:t>
      </w:r>
      <w:bookmarkEnd w:id="23"/>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se for o caso.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pPr>
        <w:pStyle w:val="2"/>
        <w:spacing w:before="360" w:after="0"/>
        <w:rPr>
          <w:sz w:val="22"/>
          <w:szCs w:val="22"/>
        </w:rPr>
      </w:pPr>
      <w:bookmarkStart w:id="24" w:name="_Toc149517448"/>
      <w:r>
        <w:rPr>
          <w:rStyle w:val="52"/>
          <w:sz w:val="22"/>
          <w:szCs w:val="22"/>
        </w:rPr>
        <w:t>HABILITAÇÃO DA LICITANTE CLASSIFICADA EM PRIMEIRO LUGAR</w:t>
      </w:r>
      <w:bookmarkEnd w:id="24"/>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documentação de habilitação poderá ser:</w:t>
      </w:r>
    </w:p>
    <w:p>
      <w:pPr>
        <w:pStyle w:val="49"/>
        <w:numPr>
          <w:ilvl w:val="2"/>
          <w:numId w:val="1"/>
        </w:numPr>
        <w:tabs>
          <w:tab w:val="left" w:pos="1134"/>
        </w:tabs>
        <w:spacing w:before="0" w:beforeAutospacing="0" w:after="0" w:afterAutospacing="0"/>
        <w:jc w:val="both"/>
        <w:textAlignment w:val="baseline"/>
        <w:rPr>
          <w:sz w:val="22"/>
          <w:szCs w:val="22"/>
        </w:rPr>
      </w:pPr>
      <w:bookmarkStart w:id="25" w:name="art70i"/>
      <w:bookmarkEnd w:id="25"/>
      <w:r>
        <w:rPr>
          <w:color w:val="000000"/>
          <w:sz w:val="22"/>
          <w:szCs w:val="22"/>
        </w:rPr>
        <w:t>apresentada em original, por cópia ou por qualquer outro meio expressamente admitido pela Administração (</w:t>
      </w:r>
      <w:r>
        <w:rPr>
          <w:sz w:val="22"/>
          <w:szCs w:val="22"/>
        </w:rPr>
        <w:fldChar w:fldCharType="begin"/>
      </w:r>
      <w:r>
        <w:rPr>
          <w:rStyle w:val="61"/>
          <w:sz w:val="22"/>
          <w:szCs w:val="22"/>
        </w:rPr>
        <w:instrText xml:space="preserve"> HYPERLINK "https://www.planalto.gov.br/ccivil_03/_ato2019-2022/2021/lei/l14133.htm" \l "art70"</w:instrText>
      </w:r>
      <w:r>
        <w:rPr>
          <w:rStyle w:val="61"/>
          <w:sz w:val="22"/>
          <w:szCs w:val="22"/>
        </w:rPr>
        <w:fldChar w:fldCharType="separate"/>
      </w:r>
      <w:r>
        <w:rPr>
          <w:rStyle w:val="61"/>
          <w:sz w:val="22"/>
          <w:szCs w:val="22"/>
        </w:rPr>
        <w:t>art. 70, I, da Lei Federal nº 14.133, de 2021</w:t>
      </w:r>
      <w:r>
        <w:rPr>
          <w:rStyle w:val="61"/>
          <w:sz w:val="22"/>
          <w:szCs w:val="22"/>
        </w:rPr>
        <w:fldChar w:fldCharType="end"/>
      </w:r>
      <w:r>
        <w:rPr>
          <w:color w:val="000000"/>
          <w:sz w:val="22"/>
          <w:szCs w:val="22"/>
        </w:rPr>
        <w:t xml:space="preserve">); </w:t>
      </w:r>
    </w:p>
    <w:p>
      <w:pPr>
        <w:pStyle w:val="49"/>
        <w:numPr>
          <w:ilvl w:val="2"/>
          <w:numId w:val="1"/>
        </w:numPr>
        <w:tabs>
          <w:tab w:val="left" w:pos="1134"/>
        </w:tabs>
        <w:spacing w:before="0" w:beforeAutospacing="0" w:after="0" w:afterAutospacing="0"/>
        <w:jc w:val="both"/>
        <w:textAlignment w:val="baseline"/>
        <w:rPr>
          <w:sz w:val="22"/>
          <w:szCs w:val="22"/>
        </w:rPr>
      </w:pPr>
      <w:bookmarkStart w:id="26" w:name="art70ii"/>
      <w:bookmarkEnd w:id="26"/>
      <w:r>
        <w:rPr>
          <w:color w:val="000000"/>
          <w:sz w:val="22"/>
          <w:szCs w:val="22"/>
        </w:rPr>
        <w:t>substituída por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 1º, da Lei Complementar Federal nº 123, de 2006</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1"/>
          <w:sz w:val="22"/>
          <w:szCs w:val="22"/>
        </w:rPr>
        <w:t>Decreto Federal nº 8.660, de 2016</w:t>
      </w:r>
      <w:r>
        <w:rPr>
          <w:rStyle w:val="61"/>
          <w:sz w:val="22"/>
          <w:szCs w:val="22"/>
        </w:rPr>
        <w:fldChar w:fldCharType="end"/>
      </w:r>
      <w:r>
        <w:rPr>
          <w:sz w:val="22"/>
          <w:szCs w:val="22"/>
        </w:rPr>
        <w:t>, ou de outro que venha a substituí-lo, ou consularizados pelos respectivos consulados ou embaixadas.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1"/>
          <w:sz w:val="22"/>
          <w:szCs w:val="22"/>
        </w:rPr>
        <w:instrText xml:space="preserve"> HYPERLINK "https://www.planalto.gov.br/ccivil_03/leis/l8429.htm" \l "art12"</w:instrText>
      </w:r>
      <w:r>
        <w:rPr>
          <w:rStyle w:val="61"/>
          <w:sz w:val="22"/>
          <w:szCs w:val="22"/>
        </w:rPr>
        <w:fldChar w:fldCharType="separate"/>
      </w:r>
      <w:r>
        <w:rPr>
          <w:rStyle w:val="61"/>
          <w:sz w:val="22"/>
          <w:szCs w:val="22"/>
        </w:rPr>
        <w:t>art. 12 da Lei Federal nº 8.429, de 1992</w:t>
      </w:r>
      <w:r>
        <w:rPr>
          <w:rStyle w:val="61"/>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para aceitação da proposta subsequente.</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1"/>
          <w:sz w:val="22"/>
          <w:szCs w:val="22"/>
        </w:rPr>
        <w:instrText xml:space="preserve"> HYPERLINK "http://www.planalto.gov.br/ccivil_03/_ato2019-2022/2021/lei/L14133.htm" \l "art64"</w:instrText>
      </w:r>
      <w:r>
        <w:rPr>
          <w:rStyle w:val="61"/>
          <w:sz w:val="22"/>
          <w:szCs w:val="22"/>
        </w:rPr>
        <w:fldChar w:fldCharType="separate"/>
      </w:r>
      <w:r>
        <w:rPr>
          <w:rStyle w:val="61"/>
          <w:sz w:val="22"/>
          <w:szCs w:val="22"/>
        </w:rPr>
        <w:t>art. 64 da Lei Federal nº 14.133, de 2021</w:t>
      </w:r>
      <w:r>
        <w:rPr>
          <w:rStyle w:val="61"/>
          <w:sz w:val="22"/>
          <w:szCs w:val="22"/>
        </w:rPr>
        <w:fldChar w:fldCharType="end"/>
      </w:r>
      <w:r>
        <w:rPr>
          <w:sz w:val="22"/>
          <w:szCs w:val="22"/>
        </w:rPr>
        <w:t>):</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bookmarkStart w:id="27" w:name="art64§2"/>
      <w:bookmarkEnd w:id="27"/>
      <w:bookmarkStart w:id="28" w:name="art64§1"/>
      <w:bookmarkEnd w:id="28"/>
      <w:r>
        <w:rPr>
          <w:color w:val="000000"/>
          <w:sz w:val="22"/>
          <w:szCs w:val="22"/>
        </w:rPr>
        <w:t>Para os documentos que têm prazo de validade e este não estiver expresso no documento, será considerada a validade de 90 (noventa) dias, a partir de sua emissão, se outro prazo não estiver fixado em lei.</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pPr>
        <w:pStyle w:val="2"/>
        <w:spacing w:before="360" w:after="0"/>
        <w:rPr>
          <w:sz w:val="22"/>
          <w:szCs w:val="22"/>
        </w:rPr>
      </w:pPr>
      <w:bookmarkStart w:id="29" w:name="_Toc149517449"/>
      <w:r>
        <w:rPr>
          <w:rStyle w:val="52"/>
          <w:sz w:val="22"/>
          <w:szCs w:val="22"/>
        </w:rPr>
        <w:t>HABILITAÇÃO JURÍDICA</w:t>
      </w:r>
      <w:bookmarkEnd w:id="29"/>
    </w:p>
    <w:p>
      <w:pPr>
        <w:pStyle w:val="49"/>
        <w:numPr>
          <w:ilvl w:val="1"/>
          <w:numId w:val="1"/>
        </w:numPr>
        <w:tabs>
          <w:tab w:val="left" w:pos="1134"/>
        </w:tabs>
        <w:spacing w:before="120" w:beforeAutospacing="0" w:after="120" w:afterAutospacing="0"/>
        <w:ind w:left="0" w:firstLine="567"/>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1"/>
          <w:sz w:val="22"/>
          <w:szCs w:val="22"/>
        </w:rPr>
        <w:instrText xml:space="preserve"> HYPERLINK "https://www.planalto.gov.br/ccivil_03/_ato2019-2022/2021/lei/l14133.htm" \l "art66"</w:instrText>
      </w:r>
      <w:r>
        <w:rPr>
          <w:rStyle w:val="61"/>
          <w:sz w:val="22"/>
          <w:szCs w:val="22"/>
        </w:rPr>
        <w:fldChar w:fldCharType="separate"/>
      </w:r>
      <w:r>
        <w:rPr>
          <w:rStyle w:val="61"/>
          <w:sz w:val="22"/>
          <w:szCs w:val="22"/>
        </w:rPr>
        <w:t>art. 66 da Lei Federal nº 14.133, de 2021</w:t>
      </w:r>
      <w:r>
        <w:rPr>
          <w:rStyle w:val="61"/>
          <w:sz w:val="22"/>
          <w:szCs w:val="22"/>
        </w:rPr>
        <w:fldChar w:fldCharType="end"/>
      </w:r>
      <w:r>
        <w:rPr>
          <w:color w:val="000000"/>
          <w:sz w:val="22"/>
          <w:szCs w:val="22"/>
        </w:rPr>
        <w:t>), nos seguintes termos:</w:t>
      </w:r>
    </w:p>
    <w:p>
      <w:pPr>
        <w:pStyle w:val="49"/>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pPr>
        <w:pStyle w:val="49"/>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pPr>
        <w:pStyle w:val="2"/>
        <w:spacing w:before="360" w:after="0"/>
        <w:rPr>
          <w:sz w:val="22"/>
          <w:szCs w:val="22"/>
        </w:rPr>
      </w:pPr>
      <w:bookmarkStart w:id="30" w:name="_Toc149517450"/>
      <w:r>
        <w:rPr>
          <w:rStyle w:val="52"/>
          <w:sz w:val="22"/>
          <w:szCs w:val="22"/>
        </w:rPr>
        <w:t>QUALIFICAÇÃO TÉCNICO-PROFISSIONAL E TÉCNICO-OPERACIONAL</w:t>
      </w:r>
      <w:bookmarkEnd w:id="30"/>
    </w:p>
    <w:p>
      <w:pPr>
        <w:pStyle w:val="49"/>
        <w:numPr>
          <w:ilvl w:val="1"/>
          <w:numId w:val="1"/>
        </w:numPr>
        <w:tabs>
          <w:tab w:val="left" w:pos="1134"/>
        </w:tabs>
        <w:spacing w:before="120" w:beforeAutospacing="0" w:after="120" w:afterAutospacing="0"/>
        <w:ind w:left="0" w:firstLine="567"/>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pPr>
        <w:pStyle w:val="180"/>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180"/>
        <w:numPr>
          <w:ilvl w:val="0"/>
          <w:numId w:val="0"/>
        </w:numPr>
        <w:ind w:left="360" w:firstLine="0"/>
        <w:jc w:val="both"/>
        <w:rPr>
          <w:rFonts w:ascii="Times New Roman" w:hAnsi="Times New Roman" w:eastAsia="Calibri" w:cs="Times New Roman"/>
          <w:b/>
          <w:bCs/>
          <w:color w:val="000000"/>
          <w:sz w:val="22"/>
          <w:szCs w:val="22"/>
        </w:rPr>
      </w:pPr>
    </w:p>
    <w:p>
      <w:pPr>
        <w:pStyle w:val="180"/>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pPr>
        <w:pStyle w:val="2"/>
        <w:spacing w:before="360" w:after="0"/>
        <w:rPr>
          <w:sz w:val="22"/>
          <w:szCs w:val="22"/>
        </w:rPr>
      </w:pPr>
      <w:bookmarkStart w:id="31" w:name="_Toc149517451"/>
      <w:r>
        <w:rPr>
          <w:rStyle w:val="52"/>
          <w:sz w:val="22"/>
          <w:szCs w:val="22"/>
        </w:rPr>
        <w:t>REGULARIDADE FISCAL, SOCIAL E TRABALHISTA</w:t>
      </w:r>
      <w:bookmarkEnd w:id="31"/>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7º, inc. XXXIII, da Constituição Federal de 1988</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pPr>
        <w:pStyle w:val="2"/>
        <w:spacing w:before="360" w:after="0"/>
        <w:rPr>
          <w:sz w:val="22"/>
          <w:szCs w:val="22"/>
        </w:rPr>
      </w:pPr>
      <w:bookmarkStart w:id="32" w:name="_Toc149517452"/>
      <w:r>
        <w:rPr>
          <w:rStyle w:val="52"/>
          <w:sz w:val="22"/>
          <w:szCs w:val="22"/>
        </w:rPr>
        <w:t>HABILITAÇÃO ECONÔMICO-FINANCEIRA</w:t>
      </w:r>
      <w:bookmarkEnd w:id="32"/>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1"/>
          <w:sz w:val="22"/>
          <w:szCs w:val="22"/>
        </w:rPr>
        <w:instrText xml:space="preserve"> HYPERLINK "http://www.planalto.gov.br/ccivil_03/constituicao/constituicao.htm" \l "art37"</w:instrText>
      </w:r>
      <w:r>
        <w:rPr>
          <w:rStyle w:val="61"/>
          <w:sz w:val="22"/>
          <w:szCs w:val="22"/>
        </w:rPr>
        <w:fldChar w:fldCharType="separate"/>
      </w:r>
      <w:r>
        <w:rPr>
          <w:rStyle w:val="61"/>
          <w:sz w:val="22"/>
          <w:szCs w:val="22"/>
        </w:rPr>
        <w:t>art. 37, XXI, da Constituição Federal de 1988</w:t>
      </w:r>
      <w:r>
        <w:rPr>
          <w:rStyle w:val="61"/>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1"/>
          <w:sz w:val="22"/>
          <w:szCs w:val="22"/>
        </w:rPr>
        <w:instrText xml:space="preserve"> HYPERLINK "https://www.planalto.gov.br/ccivil_03/_ato2019-2022/2021/lei/l14133.htm" \l "art69"</w:instrText>
      </w:r>
      <w:r>
        <w:rPr>
          <w:rStyle w:val="61"/>
          <w:sz w:val="22"/>
          <w:szCs w:val="22"/>
        </w:rPr>
        <w:fldChar w:fldCharType="separate"/>
      </w:r>
      <w:r>
        <w:rPr>
          <w:rStyle w:val="61"/>
          <w:sz w:val="22"/>
          <w:szCs w:val="22"/>
        </w:rPr>
        <w:t>art. 69 da Lei Federal nº 14.133, de 2021</w:t>
      </w:r>
      <w:r>
        <w:rPr>
          <w:rStyle w:val="61"/>
          <w:sz w:val="22"/>
          <w:szCs w:val="22"/>
        </w:rPr>
        <w:fldChar w:fldCharType="end"/>
      </w:r>
      <w:r>
        <w:rPr>
          <w:color w:val="000000"/>
          <w:sz w:val="22"/>
          <w:szCs w:val="22"/>
        </w:rPr>
        <w:t>.</w:t>
      </w:r>
    </w:p>
    <w:p>
      <w:pPr>
        <w:pStyle w:val="2"/>
        <w:spacing w:before="360" w:after="0"/>
        <w:rPr>
          <w:sz w:val="22"/>
          <w:szCs w:val="22"/>
        </w:rPr>
      </w:pPr>
      <w:bookmarkStart w:id="33" w:name="_Toc149517453"/>
      <w:r>
        <w:rPr>
          <w:rStyle w:val="52"/>
          <w:sz w:val="22"/>
          <w:szCs w:val="22"/>
        </w:rPr>
        <w:t>OUTROS DOCUMENTOS</w:t>
      </w:r>
      <w:bookmarkEnd w:id="33"/>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1"/>
          <w:sz w:val="22"/>
          <w:szCs w:val="22"/>
        </w:rPr>
        <w:t>Anexo III - Modelo de Declarações</w:t>
      </w:r>
      <w:r>
        <w:rPr>
          <w:rStyle w:val="61"/>
          <w:sz w:val="22"/>
          <w:szCs w:val="22"/>
        </w:rPr>
        <w:fldChar w:fldCharType="end"/>
      </w:r>
      <w:r>
        <w:rPr>
          <w:color w:val="000000"/>
          <w:sz w:val="22"/>
          <w:szCs w:val="22"/>
        </w:rPr>
        <w:t>, de que: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pPr>
        <w:pStyle w:val="49"/>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 XXXIII, da Constituição Federal de 1988</w:t>
      </w:r>
      <w:r>
        <w:rPr>
          <w:rStyle w:val="61"/>
          <w:sz w:val="22"/>
          <w:szCs w:val="22"/>
        </w:rPr>
        <w:fldChar w:fldCharType="end"/>
      </w:r>
      <w:r>
        <w:rPr>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incisos III e IV do art. 1º e no inciso III do art. 5º da Constituição Federal de 1988</w:t>
      </w:r>
      <w:r>
        <w:rPr>
          <w:rStyle w:val="61"/>
          <w:sz w:val="22"/>
          <w:szCs w:val="22"/>
        </w:rPr>
        <w:fldChar w:fldCharType="end"/>
      </w:r>
      <w:r>
        <w:rPr>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4" w:name="_Hlk149515729"/>
      <w:r>
        <w:rPr>
          <w:color w:val="000000"/>
          <w:sz w:val="22"/>
          <w:szCs w:val="22"/>
        </w:rPr>
        <w:t>Câmara Municipal de Primavera do Leste - MT</w:t>
      </w:r>
      <w:bookmarkEnd w:id="34"/>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color w:val="000000"/>
          <w:sz w:val="22"/>
          <w:szCs w:val="22"/>
        </w:rPr>
        <w:t>);</w:t>
      </w:r>
    </w:p>
    <w:p>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bookmarkStart w:id="35"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em seus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bookmarkEnd w:id="35"/>
      <w:r>
        <w:rPr>
          <w:rStyle w:val="61"/>
          <w:sz w:val="22"/>
          <w:szCs w:val="22"/>
        </w:rPr>
        <w:t>arts. 42 a 49</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 1º ao 3º do art. 4º, da Lei Federal nº 14.133, de 2021.</w:t>
      </w:r>
      <w:r>
        <w:rPr>
          <w:rStyle w:val="61"/>
          <w:sz w:val="22"/>
          <w:szCs w:val="22"/>
        </w:rPr>
        <w:fldChar w:fldCharType="end"/>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color w:val="000000"/>
          <w:sz w:val="22"/>
          <w:szCs w:val="22"/>
        </w:rPr>
        <w:t>.</w:t>
      </w:r>
    </w:p>
    <w:p>
      <w:pPr>
        <w:pStyle w:val="2"/>
        <w:spacing w:before="360" w:after="0"/>
        <w:rPr>
          <w:sz w:val="22"/>
          <w:szCs w:val="22"/>
        </w:rPr>
      </w:pPr>
      <w:bookmarkStart w:id="36" w:name="_Toc149517454"/>
      <w:r>
        <w:rPr>
          <w:rStyle w:val="52"/>
          <w:sz w:val="22"/>
          <w:szCs w:val="22"/>
        </w:rPr>
        <w:t>ENCAMINHAMENTO DA PROPOSTA VENCEDORA</w:t>
      </w:r>
      <w:bookmarkEnd w:id="36"/>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1"/>
          <w:sz w:val="22"/>
          <w:szCs w:val="22"/>
        </w:rPr>
        <w:instrText xml:space="preserve"> HYPERLINK "https://www.planalto.gov.br/ccivil_03/_ato2019-2022/2021/lei/l14133.htm" \l "art12"</w:instrText>
      </w:r>
      <w:r>
        <w:rPr>
          <w:rStyle w:val="61"/>
          <w:sz w:val="22"/>
          <w:szCs w:val="22"/>
        </w:rPr>
        <w:fldChar w:fldCharType="separate"/>
      </w:r>
      <w:r>
        <w:rPr>
          <w:rStyle w:val="61"/>
          <w:sz w:val="22"/>
          <w:szCs w:val="22"/>
        </w:rPr>
        <w:t>art. 12, II,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pPr>
        <w:pStyle w:val="2"/>
        <w:spacing w:before="360" w:after="0"/>
        <w:rPr>
          <w:sz w:val="22"/>
          <w:szCs w:val="22"/>
        </w:rPr>
      </w:pPr>
      <w:bookmarkStart w:id="37" w:name="_Toc149517455"/>
      <w:r>
        <w:rPr>
          <w:rStyle w:val="52"/>
          <w:sz w:val="22"/>
          <w:szCs w:val="22"/>
        </w:rPr>
        <w:t>RECURSO(S) ADMINISTRATIVO(S)</w:t>
      </w:r>
      <w:bookmarkEnd w:id="37"/>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Será rejeitada a INTENÇÃO DE RECURSO de caráter protelatório que: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art. 5º, XXXIV, "a", Constituição Federal de 1988</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Não cabe RECURSO ADESIVO por ocasião do exercício do direito de contrarrazoar.</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§2º,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 2º, da Lei Federal nº 14.133, de 2021</w:t>
      </w:r>
      <w:r>
        <w:rPr>
          <w:rStyle w:val="61"/>
          <w:sz w:val="22"/>
          <w:szCs w:val="22"/>
        </w:rPr>
        <w:fldChar w:fldCharType="end"/>
      </w:r>
      <w:r>
        <w:rPr>
          <w:color w:val="000000"/>
          <w:sz w:val="22"/>
          <w:szCs w:val="22"/>
        </w:rPr>
        <w:t xml:space="preserve">), que poderá: </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§3º,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color w:val="000000"/>
          <w:sz w:val="22"/>
          <w:szCs w:val="22"/>
        </w:rPr>
        <w:t>.</w:t>
      </w:r>
    </w:p>
    <w:p>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pPr>
        <w:pStyle w:val="2"/>
        <w:spacing w:before="360" w:after="0"/>
        <w:rPr>
          <w:sz w:val="22"/>
          <w:szCs w:val="22"/>
        </w:rPr>
      </w:pPr>
      <w:bookmarkStart w:id="38" w:name="_Toc149517456"/>
      <w:r>
        <w:rPr>
          <w:rStyle w:val="52"/>
          <w:sz w:val="22"/>
          <w:szCs w:val="22"/>
        </w:rPr>
        <w:t>REABERTURA DA SESSÃO PÚBLICA</w:t>
      </w:r>
      <w:bookmarkEnd w:id="38"/>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sz w:val="22"/>
          <w:szCs w:val="22"/>
        </w:rPr>
        <w:t>A sessão pública poderá ser reaberta: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§1º, da Lei Complementar Federal nº 123, de 2006</w:t>
      </w:r>
      <w:r>
        <w:rPr>
          <w:rStyle w:val="61"/>
          <w:sz w:val="22"/>
          <w:szCs w:val="22"/>
        </w:rPr>
        <w:fldChar w:fldCharType="end"/>
      </w:r>
      <w:r>
        <w:rPr>
          <w:sz w:val="22"/>
          <w:szCs w:val="22"/>
        </w:rPr>
        <w:t>. Nessas hipóteses, serão adotados os procedimentos imediatamente posteriores ao encerramento da etapa de lances.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Todos os licitantes remanescentes deverão ser convocados para acompanhar a sessão reaberta.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pPr>
        <w:pStyle w:val="2"/>
        <w:spacing w:before="360" w:after="0"/>
        <w:rPr>
          <w:sz w:val="22"/>
          <w:szCs w:val="22"/>
        </w:rPr>
      </w:pPr>
      <w:bookmarkStart w:id="39" w:name="_Toc149517457"/>
      <w:r>
        <w:rPr>
          <w:rStyle w:val="52"/>
          <w:sz w:val="22"/>
          <w:szCs w:val="22"/>
        </w:rPr>
        <w:t>ENCERRAMENTO DA LICITAÇÃO</w:t>
      </w:r>
      <w:bookmarkEnd w:id="39"/>
    </w:p>
    <w:p>
      <w:pPr>
        <w:pStyle w:val="49"/>
        <w:numPr>
          <w:ilvl w:val="1"/>
          <w:numId w:val="1"/>
        </w:numPr>
        <w:tabs>
          <w:tab w:val="left" w:pos="1134"/>
        </w:tabs>
        <w:spacing w:before="120" w:beforeAutospacing="0" w:after="120" w:afterAutospacing="0"/>
        <w:ind w:left="0" w:firstLine="567"/>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sz w:val="22"/>
          <w:szCs w:val="22"/>
        </w:rPr>
        <w:t>, encerradas as fases de julgamento e habilitação, e exauridos os recursos administrativos, o processo licitatório será encaminhado à autoridade superior, que poderá:</w:t>
      </w:r>
    </w:p>
    <w:p>
      <w:pPr>
        <w:pStyle w:val="49"/>
        <w:numPr>
          <w:ilvl w:val="2"/>
          <w:numId w:val="10"/>
        </w:numPr>
        <w:tabs>
          <w:tab w:val="left" w:pos="1134"/>
        </w:tabs>
        <w:spacing w:before="120" w:after="0"/>
        <w:rPr>
          <w:rFonts w:ascii="Times New Roman" w:hAnsi="Times New Roman"/>
          <w:sz w:val="22"/>
          <w:szCs w:val="22"/>
        </w:rPr>
      </w:pPr>
      <w:r>
        <w:rPr>
          <w:sz w:val="22"/>
          <w:szCs w:val="22"/>
        </w:rPr>
        <w:t>determinar o retorno dos autos para saneamento de irregularidades;</w:t>
      </w:r>
    </w:p>
    <w:p>
      <w:pPr>
        <w:pStyle w:val="49"/>
        <w:numPr>
          <w:ilvl w:val="2"/>
          <w:numId w:val="10"/>
        </w:numPr>
        <w:tabs>
          <w:tab w:val="left" w:pos="1134"/>
        </w:tabs>
        <w:spacing w:before="0" w:after="0"/>
        <w:rPr>
          <w:rFonts w:ascii="Times New Roman" w:hAnsi="Times New Roman"/>
          <w:sz w:val="22"/>
          <w:szCs w:val="22"/>
        </w:rPr>
      </w:pPr>
      <w:r>
        <w:rPr>
          <w:sz w:val="22"/>
          <w:szCs w:val="22"/>
        </w:rPr>
        <w:t>revogar a licitação por motivo de conveniência e oportunidade;</w:t>
      </w:r>
    </w:p>
    <w:p>
      <w:pPr>
        <w:pStyle w:val="49"/>
        <w:numPr>
          <w:ilvl w:val="2"/>
          <w:numId w:val="10"/>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pPr>
        <w:pStyle w:val="49"/>
        <w:numPr>
          <w:ilvl w:val="2"/>
          <w:numId w:val="10"/>
        </w:numPr>
        <w:tabs>
          <w:tab w:val="left" w:pos="1134"/>
        </w:tabs>
        <w:spacing w:before="0" w:after="120"/>
        <w:rPr>
          <w:rFonts w:ascii="Times New Roman" w:hAnsi="Times New Roman"/>
          <w:sz w:val="22"/>
          <w:szCs w:val="22"/>
        </w:rPr>
      </w:pPr>
      <w:r>
        <w:rPr>
          <w:sz w:val="22"/>
          <w:szCs w:val="22"/>
        </w:rPr>
        <w:t>adjudicar o objeto e homologar a licitação.</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§1º,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§2º,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§3º, da Lei Federal nº 14.133, de 2021</w:t>
      </w:r>
      <w:r>
        <w:rPr>
          <w:rStyle w:val="61"/>
          <w:sz w:val="22"/>
          <w:szCs w:val="22"/>
        </w:rPr>
        <w:fldChar w:fldCharType="end"/>
      </w:r>
      <w:r>
        <w:rPr>
          <w:sz w:val="22"/>
          <w:szCs w:val="22"/>
        </w:rPr>
        <w:t>).</w:t>
      </w:r>
    </w:p>
    <w:p>
      <w:pPr>
        <w:pStyle w:val="2"/>
        <w:spacing w:before="360" w:after="0"/>
        <w:rPr>
          <w:sz w:val="22"/>
          <w:szCs w:val="22"/>
        </w:rPr>
      </w:pPr>
      <w:bookmarkStart w:id="40" w:name="_Toc144196064"/>
      <w:bookmarkStart w:id="41" w:name="_Toc149517458"/>
      <w:r>
        <w:rPr>
          <w:rStyle w:val="52"/>
          <w:sz w:val="22"/>
          <w:szCs w:val="22"/>
        </w:rPr>
        <w:t>REGISTRO DE PREÇOS</w:t>
      </w:r>
      <w:bookmarkEnd w:id="40"/>
      <w:bookmarkEnd w:id="41"/>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e disponibilizado durante a vigência da ata de registro de preços.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1"/>
          <w:sz w:val="22"/>
          <w:szCs w:val="22"/>
        </w:rPr>
        <w:t>“37 - REAJUSTE”</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4º,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5º,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1"/>
          <w:sz w:val="22"/>
          <w:szCs w:val="22"/>
        </w:rPr>
        <w:instrText xml:space="preserve"> HYPERLINK "https://www.planalto.gov.br/ccivil_03/_ato2019-2022/2021/lei/l14133.htm" \l "art82"</w:instrText>
      </w:r>
      <w:r>
        <w:rPr>
          <w:rStyle w:val="61"/>
          <w:sz w:val="22"/>
          <w:szCs w:val="22"/>
        </w:rPr>
        <w:fldChar w:fldCharType="separate"/>
      </w:r>
      <w:r>
        <w:rPr>
          <w:rStyle w:val="61"/>
          <w:sz w:val="22"/>
          <w:szCs w:val="22"/>
        </w:rPr>
        <w:t>art. 82, VIII, da 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Não poderá haver acréscimo(s) no(s) quantitativo(s) registrado(s) na ARP.</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1"/>
          <w:sz w:val="22"/>
          <w:szCs w:val="22"/>
        </w:rPr>
        <w:t>Anexo IV</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“38 - SANÇÕES ADMINISTRATIVAS”</w:t>
      </w:r>
      <w:r>
        <w:rPr>
          <w:rStyle w:val="61"/>
          <w:sz w:val="22"/>
          <w:szCs w:val="22"/>
        </w:rPr>
        <w:fldChar w:fldCharType="end"/>
      </w:r>
      <w:r>
        <w:rPr>
          <w:sz w:val="22"/>
          <w:szCs w:val="22"/>
        </w:rPr>
        <w:t xml:space="preserve"> em caso de inadimplência, observado o devido processo legal.</w:t>
      </w:r>
    </w:p>
    <w:p>
      <w:pPr>
        <w:pStyle w:val="2"/>
        <w:spacing w:before="360" w:after="0"/>
        <w:rPr>
          <w:sz w:val="22"/>
          <w:szCs w:val="22"/>
        </w:rPr>
      </w:pPr>
      <w:bookmarkStart w:id="42" w:name="_Toc144196065"/>
      <w:bookmarkStart w:id="43" w:name="_Toc149517459"/>
      <w:r>
        <w:rPr>
          <w:rStyle w:val="52"/>
          <w:sz w:val="22"/>
          <w:szCs w:val="22"/>
        </w:rPr>
        <w:t>FORMAÇÃO DO CADASTRO DE RESERVA</w:t>
      </w:r>
      <w:bookmarkEnd w:id="42"/>
      <w:bookmarkEnd w:id="43"/>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sz w:val="22"/>
          <w:szCs w:val="22"/>
        </w:rPr>
        <w:t>Após a homologação da licitação, será incluído na ata, na forma de anexo, o registro: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4" w:name="_Hlk132991372"/>
      <w:r>
        <w:rPr>
          <w:sz w:val="22"/>
          <w:szCs w:val="22"/>
        </w:rPr>
        <w:t xml:space="preserve">que </w:t>
      </w:r>
      <w:bookmarkStart w:id="45" w:name="_Hlk132989696"/>
      <w:r>
        <w:rPr>
          <w:sz w:val="22"/>
          <w:szCs w:val="22"/>
        </w:rPr>
        <w:t>aceitarem cotar o objeto com preço igual ao do adjudicatári</w:t>
      </w:r>
      <w:bookmarkEnd w:id="44"/>
      <w:r>
        <w:rPr>
          <w:sz w:val="22"/>
          <w:szCs w:val="22"/>
        </w:rPr>
        <w:t>o</w:t>
      </w:r>
      <w:bookmarkEnd w:id="45"/>
      <w:r>
        <w:rPr>
          <w:sz w:val="22"/>
          <w:szCs w:val="22"/>
        </w:rPr>
        <w:t xml:space="preserve">, observada a classificação na licitação; e </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pPr>
        <w:pStyle w:val="2"/>
        <w:spacing w:before="360" w:after="0"/>
        <w:rPr>
          <w:sz w:val="22"/>
          <w:szCs w:val="22"/>
        </w:rPr>
      </w:pPr>
      <w:bookmarkStart w:id="46" w:name="_Toc149517460"/>
      <w:r>
        <w:rPr>
          <w:rStyle w:val="52"/>
          <w:sz w:val="22"/>
          <w:szCs w:val="22"/>
        </w:rPr>
        <w:t>CONTRATAÇÃO</w:t>
      </w:r>
      <w:bookmarkEnd w:id="46"/>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“41 - SANÇÕES ADMINISTRATIVAS”</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"art95"</w:instrText>
      </w:r>
      <w:r>
        <w:rPr>
          <w:rStyle w:val="61"/>
          <w:sz w:val="22"/>
          <w:szCs w:val="22"/>
        </w:rPr>
        <w:fldChar w:fldCharType="separate"/>
      </w:r>
      <w:r>
        <w:rPr>
          <w:rStyle w:val="61"/>
          <w:sz w:val="22"/>
          <w:szCs w:val="22"/>
        </w:rPr>
        <w:t>art. 95, da Lei Federal nº 14.133, de 2021</w:t>
      </w:r>
      <w:r>
        <w:rPr>
          <w:rStyle w:val="61"/>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1"/>
          <w:sz w:val="22"/>
          <w:szCs w:val="22"/>
        </w:rPr>
        <w:t>Anexo VII</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e/ou IX,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color w:val="000000"/>
          <w:sz w:val="22"/>
          <w:szCs w:val="22"/>
        </w:rPr>
        <w:t xml:space="preserve"> e em outras legislações aplicáveis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2º,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120" w:afterAutospacing="0"/>
        <w:ind w:left="0" w:firstLine="567"/>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4º, da Lei Federal nº 14.133, de 2021</w:t>
      </w:r>
      <w:r>
        <w:rPr>
          <w:rStyle w:val="61"/>
          <w:sz w:val="22"/>
          <w:szCs w:val="22"/>
        </w:rPr>
        <w:fldChar w:fldCharType="end"/>
      </w:r>
      <w:r>
        <w:rPr>
          <w:color w:val="000000"/>
          <w:sz w:val="22"/>
          <w:szCs w:val="22"/>
        </w:rPr>
        <w:t>):</w:t>
      </w:r>
    </w:p>
    <w:p>
      <w:pPr>
        <w:pStyle w:val="49"/>
        <w:numPr>
          <w:ilvl w:val="2"/>
          <w:numId w:val="11"/>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pPr>
        <w:pStyle w:val="49"/>
        <w:numPr>
          <w:ilvl w:val="2"/>
          <w:numId w:val="1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§5º e 6º,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§7º, da Lei Federal nº 14.133, de 2021</w:t>
      </w:r>
      <w:r>
        <w:rPr>
          <w:rStyle w:val="61"/>
          <w:sz w:val="22"/>
          <w:szCs w:val="22"/>
        </w:rPr>
        <w:fldChar w:fldCharType="end"/>
      </w:r>
      <w:r>
        <w:rPr>
          <w:color w:val="000000"/>
          <w:sz w:val="22"/>
          <w:szCs w:val="22"/>
        </w:rPr>
        <w:t>).</w:t>
      </w:r>
    </w:p>
    <w:p>
      <w:pPr>
        <w:pStyle w:val="2"/>
        <w:spacing w:before="360" w:after="0"/>
        <w:rPr>
          <w:sz w:val="22"/>
          <w:szCs w:val="22"/>
        </w:rPr>
      </w:pPr>
      <w:bookmarkStart w:id="47" w:name="_SANÇÕES_ADMINISTRATIVAS"/>
      <w:bookmarkEnd w:id="47"/>
      <w:bookmarkStart w:id="48" w:name="_Toc149517461"/>
      <w:r>
        <w:rPr>
          <w:rStyle w:val="52"/>
          <w:sz w:val="22"/>
          <w:szCs w:val="22"/>
        </w:rPr>
        <w:t>SANÇÕES ADMINISTRATIVAS DE LICITAÇÃO</w:t>
      </w:r>
      <w:bookmarkEnd w:id="48"/>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49" w:name="art156§1i"/>
      <w:bookmarkEnd w:id="49"/>
      <w:r>
        <w:rPr>
          <w:color w:val="000000"/>
          <w:sz w:val="22"/>
          <w:szCs w:val="22"/>
        </w:rPr>
        <w:t>a natureza e a gravidade da infração cometida;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0" w:name="art156§1ii"/>
      <w:bookmarkEnd w:id="50"/>
      <w:r>
        <w:rPr>
          <w:color w:val="000000"/>
          <w:sz w:val="22"/>
          <w:szCs w:val="22"/>
        </w:rPr>
        <w:t>as peculiaridades do caso concreto;</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1" w:name="art156§1iii"/>
      <w:bookmarkEnd w:id="51"/>
      <w:r>
        <w:rPr>
          <w:color w:val="000000"/>
          <w:sz w:val="22"/>
          <w:szCs w:val="22"/>
        </w:rPr>
        <w:t>as circunstâncias agravantes ou atenuantes;</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2" w:name="art156§1iv"/>
      <w:bookmarkEnd w:id="52"/>
      <w:r>
        <w:rPr>
          <w:color w:val="000000"/>
          <w:sz w:val="22"/>
          <w:szCs w:val="22"/>
        </w:rPr>
        <w:t>os danos que dela provierem para a Administração Pública;</w:t>
      </w:r>
    </w:p>
    <w:p>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3" w:name="art156§1v"/>
      <w:bookmarkEnd w:id="53"/>
      <w:r>
        <w:rPr>
          <w:color w:val="000000"/>
          <w:sz w:val="22"/>
          <w:szCs w:val="22"/>
        </w:rPr>
        <w:t>a implantação ou o aperfeiçoamento de programa de integridade, conforme normas e orientações dos órgãos de controle.</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pPr>
        <w:pStyle w:val="2"/>
        <w:spacing w:before="360" w:after="0"/>
        <w:rPr>
          <w:sz w:val="22"/>
          <w:szCs w:val="22"/>
        </w:rPr>
      </w:pPr>
      <w:bookmarkStart w:id="54" w:name="_Toc149517462"/>
      <w:r>
        <w:rPr>
          <w:rStyle w:val="52"/>
          <w:sz w:val="22"/>
          <w:szCs w:val="22"/>
        </w:rPr>
        <w:t>PROTEÇÃO DOS DADOS NA LICITAÇÃO</w:t>
      </w:r>
      <w:bookmarkEnd w:id="54"/>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rStyle w:val="52"/>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com base no previsto no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II e III</w:t>
      </w:r>
      <w:r>
        <w:rPr>
          <w:rStyle w:val="61"/>
          <w:sz w:val="22"/>
          <w:szCs w:val="22"/>
        </w:rPr>
        <w:fldChar w:fldCharType="end"/>
      </w:r>
      <w:r>
        <w:rPr>
          <w:rStyle w:val="52"/>
          <w:color w:val="000000" w:themeColor="text1"/>
          <w:sz w:val="22"/>
          <w:szCs w:val="22"/>
          <w14:textFill>
            <w14:solidFill>
              <w14:schemeClr w14:val="tx1"/>
            </w14:solidFill>
          </w14:textFill>
        </w:rPr>
        <w:t xml:space="preserve">, c/c o </w:t>
      </w:r>
      <w:r>
        <w:rPr>
          <w:sz w:val="22"/>
          <w:szCs w:val="22"/>
        </w:rPr>
        <w:fldChar w:fldCharType="begin"/>
      </w:r>
      <w:r>
        <w:rPr>
          <w:rStyle w:val="61"/>
          <w:sz w:val="22"/>
          <w:szCs w:val="22"/>
        </w:rPr>
        <w:instrText xml:space="preserve"> HYPERLINK "https://www.planalto.gov.br/ccivil_03/_ato2015-2018/2018/lei/l13709.htm" \l "art23"</w:instrText>
      </w:r>
      <w:r>
        <w:rPr>
          <w:rStyle w:val="61"/>
          <w:sz w:val="22"/>
          <w:szCs w:val="22"/>
        </w:rPr>
        <w:fldChar w:fldCharType="separate"/>
      </w:r>
      <w:r>
        <w:rPr>
          <w:rStyle w:val="61"/>
          <w:sz w:val="22"/>
          <w:szCs w:val="22"/>
        </w:rPr>
        <w:t>art. 23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irá realizar o </w:t>
      </w:r>
      <w:r>
        <w:rPr>
          <w:sz w:val="22"/>
          <w:szCs w:val="22"/>
        </w:rPr>
        <w:t>tratamento</w:t>
      </w:r>
      <w:r>
        <w:rPr>
          <w:rStyle w:val="52"/>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inciso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2"/>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1"/>
          <w:sz w:val="22"/>
          <w:szCs w:val="22"/>
        </w:rPr>
        <w:instrText xml:space="preserve"> HYPERLINK "https://www.planalto.gov.br/ccivil_03/_ato2015-2018/2018/lei/l13709.htm" \l "art48"</w:instrText>
      </w:r>
      <w:r>
        <w:rPr>
          <w:rStyle w:val="61"/>
          <w:sz w:val="22"/>
          <w:szCs w:val="22"/>
        </w:rPr>
        <w:fldChar w:fldCharType="separate"/>
      </w:r>
      <w:r>
        <w:rPr>
          <w:rStyle w:val="61"/>
          <w:sz w:val="22"/>
          <w:szCs w:val="22"/>
        </w:rPr>
        <w:t>art. 48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rStyle w:val="52"/>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1"/>
          <w:sz w:val="22"/>
          <w:szCs w:val="22"/>
        </w:rPr>
        <w:t>Lei Complementar Federal nº 101, de 2000</w:t>
      </w:r>
      <w:r>
        <w:rPr>
          <w:rStyle w:val="61"/>
          <w:sz w:val="22"/>
          <w:szCs w:val="22"/>
        </w:rPr>
        <w:fldChar w:fldCharType="end"/>
      </w:r>
      <w:r>
        <w:rPr>
          <w:rStyle w:val="52"/>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1"/>
          <w:sz w:val="22"/>
          <w:szCs w:val="22"/>
        </w:rPr>
        <w:t>Lei Federal nº 12.527, de 2011</w:t>
      </w:r>
      <w:r>
        <w:rPr>
          <w:rStyle w:val="61"/>
          <w:sz w:val="22"/>
          <w:szCs w:val="22"/>
        </w:rPr>
        <w:fldChar w:fldCharType="end"/>
      </w:r>
      <w:r>
        <w:rPr>
          <w:rStyle w:val="52"/>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pPr>
        <w:pStyle w:val="2"/>
        <w:spacing w:before="360" w:after="0"/>
        <w:rPr>
          <w:sz w:val="22"/>
          <w:szCs w:val="22"/>
        </w:rPr>
      </w:pPr>
      <w:bookmarkStart w:id="55" w:name="_Toc144196074"/>
      <w:bookmarkStart w:id="56" w:name="_Toc149517463"/>
      <w:r>
        <w:rPr>
          <w:rStyle w:val="52"/>
          <w:sz w:val="22"/>
          <w:szCs w:val="22"/>
        </w:rPr>
        <w:t>CRÉDITOS ORÇAMENTÁRIOS </w:t>
      </w:r>
      <w:bookmarkEnd w:id="55"/>
      <w:bookmarkEnd w:id="56"/>
      <w:r>
        <w:rPr>
          <w:rStyle w:val="52"/>
          <w:sz w:val="22"/>
          <w:szCs w:val="22"/>
        </w:rPr>
        <w:t> </w:t>
      </w:r>
    </w:p>
    <w:p>
      <w:pPr>
        <w:pStyle w:val="49"/>
        <w:numPr>
          <w:ilvl w:val="1"/>
          <w:numId w:val="1"/>
        </w:numPr>
        <w:tabs>
          <w:tab w:val="left" w:pos="1134"/>
        </w:tabs>
        <w:spacing w:before="120" w:beforeAutospacing="0" w:after="0" w:afterAutospacing="0"/>
        <w:ind w:left="0" w:firstLine="567"/>
        <w:jc w:val="both"/>
        <w:textAlignment w:val="baseline"/>
        <w:rPr>
          <w:rFonts w:eastAsia="Arial" w:cs="Arial"/>
          <w:sz w:val="22"/>
          <w:szCs w:val="22"/>
          <w:lang w:eastAsia="en-US"/>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49"/>
        <w:numPr>
          <w:ilvl w:val="0"/>
          <w:numId w:val="0"/>
        </w:numPr>
        <w:tabs>
          <w:tab w:val="left" w:pos="1134"/>
        </w:tabs>
        <w:spacing w:before="120" w:beforeAutospacing="0" w:after="0" w:afterAutospacing="0"/>
        <w:ind w:left="567" w:leftChars="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OUTROS SERVIÇOS DE TERCEIROS – PESSOA JURÍDICA</w:t>
            </w:r>
          </w:p>
        </w:tc>
      </w:tr>
    </w:tbl>
    <w:p>
      <w:pPr>
        <w:spacing w:line="100" w:lineRule="atLeast"/>
        <w:jc w:val="both"/>
        <w:rPr>
          <w:rFonts w:hint="default" w:ascii="Times New Roman" w:hAnsi="Times New Roman" w:eastAsia="Times New Roman" w:cs="Times New Roman"/>
          <w:sz w:val="18"/>
          <w:szCs w:val="18"/>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18"/>
                <w:szCs w:val="18"/>
              </w:rPr>
            </w:pPr>
            <w:r>
              <w:rPr>
                <w:rFonts w:hint="default" w:ascii="Times New Roman" w:hAnsi="Times New Roman" w:cs="Times New Roman"/>
                <w:sz w:val="18"/>
                <w:szCs w:val="18"/>
              </w:rPr>
              <w:t>EQUIPAMENTOS E MATERIAL PERMANENTE</w:t>
            </w:r>
          </w:p>
        </w:tc>
      </w:tr>
    </w:tbl>
    <w:p>
      <w:pPr>
        <w:pStyle w:val="49"/>
        <w:numPr>
          <w:ilvl w:val="0"/>
          <w:numId w:val="0"/>
        </w:numPr>
        <w:tabs>
          <w:tab w:val="left" w:pos="1134"/>
        </w:tabs>
        <w:spacing w:before="120" w:beforeAutospacing="0" w:after="0" w:afterAutospacing="0"/>
        <w:jc w:val="both"/>
        <w:textAlignment w:val="baseline"/>
        <w:rPr>
          <w:sz w:val="22"/>
          <w:szCs w:val="22"/>
        </w:rPr>
      </w:pPr>
    </w:p>
    <w:p>
      <w:pPr>
        <w:pStyle w:val="49"/>
        <w:numPr>
          <w:ilvl w:val="1"/>
          <w:numId w:val="1"/>
        </w:numPr>
        <w:tabs>
          <w:tab w:val="left" w:pos="1134"/>
        </w:tabs>
        <w:spacing w:before="120" w:beforeAutospacing="0" w:after="0" w:afterAutospacing="0"/>
        <w:ind w:left="0" w:firstLine="567"/>
        <w:jc w:val="both"/>
        <w:textAlignment w:val="baseline"/>
        <w:rPr>
          <w:sz w:val="22"/>
          <w:szCs w:val="22"/>
        </w:rPr>
      </w:pPr>
      <w:r>
        <w:rPr>
          <w:color w:val="000000"/>
          <w:sz w:val="22"/>
          <w:szCs w:val="22"/>
        </w:rPr>
        <w:t xml:space="preserve">Em </w:t>
      </w:r>
      <w:r>
        <w:rPr>
          <w:rStyle w:val="52"/>
          <w:color w:val="000000" w:themeColor="text1"/>
          <w:sz w:val="22"/>
          <w:szCs w:val="22"/>
          <w14:textFill>
            <w14:solidFill>
              <w14:schemeClr w14:val="tx1"/>
            </w14:solidFill>
          </w14:textFill>
        </w:rPr>
        <w:t>caso</w:t>
      </w:r>
      <w:r>
        <w:rPr>
          <w:color w:val="000000"/>
          <w:sz w:val="22"/>
          <w:szCs w:val="22"/>
        </w:rPr>
        <w:t xml:space="preserve"> de </w:t>
      </w:r>
      <w:r>
        <w:rPr>
          <w:rStyle w:val="52"/>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 e as especificações constantes deste Edital, prevalecerão as últimas.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Todas </w:t>
      </w:r>
      <w:r>
        <w:rPr>
          <w:rStyle w:val="52"/>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2"/>
          <w:color w:val="000000" w:themeColor="text1"/>
          <w:sz w:val="22"/>
          <w:szCs w:val="22"/>
          <w14:textFill>
            <w14:solidFill>
              <w14:schemeClr w14:val="tx1"/>
            </w14:solidFill>
          </w14:textFill>
        </w:rPr>
        <w:t>Brasília</w:t>
      </w:r>
      <w:r>
        <w:rPr>
          <w:color w:val="000000"/>
          <w:sz w:val="22"/>
          <w:szCs w:val="22"/>
        </w:rPr>
        <w:t xml:space="preserve"> / DF.</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O </w:t>
      </w:r>
      <w:r>
        <w:rPr>
          <w:rStyle w:val="52"/>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2"/>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Nenhuma </w:t>
      </w:r>
      <w:r>
        <w:rPr>
          <w:rStyle w:val="52"/>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2"/>
          <w:color w:val="000000" w:themeColor="text1"/>
          <w:sz w:val="22"/>
          <w:szCs w:val="22"/>
          <w14:textFill>
            <w14:solidFill>
              <w14:schemeClr w14:val="tx1"/>
            </w14:solidFill>
          </w14:textFill>
        </w:rPr>
        <w:t>Pregão</w:t>
      </w:r>
      <w:r>
        <w:rPr>
          <w:color w:val="000000"/>
          <w:sz w:val="22"/>
          <w:szCs w:val="22"/>
        </w:rPr>
        <w:t>.</w:t>
      </w:r>
    </w:p>
    <w:p>
      <w:pPr>
        <w:pStyle w:val="49"/>
        <w:numPr>
          <w:ilvl w:val="1"/>
          <w:numId w:val="1"/>
        </w:numPr>
        <w:tabs>
          <w:tab w:val="left" w:pos="1134"/>
        </w:tabs>
        <w:spacing w:before="0" w:beforeAutospacing="0" w:after="0" w:afterAutospacing="0"/>
        <w:ind w:left="0" w:firstLine="567"/>
        <w:jc w:val="both"/>
        <w:textAlignment w:val="baseline"/>
        <w:rPr>
          <w:sz w:val="22"/>
          <w:szCs w:val="22"/>
        </w:rPr>
      </w:pPr>
      <w:r>
        <w:rPr>
          <w:color w:val="000000"/>
          <w:sz w:val="22"/>
          <w:szCs w:val="22"/>
        </w:rPr>
        <w:t xml:space="preserve">A Câmara Municipal de Primavera do Leste - MT não se responsabilizará por eventuais danos </w:t>
      </w:r>
      <w:r>
        <w:rPr>
          <w:rStyle w:val="52"/>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pPr>
        <w:pStyle w:val="49"/>
        <w:numPr>
          <w:ilvl w:val="1"/>
          <w:numId w:val="1"/>
        </w:numPr>
        <w:tabs>
          <w:tab w:val="left" w:pos="1134"/>
        </w:tabs>
        <w:spacing w:before="0" w:beforeAutospacing="0" w:after="0" w:afterAutospacing="0"/>
        <w:ind w:left="0" w:firstLine="567"/>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pPr>
        <w:pStyle w:val="2"/>
        <w:spacing w:before="360" w:after="0"/>
        <w:rPr>
          <w:sz w:val="22"/>
          <w:szCs w:val="22"/>
        </w:rPr>
      </w:pPr>
      <w:bookmarkStart w:id="57" w:name="_Toc149517465"/>
      <w:r>
        <w:rPr>
          <w:rStyle w:val="52"/>
          <w:sz w:val="22"/>
          <w:szCs w:val="22"/>
        </w:rPr>
        <w:t>FORO</w:t>
      </w:r>
      <w:bookmarkEnd w:id="57"/>
    </w:p>
    <w:p>
      <w:pPr>
        <w:pStyle w:val="49"/>
        <w:numPr>
          <w:ilvl w:val="1"/>
          <w:numId w:val="1"/>
        </w:numPr>
        <w:tabs>
          <w:tab w:val="left" w:pos="1134"/>
        </w:tabs>
        <w:spacing w:before="120" w:beforeAutospacing="0" w:after="120" w:afterAutospacing="0"/>
        <w:ind w:left="0" w:firstLine="567"/>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pPr>
        <w:pStyle w:val="180"/>
        <w:keepNext w:val="0"/>
        <w:keepLines w:val="0"/>
        <w:pageBreakBefore w:val="0"/>
        <w:widowControl/>
        <w:wordWrap w:val="0"/>
        <w:overflowPunct w:val="0"/>
        <w:bidi w:val="0"/>
        <w:snapToGrid/>
        <w:spacing w:line="216" w:lineRule="auto"/>
        <w:jc w:val="right"/>
        <w:textAlignment w:val="auto"/>
        <w:rPr>
          <w:rFonts w:hint="default" w:ascii="Times New Roman" w:hAnsi="Times New Roman"/>
          <w:sz w:val="22"/>
          <w:szCs w:val="22"/>
          <w:lang w:val="pt-BR"/>
        </w:rPr>
      </w:pPr>
      <w:r>
        <w:rPr>
          <w:rFonts w:ascii="Times New Roman" w:hAnsi="Times New Roman" w:cs="Times New Roman"/>
          <w:sz w:val="22"/>
          <w:szCs w:val="22"/>
        </w:rPr>
        <w:t>Primavera do Leste - MT,</w:t>
      </w:r>
      <w:r>
        <w:rPr>
          <w:rFonts w:hint="default" w:ascii="Times New Roman" w:hAnsi="Times New Roman" w:cs="Times New Roman"/>
          <w:sz w:val="22"/>
          <w:szCs w:val="22"/>
          <w:lang w:val="pt-BR"/>
        </w:rPr>
        <w:t xml:space="preserve"> 28 de maio de 2024.</w:t>
      </w: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bookmarkStart w:id="77" w:name="_GoBack"/>
      <w:bookmarkEnd w:id="77"/>
      <w:r>
        <w:rPr>
          <w:rFonts w:ascii="Times New Roman" w:hAnsi="Times New Roman" w:eastAsia="Times New Roman" w:cs="Times New Roman"/>
          <w:color w:val="000000"/>
          <w:sz w:val="24"/>
          <w:szCs w:val="24"/>
          <w:lang w:val="en-US" w:eastAsia="pt-BR"/>
        </w:rPr>
        <w:t>/2024</w:t>
      </w:r>
    </w:p>
    <w:p>
      <w:pPr>
        <w:pStyle w:val="18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80"/>
        <w:widowControl/>
        <w:overflowPunct w:val="0"/>
        <w:bidi w:val="0"/>
        <w:snapToGrid/>
        <w:spacing w:line="216" w:lineRule="auto"/>
        <w:jc w:val="both"/>
        <w:textAlignment w:val="auto"/>
        <w:rPr>
          <w:rFonts w:ascii="Times New Roman" w:hAnsi="Times New Roman" w:cs="Times New Roman"/>
          <w:color w:val="000000"/>
          <w:sz w:val="24"/>
          <w:szCs w:val="24"/>
        </w:rPr>
      </w:pPr>
    </w:p>
    <w:p>
      <w:pPr>
        <w:pStyle w:val="180"/>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pPr>
        <w:pStyle w:val="180"/>
        <w:keepNext w:val="0"/>
        <w:keepLines w:val="0"/>
        <w:pageBreakBefore w:val="0"/>
        <w:widowControl/>
        <w:overflowPunct w:val="0"/>
        <w:bidi w:val="0"/>
        <w:snapToGrid/>
        <w:spacing w:line="216" w:lineRule="auto"/>
        <w:jc w:val="center"/>
        <w:textAlignment w:val="auto"/>
      </w:pPr>
      <w:r>
        <w:rPr>
          <w:rFonts w:ascii="Times New Roman" w:hAnsi="Times New Roman" w:cs="Times New Roman"/>
          <w:sz w:val="24"/>
          <w:szCs w:val="24"/>
        </w:rPr>
        <w:t>Vereador Presidente</w:t>
      </w:r>
      <w:bookmarkStart w:id="58" w:name="_ANEXO_I_-"/>
      <w:bookmarkEnd w:id="58"/>
      <w:r>
        <w:br w:type="page"/>
      </w:r>
    </w:p>
    <w:p>
      <w:pPr>
        <w:pageBreakBefore/>
        <w:jc w:val="center"/>
      </w:pPr>
      <w:r>
        <w:rPr>
          <w:rStyle w:val="13"/>
          <w:rFonts w:eastAsia="Times New Roman"/>
          <w:b/>
          <w:u w:val="single"/>
          <w:lang w:eastAsia="en-US"/>
        </w:rPr>
        <w:t>TERMO DE REFERÊNCIA Nº 27/ 2024</w:t>
      </w:r>
    </w:p>
    <w:tbl>
      <w:tblPr>
        <w:tblStyle w:val="14"/>
        <w:tblW w:w="0" w:type="auto"/>
        <w:tblInd w:w="108" w:type="dxa"/>
        <w:tblLayout w:type="fixed"/>
        <w:tblCellMar>
          <w:top w:w="0" w:type="dxa"/>
          <w:left w:w="108" w:type="dxa"/>
          <w:bottom w:w="0" w:type="dxa"/>
          <w:right w:w="108" w:type="dxa"/>
        </w:tblCellMar>
      </w:tblPr>
      <w:tblGrid>
        <w:gridCol w:w="9145"/>
      </w:tblGrid>
      <w:tr>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pPr>
              <w:jc w:val="center"/>
              <w:rPr>
                <w:rFonts w:eastAsia="Times New Roman"/>
                <w:b/>
                <w:lang w:eastAsia="en-US"/>
              </w:rPr>
            </w:pPr>
            <w:r>
              <w:rPr>
                <w:rStyle w:val="13"/>
                <w:rFonts w:eastAsia="Times New Roman"/>
                <w:b/>
                <w:lang w:eastAsia="en-US"/>
              </w:rPr>
              <w:t>INFORMAÇÕES GERAIS</w:t>
            </w:r>
          </w:p>
        </w:tc>
      </w:tr>
    </w:tbl>
    <w:p>
      <w:pPr>
        <w:jc w:val="both"/>
        <w:rPr>
          <w:rFonts w:eastAsia="Times New Roman"/>
          <w:b/>
          <w:sz w:val="23"/>
          <w:szCs w:val="23"/>
          <w:lang w:eastAsia="en-US"/>
        </w:rPr>
      </w:pPr>
    </w:p>
    <w:p>
      <w:pPr>
        <w:spacing w:before="57" w:after="57" w:line="100" w:lineRule="atLeast"/>
        <w:jc w:val="both"/>
        <w:rPr>
          <w:rStyle w:val="13"/>
          <w:rFonts w:eastAsia="Times New Roman"/>
          <w:b/>
          <w:sz w:val="23"/>
          <w:szCs w:val="23"/>
          <w:lang w:eastAsia="en-US"/>
        </w:rPr>
      </w:pPr>
      <w:r>
        <w:rPr>
          <w:rStyle w:val="13"/>
          <w:rFonts w:eastAsia="Times New Roman"/>
          <w:b/>
          <w:sz w:val="23"/>
          <w:szCs w:val="23"/>
          <w:lang w:eastAsia="en-US"/>
        </w:rPr>
        <w:t xml:space="preserve">Órgão: </w:t>
      </w:r>
      <w:r>
        <w:rPr>
          <w:rStyle w:val="13"/>
          <w:rFonts w:eastAsia="Times New Roman"/>
          <w:sz w:val="23"/>
          <w:szCs w:val="23"/>
          <w:lang w:eastAsia="en-US"/>
        </w:rPr>
        <w:t>Câmara Municipal de Primavera do Leste – MT.</w:t>
      </w:r>
    </w:p>
    <w:p>
      <w:pPr>
        <w:spacing w:before="57" w:after="57" w:line="100" w:lineRule="atLeast"/>
        <w:jc w:val="both"/>
        <w:rPr>
          <w:rStyle w:val="13"/>
          <w:rFonts w:hint="default" w:eastAsia="Times New Roman"/>
          <w:b/>
          <w:bCs/>
          <w:sz w:val="23"/>
          <w:szCs w:val="23"/>
          <w:lang w:val="pt-BR" w:eastAsia="en-US"/>
        </w:rPr>
      </w:pPr>
      <w:r>
        <w:rPr>
          <w:rStyle w:val="13"/>
          <w:rFonts w:eastAsia="Times New Roman"/>
          <w:b/>
          <w:sz w:val="23"/>
          <w:szCs w:val="23"/>
          <w:lang w:eastAsia="en-US"/>
        </w:rPr>
        <w:t>Termo de Referência nº:</w:t>
      </w:r>
      <w:r>
        <w:rPr>
          <w:rStyle w:val="13"/>
          <w:rFonts w:eastAsia="Times New Roman"/>
          <w:b w:val="0"/>
          <w:bCs/>
          <w:sz w:val="23"/>
          <w:szCs w:val="23"/>
          <w:lang w:eastAsia="en-US"/>
        </w:rPr>
        <w:t xml:space="preserve"> </w:t>
      </w:r>
      <w:r>
        <w:rPr>
          <w:rStyle w:val="13"/>
          <w:b w:val="0"/>
          <w:bCs/>
          <w:sz w:val="23"/>
          <w:szCs w:val="23"/>
          <w:lang w:eastAsia="en-US"/>
        </w:rPr>
        <w:t>027/20</w:t>
      </w:r>
      <w:r>
        <w:rPr>
          <w:rStyle w:val="13"/>
          <w:rFonts w:eastAsia="Times New Roman"/>
          <w:b w:val="0"/>
          <w:bCs/>
          <w:sz w:val="23"/>
          <w:szCs w:val="23"/>
          <w:lang w:eastAsia="en-US"/>
        </w:rPr>
        <w:t>24</w:t>
      </w:r>
      <w:r>
        <w:rPr>
          <w:rStyle w:val="13"/>
          <w:rFonts w:hint="default" w:eastAsia="Times New Roman"/>
          <w:b w:val="0"/>
          <w:bCs/>
          <w:sz w:val="23"/>
          <w:szCs w:val="23"/>
          <w:lang w:val="pt-BR" w:eastAsia="en-US"/>
        </w:rPr>
        <w:t>.</w:t>
      </w:r>
    </w:p>
    <w:p>
      <w:pPr>
        <w:spacing w:before="57" w:after="57" w:line="100" w:lineRule="atLeast"/>
        <w:jc w:val="both"/>
        <w:rPr>
          <w:rStyle w:val="13"/>
          <w:rFonts w:eastAsia="Times New Roman"/>
          <w:b/>
          <w:sz w:val="23"/>
          <w:szCs w:val="23"/>
          <w:lang w:eastAsia="en-US"/>
        </w:rPr>
      </w:pPr>
      <w:r>
        <w:rPr>
          <w:rStyle w:val="13"/>
          <w:rFonts w:eastAsia="Times New Roman"/>
          <w:b/>
          <w:bCs/>
          <w:sz w:val="23"/>
          <w:szCs w:val="23"/>
          <w:lang w:eastAsia="en-US"/>
        </w:rPr>
        <w:t>Descrição da categoria</w:t>
      </w:r>
      <w:r>
        <w:rPr>
          <w:rStyle w:val="13"/>
          <w:rFonts w:eastAsia="Times New Roman"/>
          <w:b/>
          <w:sz w:val="23"/>
          <w:szCs w:val="23"/>
          <w:lang w:eastAsia="en-US"/>
        </w:rPr>
        <w:t>:</w:t>
      </w:r>
      <w:r>
        <w:rPr>
          <w:rStyle w:val="13"/>
          <w:rFonts w:eastAsia="Times New Roman"/>
          <w:b w:val="0"/>
          <w:bCs/>
          <w:sz w:val="23"/>
          <w:szCs w:val="23"/>
          <w:lang w:eastAsia="en-US"/>
        </w:rPr>
        <w:t xml:space="preserve"> </w:t>
      </w:r>
      <w:r>
        <w:rPr>
          <w:rStyle w:val="13"/>
          <w:rFonts w:eastAsia="Times New Roman" w:cs="Times New Roman"/>
          <w:b w:val="0"/>
          <w:bCs/>
          <w:sz w:val="23"/>
          <w:szCs w:val="23"/>
          <w:lang w:eastAsia="en-US"/>
        </w:rPr>
        <w:t>AQUISIÇÃO DE PAINEL DE LED E CÂMERAS DE GRAVAÇÃO PARA TRANSMISSÃO AO VIVO DAS SESSÕES DO PLENÁRIO DA CÂMARA MUNICIPAL DE PRIMAVERA DO LESTE – MT, ACOMPANHANDO TODOS OS ITENS NECESSÁRIOS PARA O SEU FUNCIONAMENTO, BEM COMO A SUA INSTALAÇÃO.</w:t>
      </w:r>
    </w:p>
    <w:p>
      <w:pPr>
        <w:spacing w:before="57" w:after="57" w:line="100" w:lineRule="atLeast"/>
        <w:jc w:val="both"/>
      </w:pPr>
      <w:r>
        <w:rPr>
          <w:rStyle w:val="13"/>
          <w:rFonts w:eastAsia="Times New Roman"/>
          <w:b/>
          <w:sz w:val="23"/>
          <w:szCs w:val="23"/>
          <w:lang w:eastAsia="en-US"/>
        </w:rPr>
        <w:t>Setor Solicitante:</w:t>
      </w:r>
      <w:r>
        <w:rPr>
          <w:rStyle w:val="13"/>
          <w:rFonts w:eastAsia="Times New Roman"/>
          <w:b w:val="0"/>
          <w:bCs/>
          <w:sz w:val="23"/>
          <w:szCs w:val="23"/>
          <w:lang w:eastAsia="en-US"/>
        </w:rPr>
        <w:t xml:space="preserve"> Tecnologia da Informação (TI)</w:t>
      </w:r>
      <w:r>
        <w:rPr>
          <w:rStyle w:val="13"/>
          <w:rFonts w:hint="default" w:eastAsia="Times New Roman"/>
          <w:b w:val="0"/>
          <w:bCs/>
          <w:sz w:val="23"/>
          <w:szCs w:val="23"/>
          <w:lang w:val="pt-BR" w:eastAsia="en-US"/>
        </w:rPr>
        <w:t>.</w:t>
      </w:r>
    </w:p>
    <w:tbl>
      <w:tblPr>
        <w:tblStyle w:val="14"/>
        <w:tblW w:w="0" w:type="auto"/>
        <w:tblInd w:w="88" w:type="dxa"/>
        <w:tblLayout w:type="fixed"/>
        <w:tblCellMar>
          <w:top w:w="0" w:type="dxa"/>
          <w:left w:w="108" w:type="dxa"/>
          <w:bottom w:w="0" w:type="dxa"/>
          <w:right w:w="108" w:type="dxa"/>
        </w:tblCellMar>
      </w:tblPr>
      <w:tblGrid>
        <w:gridCol w:w="9120"/>
      </w:tblGrid>
      <w:tr>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jc w:val="center"/>
            </w:pPr>
            <w:r>
              <w:rPr>
                <w:rStyle w:val="13"/>
                <w:rFonts w:eastAsia="Times New Roman"/>
                <w:b/>
                <w:lang w:eastAsia="en-US"/>
              </w:rPr>
              <w:t>I – FUNDAMENTAÇÃO MÍNIMA PARA REGISTRO DE PREÇOS PARA FUTURA E EVENTUAL CONTRATAÇÃO</w:t>
            </w:r>
          </w:p>
        </w:tc>
      </w:tr>
    </w:tbl>
    <w:p>
      <w:pPr>
        <w:spacing w:line="276" w:lineRule="auto"/>
        <w:jc w:val="both"/>
        <w:rPr>
          <w:rFonts w:eastAsia="Times New Roman"/>
          <w:b/>
          <w:lang w:eastAsia="en-US"/>
        </w:rPr>
      </w:pPr>
    </w:p>
    <w:p>
      <w:pPr>
        <w:pStyle w:val="215"/>
        <w:numPr>
          <w:ilvl w:val="0"/>
          <w:numId w:val="12"/>
        </w:numPr>
        <w:tabs>
          <w:tab w:val="left" w:pos="284"/>
        </w:tabs>
        <w:spacing w:line="100" w:lineRule="atLeast"/>
        <w:ind w:left="0" w:right="0" w:firstLine="0"/>
        <w:jc w:val="both"/>
        <w:rPr>
          <w:sz w:val="23"/>
          <w:szCs w:val="23"/>
        </w:rPr>
      </w:pPr>
      <w:r>
        <w:rPr>
          <w:rStyle w:val="13"/>
          <w:rFonts w:eastAsia="Times New Roman"/>
          <w:b/>
          <w:sz w:val="23"/>
          <w:szCs w:val="23"/>
          <w:lang w:eastAsia="en-US"/>
        </w:rPr>
        <w:t>OBJETO</w:t>
      </w:r>
      <w:r>
        <w:rPr>
          <w:rStyle w:val="13"/>
          <w:rFonts w:eastAsia="Times New Roman"/>
          <w:sz w:val="23"/>
          <w:szCs w:val="23"/>
          <w:lang w:eastAsia="en-US"/>
        </w:rPr>
        <w:t xml:space="preserve">: REGISTRO DE PREÇOS, embasado na lei 14.133/2021, a ser realizado pelo critério de julgamento </w:t>
      </w:r>
      <w:r>
        <w:rPr>
          <w:rStyle w:val="13"/>
          <w:rFonts w:eastAsia="Times New Roman"/>
          <w:b/>
          <w:bCs/>
          <w:sz w:val="23"/>
          <w:szCs w:val="23"/>
          <w:lang w:eastAsia="en-US"/>
        </w:rPr>
        <w:t>MENOR PREÇO POR LOTE</w:t>
      </w:r>
      <w:r>
        <w:rPr>
          <w:rStyle w:val="13"/>
          <w:rFonts w:eastAsia="Times New Roman"/>
          <w:sz w:val="23"/>
          <w:szCs w:val="23"/>
          <w:lang w:eastAsia="en-US"/>
        </w:rPr>
        <w:t xml:space="preserve">, para futura e eventual </w:t>
      </w:r>
      <w:r>
        <w:rPr>
          <w:rStyle w:val="13"/>
          <w:rFonts w:eastAsia="Times New Roman"/>
          <w:b/>
          <w:bCs/>
          <w:sz w:val="23"/>
          <w:szCs w:val="23"/>
          <w:lang w:eastAsia="en-US"/>
        </w:rPr>
        <w:t>A</w:t>
      </w:r>
      <w:r>
        <w:rPr>
          <w:rStyle w:val="13"/>
          <w:rFonts w:eastAsia="Times New Roman" w:cs="Times New Roman"/>
          <w:b/>
          <w:bCs/>
          <w:sz w:val="23"/>
          <w:szCs w:val="23"/>
          <w:lang w:eastAsia="en-US"/>
        </w:rPr>
        <w:t xml:space="preserve">QUISIÇÃO DE PAINEL DE LED E CÂMERAS DE GRAVAÇÃO PARA TRANSMISSÃO AO VIVO DAS SESSÕES DO PLENÁRIO DA CÂMARA MUNICIPAL DE PRIMAVERA DO LESTE – MT, ACOMPANHANDO TODOS OS ITENS NECESSÁRIOS PARA O SEU FUNCIONAMENTO, BEM COMO A SUA INSTALAÇÃO </w:t>
      </w:r>
      <w:r>
        <w:rPr>
          <w:rStyle w:val="13"/>
          <w:rFonts w:eastAsia="Times New Roman" w:cs="Times New Roman"/>
          <w:sz w:val="23"/>
          <w:szCs w:val="23"/>
          <w:lang w:eastAsia="en-US"/>
        </w:rPr>
        <w:t>para atender às necessidades demandadas pela Câmara Municipal de Primavera do Leste-MT, de acordo com as quantidades, exigências e especificações constantes neste Termo de Referência.</w:t>
      </w:r>
    </w:p>
    <w:p>
      <w:pPr>
        <w:pStyle w:val="215"/>
        <w:spacing w:line="276" w:lineRule="auto"/>
        <w:jc w:val="both"/>
        <w:rPr>
          <w:sz w:val="23"/>
          <w:szCs w:val="23"/>
        </w:rPr>
      </w:pPr>
    </w:p>
    <w:p>
      <w:pPr>
        <w:numPr>
          <w:ilvl w:val="1"/>
          <w:numId w:val="12"/>
        </w:numPr>
        <w:rPr>
          <w:sz w:val="23"/>
          <w:szCs w:val="23"/>
        </w:rPr>
      </w:pPr>
      <w:r>
        <w:rPr>
          <w:sz w:val="23"/>
          <w:szCs w:val="23"/>
        </w:rPr>
        <w:t>Do item da Categoria:</w:t>
      </w:r>
    </w:p>
    <w:tbl>
      <w:tblPr>
        <w:tblStyle w:val="14"/>
        <w:tblW w:w="0" w:type="auto"/>
        <w:tblInd w:w="42" w:type="dxa"/>
        <w:tblLayout w:type="fixed"/>
        <w:tblCellMar>
          <w:top w:w="55" w:type="dxa"/>
          <w:left w:w="55" w:type="dxa"/>
          <w:bottom w:w="55" w:type="dxa"/>
          <w:right w:w="55" w:type="dxa"/>
        </w:tblCellMar>
      </w:tblPr>
      <w:tblGrid>
        <w:gridCol w:w="915"/>
        <w:gridCol w:w="1084"/>
        <w:gridCol w:w="795"/>
        <w:gridCol w:w="3312"/>
        <w:gridCol w:w="709"/>
        <w:gridCol w:w="1133"/>
        <w:gridCol w:w="1134"/>
      </w:tblGrid>
      <w:tr>
        <w:tblPrEx>
          <w:tblCellMar>
            <w:top w:w="55" w:type="dxa"/>
            <w:left w:w="55" w:type="dxa"/>
            <w:bottom w:w="55" w:type="dxa"/>
            <w:right w:w="55" w:type="dxa"/>
          </w:tblCellMar>
        </w:tblPrEx>
        <w:tc>
          <w:tcPr>
            <w:tcW w:w="9082" w:type="dxa"/>
            <w:gridSpan w:val="7"/>
            <w:tcBorders>
              <w:top w:val="single" w:color="000000" w:sz="0" w:space="0"/>
              <w:left w:val="single" w:color="000000" w:sz="0" w:space="0"/>
              <w:bottom w:val="single" w:color="000000" w:sz="0" w:space="0"/>
              <w:right w:val="single" w:color="000000" w:sz="0" w:space="0"/>
            </w:tcBorders>
            <w:shd w:val="clear" w:color="auto" w:fill="auto"/>
            <w:noWrap w:val="0"/>
            <w:vAlign w:val="center"/>
          </w:tcPr>
          <w:p>
            <w:pPr>
              <w:jc w:val="center"/>
              <w:rPr>
                <w:sz w:val="18"/>
                <w:szCs w:val="18"/>
              </w:rPr>
            </w:pPr>
            <w:r>
              <w:rPr>
                <w:rStyle w:val="13"/>
                <w:rFonts w:eastAsia="Liberation Sans" w:cs="Liberation Sans"/>
                <w:b/>
                <w:bCs/>
                <w:sz w:val="18"/>
                <w:szCs w:val="18"/>
                <w:lang w:val="en-US"/>
              </w:rPr>
              <w:t>LOTE I</w:t>
            </w:r>
          </w:p>
        </w:tc>
      </w:tr>
      <w:tr>
        <w:tblPrEx>
          <w:tblCellMar>
            <w:top w:w="0" w:type="dxa"/>
            <w:left w:w="10" w:type="dxa"/>
            <w:bottom w:w="0" w:type="dxa"/>
            <w:right w:w="10" w:type="dxa"/>
          </w:tblCellMar>
        </w:tblPrEx>
        <w:tc>
          <w:tcPr>
            <w:tcW w:w="915" w:type="dxa"/>
            <w:tcBorders>
              <w:top w:val="single" w:color="000000" w:sz="0" w:space="0"/>
              <w:left w:val="single" w:color="000000" w:sz="0" w:space="0"/>
              <w:bottom w:val="single" w:color="000000" w:sz="0" w:space="0"/>
            </w:tcBorders>
            <w:shd w:val="clear" w:color="auto" w:fill="auto"/>
            <w:noWrap w:val="0"/>
            <w:vAlign w:val="center"/>
          </w:tcPr>
          <w:p>
            <w:pPr>
              <w:pStyle w:val="217"/>
              <w:rPr>
                <w:rFonts w:eastAsia="Times New Roman"/>
                <w:b/>
                <w:bCs/>
                <w:sz w:val="18"/>
                <w:szCs w:val="18"/>
                <w:lang w:val="en-US"/>
              </w:rPr>
            </w:pPr>
            <w:r>
              <w:rPr>
                <w:rStyle w:val="13"/>
                <w:rFonts w:eastAsia="Times New Roman"/>
                <w:b/>
                <w:bCs/>
                <w:sz w:val="18"/>
                <w:szCs w:val="18"/>
                <w:lang w:val="en-US"/>
              </w:rPr>
              <w:t>CÓDIGO SISTEMA</w:t>
            </w:r>
          </w:p>
        </w:tc>
        <w:tc>
          <w:tcPr>
            <w:tcW w:w="1084" w:type="dxa"/>
            <w:tcBorders>
              <w:top w:val="single" w:color="000000" w:sz="0" w:space="0"/>
              <w:left w:val="single" w:color="000000" w:sz="0" w:space="0"/>
              <w:bottom w:val="single" w:color="000000" w:sz="0" w:space="0"/>
            </w:tcBorders>
            <w:shd w:val="clear" w:color="auto" w:fill="auto"/>
            <w:noWrap w:val="0"/>
            <w:vAlign w:val="center"/>
          </w:tcPr>
          <w:p>
            <w:pPr>
              <w:jc w:val="center"/>
              <w:rPr>
                <w:rStyle w:val="13"/>
                <w:rFonts w:eastAsia="Times New Roman"/>
                <w:b/>
                <w:bCs/>
                <w:sz w:val="18"/>
                <w:szCs w:val="18"/>
                <w:lang w:val="en-US"/>
              </w:rPr>
            </w:pPr>
            <w:r>
              <w:rPr>
                <w:rFonts w:eastAsia="Times New Roman"/>
                <w:b/>
                <w:bCs/>
                <w:sz w:val="18"/>
                <w:szCs w:val="18"/>
                <w:lang w:val="en-US"/>
              </w:rPr>
              <w:t xml:space="preserve">CÓDIGO </w:t>
            </w:r>
            <w:r>
              <w:rPr>
                <w:rStyle w:val="13"/>
                <w:rFonts w:eastAsia="Times New Roman"/>
                <w:b/>
                <w:bCs/>
                <w:sz w:val="18"/>
                <w:szCs w:val="18"/>
                <w:lang w:val="en-US"/>
              </w:rPr>
              <w:t>TCE</w:t>
            </w:r>
          </w:p>
        </w:tc>
        <w:tc>
          <w:tcPr>
            <w:tcW w:w="795" w:type="dxa"/>
            <w:tcBorders>
              <w:top w:val="single" w:color="000000" w:sz="0" w:space="0"/>
              <w:left w:val="single" w:color="000000" w:sz="0" w:space="0"/>
              <w:bottom w:val="single" w:color="000000" w:sz="0" w:space="0"/>
            </w:tcBorders>
            <w:shd w:val="clear" w:color="auto" w:fill="auto"/>
            <w:noWrap w:val="0"/>
            <w:vAlign w:val="center"/>
          </w:tcPr>
          <w:p>
            <w:pPr>
              <w:pStyle w:val="217"/>
              <w:jc w:val="center"/>
              <w:rPr>
                <w:rStyle w:val="13"/>
                <w:rFonts w:cs="Arial"/>
                <w:b/>
                <w:bCs/>
                <w:color w:val="000000"/>
                <w:sz w:val="18"/>
                <w:szCs w:val="18"/>
              </w:rPr>
            </w:pPr>
            <w:r>
              <w:rPr>
                <w:rStyle w:val="13"/>
                <w:rFonts w:eastAsia="Times New Roman"/>
                <w:b/>
                <w:bCs/>
                <w:sz w:val="18"/>
                <w:szCs w:val="18"/>
                <w:lang w:val="en-US"/>
              </w:rPr>
              <w:t>UNID</w:t>
            </w:r>
          </w:p>
        </w:tc>
        <w:tc>
          <w:tcPr>
            <w:tcW w:w="3312" w:type="dxa"/>
            <w:tcBorders>
              <w:top w:val="single" w:color="000000" w:sz="0" w:space="0"/>
              <w:left w:val="single" w:color="000000" w:sz="0" w:space="0"/>
              <w:bottom w:val="single" w:color="000000" w:sz="4" w:space="0"/>
              <w:right w:val="single" w:color="000000" w:sz="0" w:space="0"/>
            </w:tcBorders>
            <w:shd w:val="clear" w:color="auto" w:fill="auto"/>
            <w:noWrap w:val="0"/>
            <w:vAlign w:val="top"/>
          </w:tcPr>
          <w:p>
            <w:pPr>
              <w:pStyle w:val="217"/>
              <w:jc w:val="center"/>
              <w:rPr>
                <w:rStyle w:val="13"/>
                <w:rFonts w:eastAsia="Arial" w:cs="Arial"/>
                <w:b/>
                <w:bCs/>
                <w:sz w:val="18"/>
                <w:szCs w:val="18"/>
              </w:rPr>
            </w:pPr>
            <w:r>
              <w:rPr>
                <w:rStyle w:val="13"/>
                <w:rFonts w:cs="Arial"/>
                <w:b/>
                <w:bCs/>
                <w:color w:val="000000"/>
                <w:sz w:val="18"/>
                <w:szCs w:val="18"/>
              </w:rPr>
              <w:t>DESCRIÇÃO</w:t>
            </w:r>
          </w:p>
        </w:tc>
        <w:tc>
          <w:tcPr>
            <w:tcW w:w="709" w:type="dxa"/>
            <w:tcBorders>
              <w:top w:val="single" w:color="000000" w:sz="0" w:space="0"/>
              <w:left w:val="single" w:color="000000" w:sz="0" w:space="0"/>
              <w:bottom w:val="single" w:color="000000" w:sz="4" w:space="0"/>
              <w:right w:val="single" w:color="000000" w:sz="0" w:space="0"/>
            </w:tcBorders>
            <w:shd w:val="clear" w:color="auto" w:fill="auto"/>
            <w:noWrap w:val="0"/>
            <w:vAlign w:val="center"/>
          </w:tcPr>
          <w:p>
            <w:pPr>
              <w:pStyle w:val="217"/>
              <w:jc w:val="center"/>
              <w:rPr>
                <w:rStyle w:val="13"/>
                <w:rFonts w:eastAsia="Liberation Sans" w:cs="Liberation Sans"/>
                <w:b/>
                <w:bCs/>
                <w:sz w:val="18"/>
                <w:szCs w:val="18"/>
                <w:lang w:val="en-US"/>
              </w:rPr>
            </w:pPr>
            <w:r>
              <w:rPr>
                <w:rStyle w:val="13"/>
                <w:rFonts w:eastAsia="Arial" w:cs="Arial"/>
                <w:b/>
                <w:bCs/>
                <w:sz w:val="18"/>
                <w:szCs w:val="18"/>
              </w:rPr>
              <w:t>QTD</w:t>
            </w:r>
          </w:p>
        </w:tc>
        <w:tc>
          <w:tcPr>
            <w:tcW w:w="1133" w:type="dxa"/>
            <w:tcBorders>
              <w:top w:val="single" w:color="000000" w:sz="0" w:space="0"/>
              <w:left w:val="single" w:color="000000" w:sz="0" w:space="0"/>
              <w:bottom w:val="single" w:color="000000" w:sz="4" w:space="0"/>
              <w:right w:val="single" w:color="000000" w:sz="0" w:space="0"/>
            </w:tcBorders>
            <w:shd w:val="clear" w:color="auto" w:fill="auto"/>
            <w:noWrap w:val="0"/>
            <w:vAlign w:val="center"/>
          </w:tcPr>
          <w:p>
            <w:pPr>
              <w:pStyle w:val="217"/>
              <w:jc w:val="center"/>
              <w:rPr>
                <w:rFonts w:eastAsia="Liberation Sans" w:cs="Liberation Sans"/>
                <w:b/>
                <w:bCs/>
                <w:sz w:val="18"/>
                <w:szCs w:val="18"/>
                <w:lang w:val="en-US"/>
              </w:rPr>
            </w:pPr>
            <w:r>
              <w:rPr>
                <w:rStyle w:val="13"/>
                <w:rFonts w:eastAsia="Liberation Sans" w:cs="Liberation Sans"/>
                <w:b/>
                <w:bCs/>
                <w:sz w:val="18"/>
                <w:szCs w:val="18"/>
                <w:lang w:val="en-US"/>
              </w:rPr>
              <w:t>VALOR UNITÁRIO</w:t>
            </w:r>
          </w:p>
        </w:tc>
        <w:tc>
          <w:tcPr>
            <w:tcW w:w="1134" w:type="dxa"/>
            <w:tcBorders>
              <w:top w:val="single" w:color="000000" w:sz="0" w:space="0"/>
              <w:left w:val="single" w:color="000000" w:sz="0" w:space="0"/>
              <w:bottom w:val="single" w:color="000000" w:sz="4" w:space="0"/>
              <w:right w:val="single" w:color="000000" w:sz="0" w:space="0"/>
            </w:tcBorders>
            <w:shd w:val="clear" w:color="auto" w:fill="auto"/>
            <w:noWrap w:val="0"/>
            <w:vAlign w:val="center"/>
          </w:tcPr>
          <w:p>
            <w:pPr>
              <w:jc w:val="center"/>
              <w:rPr>
                <w:sz w:val="18"/>
                <w:szCs w:val="18"/>
              </w:rPr>
            </w:pPr>
            <w:r>
              <w:rPr>
                <w:rFonts w:eastAsia="Liberation Sans" w:cs="Liberation Sans"/>
                <w:b/>
                <w:bCs/>
                <w:sz w:val="18"/>
                <w:szCs w:val="18"/>
                <w:lang w:val="en-US"/>
              </w:rPr>
              <w:t xml:space="preserve">VALOR </w:t>
            </w:r>
            <w:r>
              <w:rPr>
                <w:rStyle w:val="13"/>
                <w:rFonts w:eastAsia="Liberation Sans" w:cs="Liberation Sans"/>
                <w:b/>
                <w:bCs/>
                <w:sz w:val="18"/>
                <w:szCs w:val="18"/>
                <w:lang w:val="en-US"/>
              </w:rPr>
              <w:t>TOTAL</w:t>
            </w:r>
          </w:p>
        </w:tc>
      </w:tr>
      <w:tr>
        <w:tblPrEx>
          <w:tblCellMar>
            <w:top w:w="0" w:type="dxa"/>
            <w:left w:w="10" w:type="dxa"/>
            <w:bottom w:w="0" w:type="dxa"/>
            <w:right w:w="10" w:type="dxa"/>
          </w:tblCellMar>
        </w:tblPrEx>
        <w:tc>
          <w:tcPr>
            <w:tcW w:w="915" w:type="dxa"/>
            <w:tcBorders>
              <w:left w:val="single" w:color="000000" w:sz="0" w:space="0"/>
              <w:bottom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1507</w:t>
            </w:r>
          </w:p>
        </w:tc>
        <w:tc>
          <w:tcPr>
            <w:tcW w:w="1084" w:type="dxa"/>
            <w:tcBorders>
              <w:left w:val="single" w:color="000000" w:sz="0" w:space="0"/>
              <w:bottom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b w:val="0"/>
                <w:bCs w:val="0"/>
                <w:sz w:val="18"/>
                <w:szCs w:val="18"/>
              </w:rPr>
              <w:t xml:space="preserve">00081194 </w:t>
            </w:r>
          </w:p>
        </w:tc>
        <w:tc>
          <w:tcPr>
            <w:tcW w:w="795" w:type="dxa"/>
            <w:tcBorders>
              <w:left w:val="single" w:color="000000" w:sz="0"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rStyle w:val="13"/>
                <w:rFonts w:ascii="Times New Roman" w:hAnsi="Times New Roman"/>
                <w:b/>
                <w:bCs/>
                <w:sz w:val="18"/>
                <w:szCs w:val="18"/>
              </w:rPr>
            </w:pPr>
            <w:r>
              <w:rPr>
                <w:rStyle w:val="13"/>
                <w:b/>
                <w:bCs/>
                <w:sz w:val="18"/>
                <w:szCs w:val="18"/>
              </w:rPr>
              <w:t xml:space="preserve">PAINEL DE LED INDOOR COM A SEGUINTE DESCRIÇÃO: </w:t>
            </w:r>
            <w:r>
              <w:rPr>
                <w:sz w:val="18"/>
                <w:szCs w:val="18"/>
              </w:rPr>
              <w:t xml:space="preserve">TAMANHO MÍNIMO DO PAINEL DE LED DE 3,00 (COMPRIMENTO) X 2,00 (ALTURA) E MÁXIMO DE 3,30 X 2,20 METROS, COM RESOLUÇÃO MÍNIMA DE 2560X 1152 PIXELS; GABINETES COM PIXEL PITCH DE, NO MÁXIMO, 2.5MM CADA, COM TOLERÂNCIA ADMITIDA DE + OU - 0,5%, SEM BORDAS OU MOLDURAS; BRILHO DE, NO MÍNIMO, 600 NITS CADA; ENTRADA DE SINAL DE VÍDEO COM REDUNDÂNCIA; ÂNGULO DE VISÃO DE, NO MÍNIMO, 160° NA HORIZONTAL E 140º NA VERTICAL; NTSC 97%; UNIFORMIDADE DE BRILHO 97%; UNIFORMIDADE DE COR ±0.003 CX, CY; TEMPERATURA DE COR (K) 3000-15000; CONTRASTE 5.000:1; PLANICIDADE DA SUPERFÍCIE (MM) ≤0.3; AJUSTES EM Z NOS 4 CANTOS DO MÓDULO COM POSSIBILIDADE DE ALÍVIO OU AJUSTE ATÉ 0,5MM (2%); TAXA DE ATUALIZAÇÃO DE: 3840HZ; OPERAÇÃO EM TENSÃO DE ALIMENTAÇÃO AUTOMÁTICA ENTRE 200 À 240VAC, 50HZ/60HZ; GABINETES DEVEM PERMITIR INSTALAÇÃO FRONTAL OU TRASEIRA, BEM COMO PERMITIR SERVIÇO DE MANUTENÇÃO 100% FRONTAL; CERTIFICAÇÕES REGULATÓRIAS: CCC, CNAS, SELO AMBIENTAL; FUNCIONAMENTO SILENCIOSO, SEM VENTILADORES; PAINEL DE BAIXA REFLETÂNCIA, PARA USO EM AMBIENTES BEM ILUMINADOS; ATENDER O PADRÃO DE PROTEÇÃO IP30; FORNECIMENTO DE TODO CABEAMENTO, ACESSÓRIOS E INSUMOS PARA INSTALAÇÃO E PERFEITO FUNCIONAMENTO DO SISTEMA, TAIS COMO GABINETES; SUPORTES DE FIXAÇÃO; MÓDULOS DE LED (GABINETES P2.5MM); FONTES DE ALIMENTAÇÃO ELÉTRICA; UNIDADES DE CONTROLE E ENVIO DE VÍDEO, UNIDADES DE COMUNICAÇÃO, MÁSCARAS; DISTRIBUIDORES; RACK DE EQUIPAMENTOS; QUADRO DE DISTRIBUIÇÃO DE FORÇA; CABOS E CONEXÕES; ACABAMENTOS; SOFTWARES E LICENÇAS; ETC; </w:t>
            </w:r>
            <w:r>
              <w:rPr>
                <w:rStyle w:val="13"/>
                <w:b/>
                <w:bCs/>
                <w:sz w:val="18"/>
                <w:szCs w:val="18"/>
              </w:rPr>
              <w:t>FORNECIMENTO DE SUPORTE</w:t>
            </w:r>
            <w:r>
              <w:rPr>
                <w:sz w:val="18"/>
                <w:szCs w:val="18"/>
              </w:rPr>
              <w:t xml:space="preserve"> DE FIXAÇÃO ESPECIAL AUTOPORTANTE, DOTADO DE RODÍZIOS COM TRAVAS, CONFECCIONADO EM AÇO OU ALUMÍNIO COM PINTURA ELETROESTÁTICA NA COR PRETA; COM TODOS OS ACESSÓRIOS E ACABAMENTOS, QUE SUPORTE O PESO DO PAINEL DE LED, EQUIPAMENTOS E DEMAIS ACESSÓRIOS; </w:t>
            </w:r>
            <w:r>
              <w:rPr>
                <w:rStyle w:val="13"/>
                <w:b/>
                <w:bCs/>
                <w:sz w:val="18"/>
                <w:szCs w:val="18"/>
              </w:rPr>
              <w:t>FORNECIMENTO DA MÃO DE OBRA PARA TOTAL INSTALAÇÃO DO SUPORTE DE FIXAÇÃO DOS PAINEIS</w:t>
            </w:r>
            <w:r>
              <w:rPr>
                <w:sz w:val="18"/>
                <w:szCs w:val="18"/>
              </w:rPr>
              <w:t xml:space="preserve">, </w:t>
            </w:r>
            <w:r>
              <w:rPr>
                <w:rStyle w:val="13"/>
                <w:b/>
                <w:bCs/>
                <w:sz w:val="18"/>
                <w:szCs w:val="18"/>
              </w:rPr>
              <w:t>DOS PAINEIS DE LED, DO CONVERSOR DE VIDEO E PASSAGEM DE TODOS OS CABOS NECESSÁRIOS</w:t>
            </w:r>
            <w:r>
              <w:rPr>
                <w:sz w:val="18"/>
                <w:szCs w:val="18"/>
              </w:rPr>
              <w:t>.</w:t>
            </w:r>
          </w:p>
          <w:p>
            <w:pPr>
              <w:jc w:val="both"/>
              <w:rPr>
                <w:b/>
                <w:bCs/>
                <w:sz w:val="18"/>
                <w:szCs w:val="18"/>
              </w:rPr>
            </w:pPr>
            <w:r>
              <w:rPr>
                <w:rStyle w:val="13"/>
                <w:rFonts w:ascii="Times New Roman" w:hAnsi="Times New Roman"/>
                <w:b/>
                <w:bCs/>
                <w:sz w:val="18"/>
                <w:szCs w:val="18"/>
              </w:rPr>
              <w:t>GARANTIA MÍNIMA DE 12 MESES A CONTAR DA INSTALAÇÃO.</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ind w:left="-8" w:right="0" w:firstLine="0"/>
              <w:jc w:val="center"/>
              <w:rPr>
                <w:rStyle w:val="13"/>
                <w:b/>
                <w:bCs/>
                <w:color w:val="000000"/>
                <w:sz w:val="18"/>
                <w:szCs w:val="18"/>
              </w:rPr>
            </w:pPr>
            <w:r>
              <w:rPr>
                <w:b/>
                <w:bCs/>
                <w:sz w:val="18"/>
                <w:szCs w:val="18"/>
              </w:rPr>
              <w:t>02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R$ 102.487,99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R$ 204.975,98</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1509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 xml:space="preserve">433057-9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sz w:val="18"/>
                <w:szCs w:val="18"/>
              </w:rPr>
            </w:pPr>
            <w:r>
              <w:rPr>
                <w:rStyle w:val="13"/>
                <w:b/>
                <w:bCs/>
                <w:sz w:val="18"/>
                <w:szCs w:val="18"/>
              </w:rPr>
              <w:t>CONTROLADOR DE VÍDEO COM DISPLAY EM LED PARA PAINÉIS DE LED</w:t>
            </w:r>
            <w:r>
              <w:rPr>
                <w:sz w:val="18"/>
                <w:szCs w:val="18"/>
              </w:rPr>
              <w:t>, CONTENDO AS SEGUINTES CARACTERÍSTICAS: ENTRADA DE VÍDEO, INCLUINDO 2 × CVBS, 2 × VGA, 1 × SDI, 1 × DVI, 1 × HDMI E 1 × YPBPR. AS RESOLUÇÕES DE ENTRADA DE ALGUNS CONECTORES PODEM SER DE ATÉ 1080P@60HZ. SUPORTA ENTRADA DE VÍDEO HDMI / DVI E ENTRADA DE ÁUDIO HDMI. SUPORTA ENTRADA DE VÍDEO DE ALTA PROFUNDIDADE DE BITS: 10BIT / 8BIT. A CAPACIDADE DE CARREGAMENTO DA SAÍDA DE VÍDEO DEVE SER DE NO MÍNIMO 2.3 MILHÕES DE PIXELS E FORMATOS DE VÍDEO SUPORTADOS SÃO RGB, YCBCR4:2:2 E YCBCR4:4:4. NAS CONEXÕES DE SAÍDA DEVE CONTER 4 PORTAS DE REDE GIGABIT, 2 PORTAS DE CONEXÃO E FIBRA ÓTICA, 1 PORTA HDMI NO MÍNIMO, MODELO 1.3. INTERFACE DE MONITORAMENTO. CONECTOR DE FORÇA AC 100-240V – 50 / 60HZ, CONSUMO GERAL 35 W, TEMPERATURA DE OPERAÇÃO -20° C-60 ° C, DIMENSÕES 482.5 MM × 273,8 MM × 44,7 MM, SENDO ESSAS NECESSÁRIAS PARA ALOCAR DENTRO DE UM HACK DE PAREDE OU PISO. PESO NÃO SUPERIOR A 3KG.</w:t>
            </w:r>
          </w:p>
          <w:p>
            <w:pPr>
              <w:pStyle w:val="217"/>
              <w:jc w:val="both"/>
              <w:rPr>
                <w:b/>
                <w:bCs/>
                <w:sz w:val="18"/>
                <w:szCs w:val="18"/>
              </w:rPr>
            </w:pPr>
            <w:r>
              <w:rPr>
                <w:sz w:val="18"/>
                <w:szCs w:val="18"/>
              </w:rPr>
              <w:t>GARANTIA MÍNIMA DE 12 MESES.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R$ 8.946,67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R$ 17.893,34</w:t>
            </w:r>
          </w:p>
        </w:tc>
      </w:tr>
    </w:tbl>
    <w:p/>
    <w:tbl>
      <w:tblPr>
        <w:tblStyle w:val="14"/>
        <w:tblW w:w="0" w:type="auto"/>
        <w:tblInd w:w="40" w:type="dxa"/>
        <w:tblLayout w:type="fixed"/>
        <w:tblCellMar>
          <w:top w:w="55" w:type="dxa"/>
          <w:left w:w="55" w:type="dxa"/>
          <w:bottom w:w="55" w:type="dxa"/>
          <w:right w:w="55" w:type="dxa"/>
        </w:tblCellMar>
      </w:tblPr>
      <w:tblGrid>
        <w:gridCol w:w="915"/>
        <w:gridCol w:w="1084"/>
        <w:gridCol w:w="795"/>
        <w:gridCol w:w="3312"/>
        <w:gridCol w:w="709"/>
        <w:gridCol w:w="1133"/>
        <w:gridCol w:w="1134"/>
      </w:tblGrid>
      <w:tr>
        <w:tblPrEx>
          <w:tblCellMar>
            <w:top w:w="55" w:type="dxa"/>
            <w:left w:w="55" w:type="dxa"/>
            <w:bottom w:w="55" w:type="dxa"/>
            <w:right w:w="55" w:type="dxa"/>
          </w:tblCellMar>
        </w:tblPrEx>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b/>
                <w:bCs/>
                <w:color w:val="000000"/>
                <w:sz w:val="18"/>
                <w:szCs w:val="18"/>
              </w:rPr>
              <w:t>LOTE II</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Fonts w:eastAsia="Times New Roman"/>
                <w:b/>
                <w:bCs/>
                <w:sz w:val="18"/>
                <w:szCs w:val="18"/>
                <w:lang w:val="en-US"/>
              </w:rPr>
            </w:pPr>
            <w:r>
              <w:rPr>
                <w:rStyle w:val="13"/>
                <w:rFonts w:eastAsia="Times New Roman"/>
                <w:b/>
                <w:bCs/>
                <w:sz w:val="18"/>
                <w:szCs w:val="18"/>
                <w:lang w:val="en-US"/>
              </w:rPr>
              <w:t>CÓDIGO SISTEMA</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Style w:val="13"/>
                <w:rFonts w:eastAsia="Times New Roman"/>
                <w:b/>
                <w:bCs/>
                <w:sz w:val="18"/>
                <w:szCs w:val="18"/>
                <w:lang w:val="en-US"/>
              </w:rPr>
            </w:pPr>
            <w:r>
              <w:rPr>
                <w:rFonts w:eastAsia="Times New Roman"/>
                <w:b/>
                <w:bCs/>
                <w:sz w:val="18"/>
                <w:szCs w:val="18"/>
                <w:lang w:val="en-US"/>
              </w:rPr>
              <w:t>CÓDIGO</w:t>
            </w:r>
          </w:p>
          <w:p>
            <w:pPr>
              <w:pStyle w:val="217"/>
              <w:jc w:val="center"/>
              <w:rPr>
                <w:rStyle w:val="13"/>
                <w:rFonts w:eastAsia="Times New Roman"/>
                <w:b/>
                <w:bCs/>
                <w:sz w:val="18"/>
                <w:szCs w:val="18"/>
                <w:lang w:val="en-US"/>
              </w:rPr>
            </w:pPr>
            <w:r>
              <w:rPr>
                <w:rStyle w:val="13"/>
                <w:rFonts w:eastAsia="Times New Roman"/>
                <w:b/>
                <w:bCs/>
                <w:sz w:val="18"/>
                <w:szCs w:val="18"/>
                <w:lang w:val="en-US"/>
              </w:rPr>
              <w:t>TCE</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rFonts w:cs="Arial"/>
                <w:b/>
                <w:bCs/>
                <w:color w:val="000000"/>
                <w:sz w:val="18"/>
                <w:szCs w:val="18"/>
              </w:rPr>
            </w:pPr>
            <w:r>
              <w:rPr>
                <w:rStyle w:val="13"/>
                <w:rFonts w:eastAsia="Times New Roman"/>
                <w:b/>
                <w:bCs/>
                <w:sz w:val="18"/>
                <w:szCs w:val="18"/>
                <w:lang w:val="en-US"/>
              </w:rPr>
              <w:t>UNID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rStyle w:val="13"/>
                <w:rFonts w:eastAsia="Arial" w:cs="Arial"/>
                <w:b/>
                <w:bCs/>
                <w:sz w:val="18"/>
                <w:szCs w:val="18"/>
              </w:rPr>
            </w:pPr>
            <w:r>
              <w:rPr>
                <w:rStyle w:val="13"/>
                <w:rFonts w:cs="Arial"/>
                <w:b/>
                <w:bCs/>
                <w:color w:val="000000"/>
                <w:sz w:val="18"/>
                <w:szCs w:val="18"/>
              </w:rPr>
              <w:t>DESCRIÇÃO</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rFonts w:eastAsia="Liberation Sans" w:cs="Liberation Sans"/>
                <w:b/>
                <w:bCs/>
                <w:sz w:val="18"/>
                <w:szCs w:val="18"/>
                <w:lang w:val="en-US"/>
              </w:rPr>
            </w:pPr>
            <w:r>
              <w:rPr>
                <w:rStyle w:val="13"/>
                <w:rFonts w:eastAsia="Arial" w:cs="Arial"/>
                <w:b/>
                <w:bCs/>
                <w:sz w:val="18"/>
                <w:szCs w:val="18"/>
              </w:rPr>
              <w:t>QTD</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Fonts w:eastAsia="Liberation Sans" w:cs="Liberation Sans"/>
                <w:b/>
                <w:bCs/>
                <w:sz w:val="18"/>
                <w:szCs w:val="18"/>
                <w:lang w:val="en-US"/>
              </w:rPr>
            </w:pPr>
            <w:r>
              <w:rPr>
                <w:rStyle w:val="13"/>
                <w:rFonts w:eastAsia="Liberation Sans" w:cs="Liberation Sans"/>
                <w:b/>
                <w:bCs/>
                <w:sz w:val="18"/>
                <w:szCs w:val="18"/>
                <w:lang w:val="en-US"/>
              </w:rPr>
              <w:t>VALOR UNITÁRIO</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Style w:val="13"/>
                <w:rFonts w:eastAsia="Liberation Sans" w:cs="Liberation Sans"/>
                <w:b/>
                <w:bCs/>
                <w:sz w:val="18"/>
                <w:szCs w:val="18"/>
                <w:lang w:val="en-US"/>
              </w:rPr>
            </w:pPr>
            <w:r>
              <w:rPr>
                <w:rFonts w:eastAsia="Liberation Sans" w:cs="Liberation Sans"/>
                <w:b/>
                <w:bCs/>
                <w:sz w:val="18"/>
                <w:szCs w:val="18"/>
                <w:lang w:val="en-US"/>
              </w:rPr>
              <w:t>VALOR</w:t>
            </w:r>
          </w:p>
          <w:p>
            <w:pPr>
              <w:pStyle w:val="217"/>
              <w:jc w:val="both"/>
              <w:rPr>
                <w:sz w:val="18"/>
                <w:szCs w:val="18"/>
              </w:rPr>
            </w:pPr>
            <w:r>
              <w:rPr>
                <w:rStyle w:val="13"/>
                <w:rFonts w:eastAsia="Liberation Sans" w:cs="Liberation Sans"/>
                <w:b/>
                <w:bCs/>
                <w:sz w:val="18"/>
                <w:szCs w:val="18"/>
                <w:lang w:val="en-US"/>
              </w:rPr>
              <w:t>TOTAL</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1406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00036486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sz w:val="18"/>
                <w:szCs w:val="18"/>
              </w:rPr>
            </w:pPr>
            <w:r>
              <w:rPr>
                <w:rStyle w:val="13"/>
                <w:b/>
                <w:bCs/>
                <w:sz w:val="18"/>
                <w:szCs w:val="18"/>
              </w:rPr>
              <w:t>CÂMERA IP SPEED DOME COM 40X DE ZOOM</w:t>
            </w:r>
            <w:r>
              <w:rPr>
                <w:sz w:val="18"/>
                <w:szCs w:val="18"/>
              </w:rPr>
              <w:t xml:space="preserve"> COM AS SEGUINTES CARACTERÍSTICAS: RESOLUÇÃO 4K (8 MEGAPIXELS); INTELIGÊNCIA ARTIFICIAL EMBARCADA; ENTRADA E SAÍDA DE ALARME;SUPORTE A CARTÃO MICRO-SD; ENTRADA E SAÍDA DE ÁUDIO; PIXELS EFETIVOS (H X V) 3840 X 2160; SENSOR DE IMAGEM 1/1.8” 8 MEGAPIXELS STARVIS CMOS; SISTEMA DE VARREDURA PROGRESSIVO; OBTURADOR ELETRÔNICO AUTOMÁTICO / MANUAL; VELOCIDADE DO OBTURADOR 1/1~1/30000S; SENSIBILIDADE 0,002 LUX/F1.4 (COLORIDO) 0,0002 LUX/F1.4 (PRETO E BRANCO) 0 LUX/F1.4 (IR LIGADO); DISTÂNCIA DO INFRAVERMELHO 500 M; QUANTIDADE DE LEDS 10; LIMPADOR AUTOMÁTICO (SMART WIPER) SIM;</w:t>
            </w:r>
          </w:p>
          <w:p>
            <w:pPr>
              <w:pStyle w:val="217"/>
              <w:jc w:val="both"/>
              <w:rPr>
                <w:sz w:val="18"/>
                <w:szCs w:val="18"/>
              </w:rPr>
            </w:pPr>
            <w:r>
              <w:rPr>
                <w:sz w:val="18"/>
                <w:szCs w:val="18"/>
              </w:rPr>
              <w:t>CARACTERÍSTICAS DO PTZ; QUANTIDADE DE PRESETS 300; FUNÇÕES PTZ 5 PATRULHAS, 8 TOUR COM 32 PRESETS CADA, AUTOPAN, AUTOSCAN AÇÃO AO LIGAR RESTAURAR O STATUS DE PTZ E DE LENTES ANTERIORES A FALHA DE ENERGIA INATIVIDADE ATIVAR PRESET / SCAN / TOUR / PATRULHA SE CONFIGURADO PARA O PERÍODO; COMPRESSÃO DE VÍDEO H.265+/H.265/H.264+/ H.264/MJPEG QUANTIDADE DE STREAMS 3 STREAMS RESOLUÇÕES   4K(3840X2160) / 1080P (1920×1080) / 1.3M (1280X960) / 720P (1280×720) /  D1 (704×576/704×480) / CIF (352×288/352×240); TAXA DE FRAMES STREAM PRINCIPAL: 4K(1 ~25/30 FPS), 1080P/1.3M/720P (1 ~ 25/30 FPS) STREAM EXTRA: D1/CIF (1 ~ 25/30 FPS) STREAM EXTRA 2: 1080P/1.3M/720P (1 ~ 25/30 FPS) CONTROLE DE TAXA DE BITS CBR / VBR TAXA DE BITS 512K ~ 8192 KBPS MODO DIA/NOITE AUTOMÁTICO / COLORIDO / PRETO E BRANCO; INTERFACE 1 RJ-45 (10/100/1000) PROTOCOLOS IPV4/IPV6, HTTP, HTTPS, SSL, TCP/IP, UDP, UPNP, ICMP, IGMP, SNMPV1/V2C/V3(MIB-2), ARP, RTCP, RTSP, RTP, SMTP, NTP, DHCP, DNS, PPPOE, DDNS, FTP, IP FILTER, QOS, BONJOUR, 802.1X; MARCA DE REFERÊNCIA: INTELBRAS, HIKVISION;</w:t>
            </w:r>
          </w:p>
          <w:p>
            <w:pPr>
              <w:pStyle w:val="217"/>
              <w:jc w:val="both"/>
              <w:rPr>
                <w:b/>
                <w:bCs/>
                <w:sz w:val="18"/>
                <w:szCs w:val="18"/>
              </w:rPr>
            </w:pPr>
            <w:r>
              <w:rPr>
                <w:sz w:val="18"/>
                <w:szCs w:val="18"/>
              </w:rPr>
              <w:t>GARANTIA MÍNIMA DE 12 MESES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R$ 24.361,62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R$ 73.084,86</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1518</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 xml:space="preserve">00033545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b/>
                <w:bCs/>
                <w:sz w:val="18"/>
                <w:szCs w:val="18"/>
              </w:rPr>
            </w:pPr>
            <w:r>
              <w:rPr>
                <w:rStyle w:val="13"/>
                <w:b/>
                <w:bCs/>
                <w:sz w:val="18"/>
                <w:szCs w:val="18"/>
              </w:rPr>
              <w:t>ASTE DE FIXAÇÃO DO TETO PARA SPEED DOME</w:t>
            </w:r>
            <w:r>
              <w:rPr>
                <w:sz w:val="18"/>
                <w:szCs w:val="18"/>
              </w:rPr>
              <w:t>. 2 ASTES DEVEM TER O COMPRIMENTO APROXIMADO DE 4 METROS, DESCENDO CA CUPULA ATÉ A ALTURA DESEJADA. A TERCEIRA ASTE DEVE CONTER APROXIMADAMENTE 30CM NO MAXIMO. AS ASTES DEVEM VIR PRONTA PARA FIXAXÃO NO TETO E NA SPEED DOME, TENDO TODAS OPÇÃO DE REGULAGEM DE ALTURA.</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03</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R$ 1.133,40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R$ 3.400,20</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sz w:val="18"/>
                <w:szCs w:val="18"/>
              </w:rPr>
              <w:t>1512</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sz w:val="18"/>
                <w:szCs w:val="18"/>
              </w:rPr>
              <w:t>359094-1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sz w:val="18"/>
                <w:szCs w:val="18"/>
              </w:rPr>
            </w:pPr>
            <w:r>
              <w:rPr>
                <w:rStyle w:val="13"/>
                <w:b/>
                <w:bCs/>
                <w:sz w:val="18"/>
                <w:szCs w:val="18"/>
              </w:rPr>
              <w:t>MESA CONTROLADORA P/ SPEED DOME IP E ANALÓGICA</w:t>
            </w:r>
            <w:r>
              <w:rPr>
                <w:sz w:val="18"/>
                <w:szCs w:val="18"/>
              </w:rPr>
              <w:t xml:space="preserve"> OPERAÇÃO FÁCIL E RÁPIDA DO SISTEMA DE SEGURANÇA; PERMITIR CONFIGURAÇÃO DE ACESSO POR PERFIL DE USUÁRIO; CONEXÃO IP VIA RJ45; COMUNICAÇÃO VIA RS485 E RS232; COMUNICAÇÃO VIA PORTA USB; ESPECIFICAÇÕES TÉCNICAS: JOYSTICK: 3 EIXOS, VELOCIDADE VARIÁVEL COM ZOOM; PORTAS: RJ45, RS232, RS485, RS4221; USB; DISPLAY: CONSUMO MÁXIMO DE ENERGIA: 5 W</w:t>
            </w:r>
          </w:p>
          <w:p>
            <w:pPr>
              <w:pStyle w:val="217"/>
              <w:jc w:val="both"/>
              <w:rPr>
                <w:sz w:val="18"/>
                <w:szCs w:val="18"/>
              </w:rPr>
            </w:pPr>
            <w:r>
              <w:rPr>
                <w:sz w:val="18"/>
                <w:szCs w:val="18"/>
              </w:rPr>
              <w:t>A MESA DEVE SER COMPATÍVEL COM O MODELO EM AQUISIÇÃO DESTE PROCESSO DA CAMERA SPEED DOME.</w:t>
            </w:r>
          </w:p>
          <w:p>
            <w:pPr>
              <w:pStyle w:val="217"/>
              <w:jc w:val="both"/>
              <w:rPr>
                <w:b/>
                <w:bCs/>
                <w:sz w:val="18"/>
                <w:szCs w:val="18"/>
              </w:rPr>
            </w:pPr>
            <w:r>
              <w:rPr>
                <w:sz w:val="18"/>
                <w:szCs w:val="18"/>
              </w:rPr>
              <w:t>GARANTIA MÍNIMA DE 12 MESES;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R$ 4.389,73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R$ 4.389,73</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1513</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sz w:val="18"/>
                <w:szCs w:val="18"/>
              </w:rPr>
              <w:t xml:space="preserve">00085224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b/>
                <w:bCs/>
                <w:sz w:val="18"/>
                <w:szCs w:val="18"/>
              </w:rPr>
            </w:pPr>
            <w:r>
              <w:rPr>
                <w:rStyle w:val="13"/>
                <w:b/>
                <w:bCs/>
                <w:sz w:val="18"/>
                <w:szCs w:val="18"/>
              </w:rPr>
              <w:t>NVR IP PoE GRAVADOR DE VÍDEO EM REDE 4K ULTRA 8 CANAIS H.265+ COM INTELIGÊNCIA DE VÍDEO - ATÉ 08 CÂMERAS IP + HD 4TB</w:t>
            </w:r>
            <w:r>
              <w:rPr>
                <w:sz w:val="18"/>
                <w:szCs w:val="18"/>
              </w:rPr>
              <w:t>. ESPECIFICAÇÃO: PROCESSADOR PRINCIPAL INTEGRADO DE ALTA PERFORMANCE; SISTEMA OPERACIONAL LINUX® EMBARCADO; SUPORTE PARA CÂMERAS IP 8; SUPORTE A CÂMERAS IP COM ÁUDIO 8; COMPRESSÃO DE ÁUDIO SUPORTADO</w:t>
            </w:r>
            <w:r>
              <w:rPr>
                <w:sz w:val="18"/>
                <w:szCs w:val="18"/>
              </w:rPr>
              <w:tab/>
            </w:r>
            <w:r>
              <w:rPr>
                <w:sz w:val="18"/>
                <w:szCs w:val="18"/>
              </w:rPr>
              <w:t>G.711, AAC E PCM; SAÍDAS DE VÍDEO 1 HDMI E 1VGA; RESOLUÇÕES SUPORTADAS NO MONITOR HDMI 1; 3840 X 2160, 1920 × 1080, 1280 × 1024, 1280 × 720; RESOLUÇÕES SUPORTADAS NA VISUALIZAÇÃO 8MP(4K), 5MP, 4MP, 3MP, 2MP(FULL HD/1080P), 1MP(HD/720P), D1, CIF¹; CANAIS EM VISUALIZAÇÃO SIMULTÂNEA EM STREAM PRINCIPAL² 8 MP (4K) 1 CANAL | 5 MP 1 CANAL | 4 MP 2 CANAIS | 3 MP 2 CANAIS | 2 MP (FULL HD/1080P) 3 CANAIS | 1,3 MP 6 CANAIS | 720P 8 CANAIS; PTZ CONTROLE PTZ ATRAVÉS DE REDE TCP/IP PARA SPEED DOMES IP QUE UTILIZAM PROTOCOLO INTELBRAS-1; CAPACIDADE DE DECODIFICAÇÃO NA REPRODUÇÃO* 8 MP (4K-15FPS) 2 CANAIS 5 MP (25FPS) 3 CANAIS 4 MP (25FPS) 4 CANAIS 3 MP 5 CANAIS 2 MP (FULL HD/1080P) 8 CANAIS 1,3 MP 8 CANAIS 720P 8 CANAIS; COMPRESSÃO DE VÍDEO/ÁUDIO H.265+/H.265/H.264+/H.264; DISCO RÍGIDO INTERNO 1 PORTA PADRÃO SATA. ESPECIFICAÇÃO TÉCNICA DO HD INTERNO: DISCO RÍGIDO ESPECIAL PARA SEGURANÇA ELETRÔNICA; BAIXO CONSUMO DE ENERGIA E NÍVEL DE RUÍDO; CAPACIDADE MÍNIMA DE 4TB. MARCA DE REFERÊNCIA NVR: INTELBRAS, HIKVISION; MARCA DE REFERÊNCIA HDD: WD, SEAGATE; GARANTIA MÍNIMA DE 12 MESES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R$ 5.004,36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R$ 5.004,36</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sz w:val="18"/>
                <w:szCs w:val="18"/>
              </w:rPr>
              <w:t>1514</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sz w:val="18"/>
                <w:szCs w:val="18"/>
              </w:rPr>
              <w:t>00085225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UND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b/>
                <w:bCs/>
                <w:sz w:val="18"/>
                <w:szCs w:val="18"/>
              </w:rPr>
            </w:pPr>
            <w:r>
              <w:rPr>
                <w:rStyle w:val="13"/>
                <w:b/>
                <w:bCs/>
                <w:sz w:val="18"/>
                <w:szCs w:val="18"/>
              </w:rPr>
              <w:t>PLACA DE CAPTURA DE VIDEO 4K HDMI 1080P 60FPS USB 3.0</w:t>
            </w:r>
            <w:r>
              <w:rPr>
                <w:sz w:val="18"/>
                <w:szCs w:val="18"/>
              </w:rPr>
              <w:t>. ESPECIFICAÇÃO: SUPORTE A RESOLUÇÃO MÁXIMA DE ENTRADA 4K; SUPORTE A RESOLUÇÃO MÁXIMA DE SAÍDA 1080P / 60 FPS; SUPORTE AO CABO PADRÃO AWG26 HDMI: ENTRADA DE ATÉ 15 METROS (1080P E ABAIXO DA RESOLUÇÃO).; SUPORTE A MAIORIA DOS PROGRAMAS DE TRANSMISSÃO COMO OBS, VMIX, VLC ETC.</w:t>
            </w:r>
            <w:r>
              <w:rPr>
                <w:sz w:val="18"/>
                <w:szCs w:val="18"/>
              </w:rPr>
              <w:br w:type="textWrapping"/>
            </w:r>
            <w:r>
              <w:rPr>
                <w:sz w:val="18"/>
                <w:szCs w:val="18"/>
              </w:rPr>
              <w:t>COMPATÍVEL COM WINDOWS, ANDROID E MACOS.; ESTAR EM CONFORMIDADE COM OS PADRÕES USB VIDEO E UVC; ESTEJA EM CONFORMIDADE COM O PADRÃO UAC USB AUDIO.</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02</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R$ 611,15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R$ 1.222,30</w:t>
            </w:r>
          </w:p>
        </w:tc>
      </w:tr>
    </w:tbl>
    <w:p/>
    <w:tbl>
      <w:tblPr>
        <w:tblStyle w:val="14"/>
        <w:tblW w:w="0" w:type="auto"/>
        <w:tblInd w:w="40" w:type="dxa"/>
        <w:tblLayout w:type="fixed"/>
        <w:tblCellMar>
          <w:top w:w="55" w:type="dxa"/>
          <w:left w:w="55" w:type="dxa"/>
          <w:bottom w:w="55" w:type="dxa"/>
          <w:right w:w="55" w:type="dxa"/>
        </w:tblCellMar>
      </w:tblPr>
      <w:tblGrid>
        <w:gridCol w:w="915"/>
        <w:gridCol w:w="1084"/>
        <w:gridCol w:w="795"/>
        <w:gridCol w:w="3312"/>
        <w:gridCol w:w="709"/>
        <w:gridCol w:w="1133"/>
        <w:gridCol w:w="1134"/>
      </w:tblGrid>
      <w:tr>
        <w:tblPrEx>
          <w:tblCellMar>
            <w:top w:w="55" w:type="dxa"/>
            <w:left w:w="55" w:type="dxa"/>
            <w:bottom w:w="55" w:type="dxa"/>
            <w:right w:w="55" w:type="dxa"/>
          </w:tblCellMar>
        </w:tblPrEx>
        <w:tc>
          <w:tcPr>
            <w:tcW w:w="908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r>
              <w:rPr>
                <w:b/>
                <w:bCs/>
                <w:color w:val="000000"/>
                <w:sz w:val="18"/>
                <w:szCs w:val="18"/>
              </w:rPr>
              <w:t>LOTE III</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Fonts w:eastAsia="Times New Roman"/>
                <w:b/>
                <w:bCs/>
                <w:sz w:val="18"/>
                <w:szCs w:val="18"/>
                <w:lang w:val="en-US"/>
              </w:rPr>
            </w:pPr>
            <w:r>
              <w:rPr>
                <w:rStyle w:val="13"/>
                <w:rFonts w:eastAsia="Times New Roman"/>
                <w:b/>
                <w:bCs/>
                <w:sz w:val="18"/>
                <w:szCs w:val="18"/>
                <w:lang w:val="en-US"/>
              </w:rPr>
              <w:t>CÓDIGO SISTEMA</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Style w:val="13"/>
                <w:rFonts w:eastAsia="Times New Roman"/>
                <w:b/>
                <w:bCs/>
                <w:sz w:val="18"/>
                <w:szCs w:val="18"/>
                <w:lang w:val="en-US"/>
              </w:rPr>
            </w:pPr>
            <w:r>
              <w:rPr>
                <w:rFonts w:eastAsia="Times New Roman"/>
                <w:b/>
                <w:bCs/>
                <w:sz w:val="18"/>
                <w:szCs w:val="18"/>
                <w:lang w:val="en-US"/>
              </w:rPr>
              <w:t>CÓDIGO</w:t>
            </w:r>
          </w:p>
          <w:p>
            <w:pPr>
              <w:pStyle w:val="217"/>
              <w:jc w:val="center"/>
              <w:rPr>
                <w:rStyle w:val="13"/>
                <w:rFonts w:eastAsia="Times New Roman"/>
                <w:b/>
                <w:bCs/>
                <w:sz w:val="18"/>
                <w:szCs w:val="18"/>
                <w:lang w:val="en-US"/>
              </w:rPr>
            </w:pPr>
            <w:r>
              <w:rPr>
                <w:rStyle w:val="13"/>
                <w:rFonts w:eastAsia="Times New Roman"/>
                <w:b/>
                <w:bCs/>
                <w:sz w:val="18"/>
                <w:szCs w:val="18"/>
                <w:lang w:val="en-US"/>
              </w:rPr>
              <w:t>TCE</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rFonts w:cs="Arial"/>
                <w:b/>
                <w:bCs/>
                <w:color w:val="000000"/>
                <w:sz w:val="18"/>
                <w:szCs w:val="18"/>
              </w:rPr>
            </w:pPr>
            <w:r>
              <w:rPr>
                <w:rStyle w:val="13"/>
                <w:rFonts w:eastAsia="Times New Roman"/>
                <w:b/>
                <w:bCs/>
                <w:sz w:val="18"/>
                <w:szCs w:val="18"/>
                <w:lang w:val="en-US"/>
              </w:rPr>
              <w:t>UNID</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rStyle w:val="13"/>
                <w:rFonts w:eastAsia="Arial" w:cs="Arial"/>
                <w:b/>
                <w:bCs/>
                <w:sz w:val="18"/>
                <w:szCs w:val="18"/>
              </w:rPr>
            </w:pPr>
            <w:r>
              <w:rPr>
                <w:rStyle w:val="13"/>
                <w:rFonts w:cs="Arial"/>
                <w:b/>
                <w:bCs/>
                <w:color w:val="000000"/>
                <w:sz w:val="18"/>
                <w:szCs w:val="18"/>
              </w:rPr>
              <w:t>DESCRIÇÃO</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rFonts w:eastAsia="Liberation Sans" w:cs="Liberation Sans"/>
                <w:b/>
                <w:bCs/>
                <w:sz w:val="18"/>
                <w:szCs w:val="18"/>
                <w:lang w:val="en-US"/>
              </w:rPr>
            </w:pPr>
            <w:r>
              <w:rPr>
                <w:rStyle w:val="13"/>
                <w:rFonts w:eastAsia="Arial" w:cs="Arial"/>
                <w:b/>
                <w:bCs/>
                <w:sz w:val="18"/>
                <w:szCs w:val="18"/>
              </w:rPr>
              <w:t>QTD</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Fonts w:eastAsia="Liberation Sans" w:cs="Liberation Sans"/>
                <w:b/>
                <w:bCs/>
                <w:sz w:val="18"/>
                <w:szCs w:val="18"/>
                <w:lang w:val="en-US"/>
              </w:rPr>
            </w:pPr>
            <w:r>
              <w:rPr>
                <w:rStyle w:val="13"/>
                <w:rFonts w:eastAsia="Liberation Sans" w:cs="Liberation Sans"/>
                <w:b/>
                <w:bCs/>
                <w:sz w:val="18"/>
                <w:szCs w:val="18"/>
                <w:lang w:val="en-US"/>
              </w:rPr>
              <w:t>VALOR UNITÁRIO</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Style w:val="13"/>
                <w:rFonts w:eastAsia="Liberation Sans" w:cs="Liberation Sans"/>
                <w:b/>
                <w:bCs/>
                <w:sz w:val="18"/>
                <w:szCs w:val="18"/>
                <w:lang w:val="en-US"/>
              </w:rPr>
            </w:pPr>
            <w:r>
              <w:rPr>
                <w:rFonts w:eastAsia="Liberation Sans" w:cs="Liberation Sans"/>
                <w:b/>
                <w:bCs/>
                <w:sz w:val="18"/>
                <w:szCs w:val="18"/>
                <w:lang w:val="en-US"/>
              </w:rPr>
              <w:t>VALOR</w:t>
            </w:r>
          </w:p>
          <w:p>
            <w:pPr>
              <w:pStyle w:val="217"/>
              <w:jc w:val="both"/>
              <w:rPr>
                <w:sz w:val="18"/>
                <w:szCs w:val="18"/>
              </w:rPr>
            </w:pPr>
            <w:r>
              <w:rPr>
                <w:rStyle w:val="13"/>
                <w:rFonts w:eastAsia="Liberation Sans" w:cs="Liberation Sans"/>
                <w:b/>
                <w:bCs/>
                <w:sz w:val="18"/>
                <w:szCs w:val="18"/>
                <w:lang w:val="en-US"/>
              </w:rPr>
              <w:t>TOTAL</w:t>
            </w:r>
          </w:p>
        </w:tc>
      </w:tr>
      <w:tr>
        <w:tblPrEx>
          <w:tblCellMar>
            <w:top w:w="0" w:type="dxa"/>
            <w:left w:w="10" w:type="dxa"/>
            <w:bottom w:w="0" w:type="dxa"/>
            <w:right w:w="10" w:type="dxa"/>
          </w:tblCellMar>
        </w:tblPrEx>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364</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sz w:val="18"/>
                <w:szCs w:val="18"/>
              </w:rPr>
            </w:pPr>
          </w:p>
          <w:p>
            <w:pPr>
              <w:pStyle w:val="217"/>
              <w:jc w:val="center"/>
              <w:rPr>
                <w:sz w:val="18"/>
                <w:szCs w:val="18"/>
              </w:rPr>
            </w:pPr>
            <w:r>
              <w:rPr>
                <w:sz w:val="18"/>
                <w:szCs w:val="18"/>
              </w:rPr>
              <w:t>00025452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sz w:val="18"/>
                <w:szCs w:val="18"/>
              </w:rPr>
            </w:pPr>
            <w:r>
              <w:rPr>
                <w:sz w:val="18"/>
                <w:szCs w:val="18"/>
              </w:rPr>
              <w:t>SERV</w:t>
            </w:r>
          </w:p>
        </w:tc>
        <w:tc>
          <w:tcPr>
            <w:tcW w:w="331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217"/>
              <w:jc w:val="both"/>
              <w:rPr>
                <w:b/>
                <w:bCs/>
                <w:sz w:val="18"/>
                <w:szCs w:val="18"/>
              </w:rPr>
            </w:pPr>
            <w:r>
              <w:rPr>
                <w:rStyle w:val="13"/>
                <w:b/>
                <w:bCs/>
                <w:sz w:val="18"/>
                <w:szCs w:val="18"/>
              </w:rPr>
              <w:t>MÃO DE OBRA</w:t>
            </w:r>
            <w:r>
              <w:rPr>
                <w:sz w:val="18"/>
                <w:szCs w:val="18"/>
              </w:rPr>
              <w:t xml:space="preserve"> PARA INSTALAÇÃO DAS CÂMERAS SPEED DOME PARA TRANSMISSÃO AO VIVO DAS SESSÕES ORDINÁRIAS E EXTRAORDINÁRIAS NO PLENÁRIO DA CÂMARA MUNICIPAL DE PRIMAVERA DO LESTE. DEVE ESTAR INCLUSO CABOS DE TRANSMISSÃO DE DADOS, CABOS DE ENERGIA SE NECESSÁRIO. DISTÂNCIA MÉDIA ENTRE O NVR E CADA SPEED DOME É DE 25 METROS, CONSIDERANDO ASTE DE FIXAÇÃO E PAREDES.</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center"/>
              <w:rPr>
                <w:rStyle w:val="13"/>
                <w:b/>
                <w:bCs/>
                <w:color w:val="000000"/>
                <w:sz w:val="18"/>
                <w:szCs w:val="18"/>
              </w:rPr>
            </w:pPr>
            <w:r>
              <w:rPr>
                <w:b/>
                <w:bCs/>
                <w:sz w:val="18"/>
                <w:szCs w:val="18"/>
              </w:rPr>
              <w:t>01</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rStyle w:val="13"/>
                <w:b/>
                <w:bCs/>
                <w:color w:val="000000"/>
                <w:sz w:val="18"/>
                <w:szCs w:val="18"/>
              </w:rPr>
            </w:pPr>
            <w:r>
              <w:rPr>
                <w:rStyle w:val="13"/>
                <w:b/>
                <w:bCs/>
                <w:color w:val="000000"/>
                <w:sz w:val="18"/>
                <w:szCs w:val="18"/>
              </w:rPr>
              <w:t>R$ 8.550,00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17"/>
              <w:jc w:val="both"/>
              <w:rPr>
                <w:sz w:val="18"/>
                <w:szCs w:val="18"/>
              </w:rPr>
            </w:pPr>
            <w:r>
              <w:rPr>
                <w:rStyle w:val="13"/>
                <w:b/>
                <w:bCs/>
                <w:color w:val="000000"/>
                <w:sz w:val="18"/>
                <w:szCs w:val="18"/>
              </w:rPr>
              <w:t>R$ 8.550,00</w:t>
            </w:r>
          </w:p>
        </w:tc>
      </w:tr>
    </w:tbl>
    <w:p>
      <w:pPr>
        <w:spacing w:line="276" w:lineRule="auto"/>
        <w:jc w:val="both"/>
        <w:rPr>
          <w:rFonts w:eastAsia="Times New Roman"/>
          <w:b/>
          <w:lang w:eastAsia="en-US"/>
        </w:rPr>
      </w:pPr>
      <w:r>
        <w:rPr>
          <w:rFonts w:eastAsia="Times New Roman"/>
          <w:b/>
          <w:lang w:eastAsia="en-US"/>
        </w:rPr>
        <w:t xml:space="preserve"> </w:t>
      </w:r>
    </w:p>
    <w:p>
      <w:pPr>
        <w:numPr>
          <w:ilvl w:val="0"/>
          <w:numId w:val="12"/>
        </w:numPr>
        <w:tabs>
          <w:tab w:val="left" w:pos="284"/>
        </w:tabs>
        <w:spacing w:line="276" w:lineRule="auto"/>
        <w:ind w:left="0" w:right="0" w:firstLine="27"/>
        <w:jc w:val="both"/>
        <w:rPr>
          <w:rFonts w:ascii="Times New Roman" w:hAnsi="Times New Roman" w:eastAsia="Times New Roman"/>
          <w:sz w:val="23"/>
          <w:szCs w:val="23"/>
          <w:lang w:eastAsia="en-US"/>
        </w:rPr>
      </w:pPr>
      <w:r>
        <w:rPr>
          <w:rFonts w:eastAsia="Times New Roman"/>
          <w:b/>
          <w:sz w:val="23"/>
          <w:szCs w:val="23"/>
          <w:lang w:eastAsia="en-US"/>
        </w:rPr>
        <w:t>Do valor estimado:</w:t>
      </w:r>
    </w:p>
    <w:p>
      <w:pPr>
        <w:numPr>
          <w:ilvl w:val="0"/>
          <w:numId w:val="0"/>
        </w:numPr>
        <w:suppressAutoHyphens w:val="0"/>
        <w:ind w:left="60" w:leftChars="0"/>
        <w:jc w:val="both"/>
        <w:rPr>
          <w:sz w:val="23"/>
          <w:szCs w:val="23"/>
        </w:rPr>
      </w:pPr>
      <w:r>
        <w:rPr>
          <w:rFonts w:hint="default" w:ascii="Times New Roman" w:hAnsi="Times New Roman" w:eastAsia="Times New Roman"/>
          <w:b/>
          <w:bCs/>
          <w:sz w:val="23"/>
          <w:szCs w:val="23"/>
          <w:lang w:val="pt-BR" w:eastAsia="en-US"/>
        </w:rPr>
        <w:t>2.1</w:t>
      </w:r>
      <w:r>
        <w:rPr>
          <w:rFonts w:hint="default" w:ascii="Times New Roman" w:hAnsi="Times New Roman" w:eastAsia="Times New Roman"/>
          <w:sz w:val="23"/>
          <w:szCs w:val="23"/>
          <w:lang w:val="pt-BR" w:eastAsia="en-US"/>
        </w:rPr>
        <w:t>.</w:t>
      </w:r>
      <w:r>
        <w:rPr>
          <w:rFonts w:ascii="Times New Roman" w:hAnsi="Times New Roman" w:eastAsia="Times New Roman"/>
          <w:sz w:val="23"/>
          <w:szCs w:val="23"/>
          <w:lang w:eastAsia="en-US"/>
        </w:rPr>
        <w:t>O valor total estimado dos itens a serem contratados será o de R$ 318.520,77 (trezentos e dezoito mil, quinhentos e vinte reais e setenta e sete centavos).</w:t>
      </w:r>
    </w:p>
    <w:p>
      <w:pPr>
        <w:numPr>
          <w:ilvl w:val="0"/>
          <w:numId w:val="13"/>
        </w:numPr>
        <w:tabs>
          <w:tab w:val="left" w:pos="284"/>
        </w:tabs>
        <w:spacing w:line="276" w:lineRule="auto"/>
        <w:ind w:left="0" w:right="0" w:firstLine="0"/>
        <w:jc w:val="both"/>
        <w:rPr>
          <w:rStyle w:val="13"/>
          <w:b/>
          <w:bCs/>
          <w:sz w:val="23"/>
          <w:szCs w:val="23"/>
          <w:lang w:eastAsia="en-US"/>
        </w:rPr>
      </w:pPr>
      <w:r>
        <w:rPr>
          <w:rStyle w:val="13"/>
          <w:rFonts w:eastAsia="Times New Roman"/>
          <w:b/>
          <w:sz w:val="23"/>
          <w:szCs w:val="23"/>
          <w:lang w:eastAsia="en-US"/>
        </w:rPr>
        <w:t>3. Justificativa Técnica para a Contratação</w:t>
      </w:r>
      <w:r>
        <w:rPr>
          <w:rStyle w:val="13"/>
          <w:rFonts w:eastAsia="Times New Roman"/>
          <w:sz w:val="23"/>
          <w:szCs w:val="23"/>
          <w:lang w:eastAsia="en-US"/>
        </w:rPr>
        <w:t>:</w:t>
      </w:r>
    </w:p>
    <w:p>
      <w:pPr>
        <w:spacing w:line="276" w:lineRule="auto"/>
        <w:jc w:val="both"/>
        <w:rPr>
          <w:rStyle w:val="13"/>
          <w:b/>
          <w:bCs/>
          <w:sz w:val="23"/>
          <w:szCs w:val="23"/>
        </w:rPr>
      </w:pPr>
      <w:r>
        <w:rPr>
          <w:rStyle w:val="13"/>
          <w:b/>
          <w:bCs/>
          <w:sz w:val="23"/>
          <w:szCs w:val="23"/>
          <w:lang w:eastAsia="en-US"/>
        </w:rPr>
        <w:t>3.1</w:t>
      </w:r>
      <w:r>
        <w:rPr>
          <w:rStyle w:val="13"/>
          <w:sz w:val="23"/>
          <w:szCs w:val="23"/>
          <w:lang w:eastAsia="en-US"/>
        </w:rPr>
        <w:t xml:space="preserve"> É sabido que, semanalmente esta Casa de Leis realiza uma Sessão Ordinária e quando necessário ocorre também as Sessões Extraordinárias. Ressaltando ainda que, no decorrer do Ano Legislativo, acontecem as Audiências Públicas, várias Cerimônias Oficiais ambas geralmente com uma quantidade considerável de convidados e autoridades em geral. Ademais,</w:t>
      </w:r>
      <w:r>
        <w:rPr>
          <w:sz w:val="23"/>
          <w:szCs w:val="23"/>
        </w:rPr>
        <w:t xml:space="preserve"> ocorre também cursos de capacitação que abrangem todos os servidores dentre outras importantes reuniões.</w:t>
      </w:r>
    </w:p>
    <w:p>
      <w:pPr>
        <w:spacing w:line="276" w:lineRule="auto"/>
        <w:jc w:val="both"/>
        <w:rPr>
          <w:rStyle w:val="13"/>
          <w:rFonts w:eastAsia="Arial" w:cs="Arial"/>
          <w:b/>
          <w:bCs/>
          <w:sz w:val="23"/>
          <w:szCs w:val="23"/>
          <w:lang w:eastAsia="zh-CN"/>
        </w:rPr>
      </w:pPr>
      <w:r>
        <w:rPr>
          <w:rStyle w:val="13"/>
          <w:b/>
          <w:bCs/>
          <w:sz w:val="23"/>
          <w:szCs w:val="23"/>
        </w:rPr>
        <w:t>3.2</w:t>
      </w:r>
      <w:r>
        <w:rPr>
          <w:sz w:val="23"/>
          <w:szCs w:val="23"/>
        </w:rPr>
        <w:t xml:space="preserve"> Diante do acima exposto, serão contemplados, os vereadores, os funcionários da Câmara e principalmente toda a população que acompanha as sessões legislativas, proporcionando a ambos um melhor entendimento e interação, com os mais diversos temas debatidos em plenário. </w:t>
      </w:r>
      <w:r>
        <w:rPr>
          <w:rStyle w:val="13"/>
          <w:rFonts w:eastAsia="Arial" w:cs="Arial"/>
          <w:sz w:val="23"/>
          <w:szCs w:val="23"/>
          <w:lang w:eastAsia="zh-CN"/>
        </w:rPr>
        <w:t>Devemos ainda ressaltar que, adquirindo os referidos painéis proporcionaremos notória melhoria, adequação e inovação tecnológica, uma vez que, haverá uma melhor utilização do espaço proporcionando assim, uma experiência nova e diferenciada para os visitantes.</w:t>
      </w:r>
    </w:p>
    <w:p>
      <w:pPr>
        <w:spacing w:line="276" w:lineRule="auto"/>
        <w:jc w:val="both"/>
        <w:rPr>
          <w:rStyle w:val="13"/>
          <w:rFonts w:eastAsia="Arial" w:cs="Arial"/>
          <w:b/>
          <w:bCs/>
          <w:sz w:val="23"/>
          <w:szCs w:val="23"/>
          <w:lang w:eastAsia="zh-CN"/>
        </w:rPr>
      </w:pPr>
      <w:r>
        <w:rPr>
          <w:rStyle w:val="13"/>
          <w:rFonts w:eastAsia="Arial" w:cs="Arial"/>
          <w:b/>
          <w:bCs/>
          <w:sz w:val="23"/>
          <w:szCs w:val="23"/>
          <w:lang w:eastAsia="zh-CN"/>
        </w:rPr>
        <w:t>3.3</w:t>
      </w:r>
      <w:r>
        <w:rPr>
          <w:rStyle w:val="13"/>
          <w:rFonts w:eastAsia="Arial" w:cs="Arial"/>
          <w:sz w:val="23"/>
          <w:szCs w:val="23"/>
          <w:lang w:eastAsia="zh-CN"/>
        </w:rPr>
        <w:t xml:space="preserve"> É importante afirmarmos que, o painel que se encontra hoje no plenário é muito antigo e  a sua estrutura é feita com material de lona, e portanto está ultrapassado não seguindo os comandos da evolução tecnológica que se apresentou no decorrer dos anos que se sucederam após o mesmo ser adquirido.</w:t>
      </w:r>
    </w:p>
    <w:p>
      <w:pPr>
        <w:spacing w:line="276" w:lineRule="auto"/>
        <w:jc w:val="both"/>
        <w:rPr>
          <w:sz w:val="23"/>
          <w:szCs w:val="23"/>
          <w:shd w:val="clear" w:color="auto" w:fill="FFFF00"/>
        </w:rPr>
      </w:pPr>
      <w:r>
        <w:rPr>
          <w:rStyle w:val="13"/>
          <w:rFonts w:eastAsia="Arial" w:cs="Arial"/>
          <w:b/>
          <w:bCs/>
          <w:sz w:val="23"/>
          <w:szCs w:val="23"/>
          <w:lang w:eastAsia="zh-CN"/>
        </w:rPr>
        <w:t>3.4</w:t>
      </w:r>
      <w:r>
        <w:rPr>
          <w:rStyle w:val="13"/>
          <w:rFonts w:eastAsia="Arial" w:cs="Arial"/>
          <w:sz w:val="23"/>
          <w:szCs w:val="23"/>
          <w:lang w:eastAsia="zh-CN"/>
        </w:rPr>
        <w:t xml:space="preserve"> Lembrando ainda que o a antigo painel possui um retroprojetor também tecnologicamente ultrapassado. Entretanto, com a aquisição dos produtos ora pleiteados toda a população que vier acompanhar  </w:t>
      </w:r>
      <w:r>
        <w:rPr>
          <w:rStyle w:val="13"/>
          <w:rFonts w:eastAsia="Arial" w:cs="Arial"/>
          <w:b/>
          <w:bCs/>
          <w:i/>
          <w:iCs/>
          <w:sz w:val="23"/>
          <w:szCs w:val="23"/>
          <w:lang w:eastAsia="zh-CN"/>
        </w:rPr>
        <w:t>in loco</w:t>
      </w:r>
      <w:r>
        <w:rPr>
          <w:rStyle w:val="13"/>
          <w:rFonts w:eastAsia="Arial" w:cs="Arial"/>
          <w:sz w:val="23"/>
          <w:szCs w:val="23"/>
          <w:lang w:eastAsia="zh-CN"/>
        </w:rPr>
        <w:t xml:space="preserve"> os trabalhos da Casa terão uma visibilidade mais ampla uma vez que, será proporcionado uma  maior transparência ao transmitir as informações contidas nas matérias legislativas, pautas, e dentre diversos outros temas que são pertinentes </w:t>
      </w:r>
      <w:r>
        <w:rPr>
          <w:rStyle w:val="13"/>
          <w:rFonts w:eastAsia="Times New Roman" w:cs="Arial"/>
          <w:sz w:val="23"/>
          <w:szCs w:val="23"/>
          <w:lang w:eastAsia="en-US"/>
        </w:rPr>
        <w:t xml:space="preserve">ao que a </w:t>
      </w:r>
      <w:r>
        <w:rPr>
          <w:rStyle w:val="13"/>
          <w:rFonts w:eastAsia="Times New Roman"/>
          <w:sz w:val="23"/>
          <w:szCs w:val="23"/>
          <w:lang w:eastAsia="en-US"/>
        </w:rPr>
        <w:t>Câmara Municipal de Primavera do Leste realiza.</w:t>
      </w:r>
    </w:p>
    <w:p>
      <w:pPr>
        <w:tabs>
          <w:tab w:val="left" w:pos="284"/>
        </w:tabs>
        <w:spacing w:line="276" w:lineRule="auto"/>
        <w:jc w:val="both"/>
        <w:rPr>
          <w:rStyle w:val="13"/>
          <w:rFonts w:eastAsia="Times New Roman"/>
          <w:b/>
          <w:bCs/>
          <w:sz w:val="23"/>
          <w:szCs w:val="23"/>
          <w:lang w:eastAsia="en-US"/>
        </w:rPr>
      </w:pPr>
      <w:r>
        <w:rPr>
          <w:rStyle w:val="13"/>
          <w:rFonts w:eastAsia="Times New Roman"/>
          <w:b/>
          <w:sz w:val="23"/>
          <w:szCs w:val="23"/>
          <w:lang w:eastAsia="en-US"/>
        </w:rPr>
        <w:t>4. Da execução:</w:t>
      </w:r>
    </w:p>
    <w:p>
      <w:pPr>
        <w:tabs>
          <w:tab w:val="left" w:pos="426"/>
        </w:tabs>
        <w:spacing w:line="276" w:lineRule="auto"/>
        <w:jc w:val="both"/>
        <w:rPr>
          <w:rFonts w:eastAsia="Times New Roman"/>
          <w:sz w:val="23"/>
          <w:szCs w:val="23"/>
          <w:lang w:eastAsia="en-US"/>
        </w:rPr>
      </w:pPr>
      <w:r>
        <w:rPr>
          <w:rStyle w:val="13"/>
          <w:rFonts w:eastAsia="Times New Roman"/>
          <w:b/>
          <w:bCs/>
          <w:sz w:val="23"/>
          <w:szCs w:val="23"/>
          <w:lang w:eastAsia="en-US"/>
        </w:rPr>
        <w:t>4.1</w:t>
      </w:r>
      <w:r>
        <w:rPr>
          <w:rStyle w:val="13"/>
          <w:rFonts w:eastAsia="Times New Roman"/>
          <w:sz w:val="23"/>
          <w:szCs w:val="23"/>
          <w:lang w:eastAsia="en-US"/>
        </w:rPr>
        <w:t xml:space="preserve"> A empresa contratada deverá fornecer o produto em conformidade com as solicitações desta Casa de Leis.</w:t>
      </w:r>
    </w:p>
    <w:p>
      <w:pPr>
        <w:tabs>
          <w:tab w:val="left" w:pos="284"/>
        </w:tabs>
        <w:spacing w:line="276" w:lineRule="auto"/>
        <w:jc w:val="both"/>
        <w:rPr>
          <w:rStyle w:val="13"/>
          <w:rFonts w:eastAsia="Times New Roman"/>
          <w:b/>
          <w:bCs/>
          <w:sz w:val="23"/>
          <w:szCs w:val="23"/>
          <w:lang w:eastAsia="en-US"/>
        </w:rPr>
      </w:pPr>
      <w:r>
        <w:rPr>
          <w:rFonts w:eastAsia="Times New Roman"/>
          <w:b/>
          <w:sz w:val="23"/>
          <w:szCs w:val="23"/>
          <w:lang w:eastAsia="en-US"/>
        </w:rPr>
        <w:t>5. Prazo e condições de entrega do objeto licitado</w:t>
      </w:r>
    </w:p>
    <w:p>
      <w:pPr>
        <w:tabs>
          <w:tab w:val="left" w:pos="426"/>
        </w:tabs>
        <w:spacing w:line="276" w:lineRule="auto"/>
        <w:jc w:val="both"/>
        <w:rPr>
          <w:rStyle w:val="13"/>
          <w:rFonts w:eastAsia="Times New Roman"/>
          <w:b/>
          <w:bCs/>
          <w:sz w:val="23"/>
          <w:szCs w:val="23"/>
          <w:lang w:eastAsia="en-US"/>
        </w:rPr>
      </w:pPr>
      <w:r>
        <w:rPr>
          <w:rStyle w:val="13"/>
          <w:rFonts w:eastAsia="Times New Roman"/>
          <w:b/>
          <w:bCs/>
          <w:sz w:val="23"/>
          <w:szCs w:val="23"/>
          <w:lang w:eastAsia="en-US"/>
        </w:rPr>
        <w:t>5.1</w:t>
      </w:r>
      <w:r>
        <w:rPr>
          <w:rStyle w:val="13"/>
          <w:rFonts w:eastAsia="Times New Roman"/>
          <w:sz w:val="23"/>
          <w:szCs w:val="23"/>
          <w:lang w:eastAsia="en-US"/>
        </w:rPr>
        <w:t xml:space="preserve"> Os produtos deverão serem entregues em até </w:t>
      </w:r>
      <w:r>
        <w:rPr>
          <w:rStyle w:val="13"/>
          <w:sz w:val="23"/>
          <w:szCs w:val="23"/>
          <w:lang w:eastAsia="en-US"/>
        </w:rPr>
        <w:t>15 (quinze) dias</w:t>
      </w:r>
      <w:r>
        <w:rPr>
          <w:rStyle w:val="13"/>
          <w:rFonts w:eastAsia="Times New Roman"/>
          <w:sz w:val="23"/>
          <w:szCs w:val="23"/>
          <w:lang w:eastAsia="en-US"/>
        </w:rPr>
        <w:t xml:space="preserve"> após o recebimento da Autorização de Fornecimento na Câmara Municipal de Primavera do Leste – AV. Primavera n. 300 Bairro Primavera II, CEP. 78.850-000 – Estado de Mato Grosso.</w:t>
      </w:r>
    </w:p>
    <w:p>
      <w:pPr>
        <w:tabs>
          <w:tab w:val="left" w:pos="426"/>
        </w:tabs>
        <w:spacing w:line="276" w:lineRule="auto"/>
        <w:jc w:val="both"/>
        <w:rPr>
          <w:rStyle w:val="13"/>
          <w:b/>
          <w:bCs/>
          <w:sz w:val="23"/>
          <w:szCs w:val="23"/>
          <w:lang w:eastAsia="en-US"/>
        </w:rPr>
      </w:pPr>
      <w:r>
        <w:rPr>
          <w:rStyle w:val="13"/>
          <w:rFonts w:eastAsia="Times New Roman"/>
          <w:b/>
          <w:bCs/>
          <w:sz w:val="23"/>
          <w:szCs w:val="23"/>
          <w:lang w:eastAsia="en-US"/>
        </w:rPr>
        <w:t xml:space="preserve">5.2 </w:t>
      </w:r>
      <w:r>
        <w:rPr>
          <w:rStyle w:val="13"/>
          <w:rFonts w:eastAsia="Times New Roman"/>
          <w:sz w:val="23"/>
          <w:szCs w:val="23"/>
          <w:lang w:eastAsia="en-US"/>
        </w:rPr>
        <w:t>Todas as despesas com o fornecimento dos produtos correrão por conta da contratada;</w:t>
      </w:r>
    </w:p>
    <w:p>
      <w:pPr>
        <w:tabs>
          <w:tab w:val="left" w:pos="426"/>
        </w:tabs>
        <w:spacing w:line="276" w:lineRule="auto"/>
        <w:jc w:val="both"/>
        <w:rPr>
          <w:rStyle w:val="13"/>
          <w:b/>
          <w:bCs/>
          <w:sz w:val="23"/>
          <w:szCs w:val="23"/>
          <w:lang w:eastAsia="en-US"/>
        </w:rPr>
      </w:pPr>
      <w:r>
        <w:rPr>
          <w:rStyle w:val="13"/>
          <w:b/>
          <w:bCs/>
          <w:sz w:val="23"/>
          <w:szCs w:val="23"/>
          <w:lang w:eastAsia="en-US"/>
        </w:rPr>
        <w:t>5.3</w:t>
      </w:r>
      <w:r>
        <w:rPr>
          <w:rStyle w:val="13"/>
          <w:sz w:val="23"/>
          <w:szCs w:val="23"/>
          <w:lang w:eastAsia="en-US"/>
        </w:rPr>
        <w:t xml:space="preserve"> As quantidades a serem entregues serão de acordo com o estipulado na Autorização de Fornecimento.</w:t>
      </w:r>
    </w:p>
    <w:p>
      <w:pPr>
        <w:tabs>
          <w:tab w:val="left" w:pos="426"/>
        </w:tabs>
        <w:spacing w:line="276" w:lineRule="auto"/>
        <w:jc w:val="both"/>
        <w:rPr>
          <w:rStyle w:val="13"/>
          <w:rFonts w:eastAsia="Times New Roman"/>
          <w:b/>
          <w:bCs/>
          <w:sz w:val="23"/>
          <w:szCs w:val="23"/>
          <w:lang w:eastAsia="en-US"/>
        </w:rPr>
      </w:pPr>
      <w:r>
        <w:rPr>
          <w:rStyle w:val="13"/>
          <w:b/>
          <w:bCs/>
          <w:sz w:val="23"/>
          <w:szCs w:val="23"/>
          <w:lang w:eastAsia="en-US"/>
        </w:rPr>
        <w:t xml:space="preserve">5.4 </w:t>
      </w:r>
      <w:r>
        <w:rPr>
          <w:rStyle w:val="13"/>
          <w:sz w:val="23"/>
          <w:szCs w:val="23"/>
          <w:lang w:eastAsia="en-US"/>
        </w:rPr>
        <w:t>Os produtos poderão ser rejeitados, no todo ou em parte, quando em desacordo com as especificações constantes neste Termo de Referência, devendo ser substituídos no prazo de 7 (sete) dias, a contar da notificação da contratada, às custas da contratada, e sem prejuízo da aplicação das penalidades.</w:t>
      </w:r>
    </w:p>
    <w:p>
      <w:pPr>
        <w:tabs>
          <w:tab w:val="left" w:pos="426"/>
        </w:tabs>
        <w:spacing w:line="276" w:lineRule="auto"/>
        <w:jc w:val="both"/>
        <w:rPr>
          <w:sz w:val="23"/>
          <w:szCs w:val="23"/>
        </w:rPr>
      </w:pPr>
      <w:r>
        <w:rPr>
          <w:rStyle w:val="13"/>
          <w:rFonts w:eastAsia="Times New Roman"/>
          <w:b/>
          <w:bCs/>
          <w:sz w:val="23"/>
          <w:szCs w:val="23"/>
          <w:lang w:eastAsia="en-US"/>
        </w:rPr>
        <w:t>5.5</w:t>
      </w:r>
      <w:r>
        <w:rPr>
          <w:rStyle w:val="13"/>
          <w:rFonts w:eastAsia="Times New Roman"/>
          <w:sz w:val="23"/>
          <w:szCs w:val="23"/>
          <w:lang w:eastAsia="en-US"/>
        </w:rPr>
        <w:t xml:space="preserve"> A solicitação dos produtos será parcelada, conforme a necessidade da Câmara Municipal de Primavera do Leste-MT.</w:t>
      </w:r>
    </w:p>
    <w:p>
      <w:pPr>
        <w:tabs>
          <w:tab w:val="left" w:pos="426"/>
        </w:tabs>
        <w:spacing w:line="276" w:lineRule="auto"/>
        <w:jc w:val="both"/>
        <w:rPr>
          <w:sz w:val="23"/>
          <w:szCs w:val="23"/>
        </w:rPr>
      </w:pPr>
    </w:p>
    <w:p>
      <w:pPr>
        <w:tabs>
          <w:tab w:val="left" w:pos="-654"/>
        </w:tabs>
        <w:spacing w:line="276" w:lineRule="auto"/>
        <w:jc w:val="both"/>
        <w:rPr>
          <w:rStyle w:val="13"/>
          <w:b/>
          <w:bCs/>
          <w:sz w:val="23"/>
          <w:szCs w:val="23"/>
        </w:rPr>
      </w:pPr>
      <w:r>
        <w:rPr>
          <w:rStyle w:val="13"/>
          <w:rFonts w:eastAsia="Times New Roman"/>
          <w:b/>
          <w:sz w:val="23"/>
          <w:szCs w:val="23"/>
          <w:lang w:eastAsia="en-US"/>
        </w:rPr>
        <w:t>6. Público-alvo:</w:t>
      </w:r>
    </w:p>
    <w:p>
      <w:pPr>
        <w:tabs>
          <w:tab w:val="left" w:pos="426"/>
        </w:tabs>
        <w:spacing w:line="276" w:lineRule="auto"/>
        <w:jc w:val="both"/>
        <w:rPr>
          <w:sz w:val="23"/>
          <w:szCs w:val="23"/>
        </w:rPr>
      </w:pPr>
      <w:r>
        <w:rPr>
          <w:rStyle w:val="13"/>
          <w:b/>
          <w:bCs/>
          <w:sz w:val="23"/>
          <w:szCs w:val="23"/>
        </w:rPr>
        <w:t>6.1</w:t>
      </w:r>
      <w:r>
        <w:rPr>
          <w:sz w:val="23"/>
          <w:szCs w:val="23"/>
        </w:rPr>
        <w:t xml:space="preserve"> </w:t>
      </w:r>
      <w:r>
        <w:rPr>
          <w:rStyle w:val="13"/>
          <w:rFonts w:eastAsia="Times New Roman"/>
          <w:sz w:val="23"/>
          <w:szCs w:val="23"/>
          <w:lang w:eastAsia="en-US"/>
        </w:rPr>
        <w:t>Os Parlamentares e servidores da Câmara Municipal de Primavera do Leste – MT no desenvolvimento de suas funções e toda população que participa das Sessões, Audiências Públicas, e reuniões no plenário da Câmara Municipal.</w:t>
      </w:r>
    </w:p>
    <w:p>
      <w:pPr>
        <w:tabs>
          <w:tab w:val="left" w:pos="483"/>
        </w:tabs>
        <w:spacing w:line="276" w:lineRule="auto"/>
        <w:ind w:left="57" w:right="0" w:firstLine="0"/>
        <w:jc w:val="both"/>
        <w:rPr>
          <w:sz w:val="23"/>
          <w:szCs w:val="23"/>
        </w:rPr>
      </w:pPr>
    </w:p>
    <w:p>
      <w:pPr>
        <w:tabs>
          <w:tab w:val="left" w:pos="426"/>
        </w:tabs>
        <w:spacing w:line="276" w:lineRule="auto"/>
        <w:jc w:val="both"/>
        <w:rPr>
          <w:rStyle w:val="13"/>
          <w:rFonts w:eastAsia="Times New Roman"/>
          <w:b/>
          <w:bCs/>
          <w:sz w:val="23"/>
          <w:szCs w:val="23"/>
          <w:lang w:eastAsia="en-US"/>
        </w:rPr>
      </w:pPr>
      <w:r>
        <w:rPr>
          <w:rStyle w:val="13"/>
          <w:rFonts w:eastAsia="Times New Roman"/>
          <w:b/>
          <w:bCs/>
          <w:sz w:val="23"/>
          <w:szCs w:val="23"/>
          <w:lang w:eastAsia="en-US"/>
        </w:rPr>
        <w:t>7</w:t>
      </w:r>
      <w:r>
        <w:rPr>
          <w:rStyle w:val="13"/>
          <w:rFonts w:eastAsia="Times New Roman"/>
          <w:b/>
          <w:sz w:val="23"/>
          <w:szCs w:val="23"/>
          <w:lang w:eastAsia="en-US"/>
        </w:rPr>
        <w:t>. Das Obrigações da Contratada:</w:t>
      </w:r>
    </w:p>
    <w:p>
      <w:pPr>
        <w:tabs>
          <w:tab w:val="left" w:pos="426"/>
        </w:tabs>
        <w:spacing w:line="276" w:lineRule="auto"/>
        <w:jc w:val="both"/>
        <w:rPr>
          <w:rStyle w:val="13"/>
          <w:rFonts w:eastAsia="Times New Roman"/>
          <w:b/>
          <w:sz w:val="23"/>
          <w:szCs w:val="23"/>
          <w:lang w:eastAsia="en-US"/>
        </w:rPr>
      </w:pPr>
      <w:r>
        <w:rPr>
          <w:rStyle w:val="13"/>
          <w:rFonts w:eastAsia="Times New Roman"/>
          <w:b/>
          <w:bCs/>
          <w:sz w:val="23"/>
          <w:szCs w:val="23"/>
          <w:lang w:eastAsia="en-US"/>
        </w:rPr>
        <w:t>7.1</w:t>
      </w:r>
      <w:r>
        <w:rPr>
          <w:rStyle w:val="13"/>
          <w:rFonts w:eastAsia="Times New Roman"/>
          <w:sz w:val="23"/>
          <w:szCs w:val="23"/>
          <w:lang w:eastAsia="en-US"/>
        </w:rPr>
        <w:t xml:space="preserve"> Para garantir o fiel cumprimento do objeto deste certame, a Empresa Contratada se compromete a:</w:t>
      </w:r>
    </w:p>
    <w:p>
      <w:pPr>
        <w:spacing w:line="276" w:lineRule="auto"/>
        <w:jc w:val="both"/>
        <w:rPr>
          <w:rStyle w:val="13"/>
          <w:rFonts w:eastAsia="Times New Roman"/>
          <w:b/>
          <w:bCs/>
          <w:sz w:val="23"/>
          <w:szCs w:val="23"/>
          <w:lang w:eastAsia="en-US"/>
        </w:rPr>
      </w:pPr>
      <w:r>
        <w:rPr>
          <w:rStyle w:val="13"/>
          <w:rFonts w:eastAsia="Times New Roman"/>
          <w:b/>
          <w:sz w:val="23"/>
          <w:szCs w:val="23"/>
          <w:lang w:eastAsia="en-US"/>
        </w:rPr>
        <w:t>7.1.1.</w:t>
      </w:r>
      <w:r>
        <w:rPr>
          <w:rStyle w:val="13"/>
          <w:rFonts w:eastAsia="Times New Roman"/>
          <w:sz w:val="23"/>
          <w:szCs w:val="23"/>
          <w:lang w:eastAsia="en-US"/>
        </w:rPr>
        <w:t xml:space="preserve"> Após a homologação, assinar a Ata de Registro de Preços no prazo de 05 (cinco) dias úteis, contados do recebimento da convocação oficial;</w:t>
      </w:r>
    </w:p>
    <w:p>
      <w:pPr>
        <w:spacing w:line="276" w:lineRule="auto"/>
        <w:jc w:val="both"/>
        <w:rPr>
          <w:rStyle w:val="13"/>
          <w:rFonts w:eastAsia="Times New Roman"/>
          <w:b/>
          <w:sz w:val="23"/>
          <w:szCs w:val="23"/>
          <w:lang w:eastAsia="en-US"/>
        </w:rPr>
      </w:pPr>
      <w:r>
        <w:rPr>
          <w:rStyle w:val="13"/>
          <w:rFonts w:eastAsia="Times New Roman"/>
          <w:b/>
          <w:bCs/>
          <w:sz w:val="23"/>
          <w:szCs w:val="23"/>
          <w:lang w:eastAsia="en-US"/>
        </w:rPr>
        <w:t>7.1.2</w:t>
      </w:r>
      <w:r>
        <w:rPr>
          <w:rStyle w:val="13"/>
          <w:rFonts w:eastAsia="Times New Roman"/>
          <w:sz w:val="23"/>
          <w:szCs w:val="23"/>
          <w:lang w:eastAsia="en-US"/>
        </w:rPr>
        <w:t>. Após a ordem de fornecimento a licitante deverá retirar a Nota de Empenho no prazo de 05 (cinco) dias, contados do recebimento da convocação formal;</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7.1.3</w:t>
      </w:r>
      <w:r>
        <w:rPr>
          <w:rStyle w:val="13"/>
          <w:rFonts w:eastAsia="Times New Roman"/>
          <w:sz w:val="23"/>
          <w:szCs w:val="23"/>
          <w:lang w:eastAsia="en-US"/>
        </w:rPr>
        <w:t>. Manter contato com a contratante sobre quaisquer assuntos relativos ao produto, objeto do Edital, sempre por escrito, ressalvados os entendimentos verbais determinados pela urgência de cada caso;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7.1.4</w:t>
      </w:r>
      <w:r>
        <w:rPr>
          <w:rStyle w:val="13"/>
          <w:rFonts w:eastAsia="Times New Roman"/>
          <w:sz w:val="23"/>
          <w:szCs w:val="23"/>
          <w:lang w:eastAsia="en-US"/>
        </w:rPr>
        <w:t>. Arcar com todas as despesas, diretas ou indiretas, decorrentes do cumprimento das obrigações assumidas, sem qualquer ônus para a Contratante;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7.2</w:t>
      </w:r>
      <w:r>
        <w:rPr>
          <w:rStyle w:val="13"/>
          <w:rFonts w:eastAsia="Times New Roman"/>
          <w:sz w:val="23"/>
          <w:szCs w:val="23"/>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7.3.</w:t>
      </w:r>
      <w:r>
        <w:rPr>
          <w:rStyle w:val="13"/>
          <w:rFonts w:eastAsia="Times New Roman"/>
          <w:sz w:val="23"/>
          <w:szCs w:val="23"/>
          <w:lang w:eastAsia="en-US"/>
        </w:rPr>
        <w:t xml:space="preserve"> Manter, durante o prazo de vigência da Ata de Registro de Preços, todas as condições de habilitação exigidas na licitação;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7.4</w:t>
      </w:r>
      <w:r>
        <w:rPr>
          <w:rStyle w:val="13"/>
          <w:rFonts w:eastAsia="Times New Roman"/>
          <w:sz w:val="23"/>
          <w:szCs w:val="23"/>
          <w:lang w:eastAsia="en-US"/>
        </w:rPr>
        <w:t>. Prestar os esclarecimentos que forem solicitados pela Câmara Municipal de Primavera do Leste – MT, cujas reclamações se obrigam a atender prontamente, bem como a dar ciência a Câmara Municipal, imediatamente, por escrito, de qualquer anormalidade que verificar quando do fornecimento ora licitado;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7.5</w:t>
      </w:r>
      <w:r>
        <w:rPr>
          <w:rStyle w:val="13"/>
          <w:rFonts w:eastAsia="Times New Roman"/>
          <w:sz w:val="23"/>
          <w:szCs w:val="23"/>
          <w:lang w:eastAsia="en-US"/>
        </w:rPr>
        <w:t>.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7.6</w:t>
      </w:r>
      <w:r>
        <w:rPr>
          <w:rStyle w:val="13"/>
          <w:rFonts w:eastAsia="Times New Roman"/>
          <w:sz w:val="23"/>
          <w:szCs w:val="23"/>
          <w:lang w:eastAsia="en-US"/>
        </w:rPr>
        <w:t>. O preço será aquele constante da proposta contendo o menor valor do item, apresentado no Pregão Eletrônico, em valor a ser pago em moeda nacional;</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7.7</w:t>
      </w:r>
      <w:r>
        <w:rPr>
          <w:rStyle w:val="13"/>
          <w:rFonts w:eastAsia="Times New Roman"/>
          <w:sz w:val="23"/>
          <w:szCs w:val="23"/>
          <w:lang w:eastAsia="en-US"/>
        </w:rPr>
        <w:t>. O preço ofertado pela empresa licitante vencedora deverá incluir todas as despesas relativas ao objeto contratado (tributos, seguros, encargos sociais, frete etc.);</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7.8</w:t>
      </w:r>
      <w:r>
        <w:rPr>
          <w:rStyle w:val="13"/>
          <w:rFonts w:eastAsia="Times New Roman"/>
          <w:sz w:val="23"/>
          <w:szCs w:val="23"/>
          <w:lang w:eastAsia="en-US"/>
        </w:rPr>
        <w:t>. Responsabilizar-se por todo e qualquer dano que causar ao Órgão, ou a terceiros, ainda que culposo praticado por seus prepostos, empregados ou mandatários, não excluindo ou reduzindo essa responsabilidade a fiscalização ou acompanhamento pela Câmara Municipal de Primavera do Leste;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7.9</w:t>
      </w:r>
      <w:r>
        <w:rPr>
          <w:rStyle w:val="13"/>
          <w:rFonts w:eastAsia="Times New Roman"/>
          <w:sz w:val="23"/>
          <w:szCs w:val="23"/>
          <w:lang w:eastAsia="en-US"/>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7.10</w:t>
      </w:r>
      <w:r>
        <w:rPr>
          <w:rStyle w:val="13"/>
          <w:rFonts w:eastAsia="Times New Roman"/>
          <w:sz w:val="23"/>
          <w:szCs w:val="23"/>
          <w:lang w:eastAsia="en-US"/>
        </w:rPr>
        <w:t>. Efetuar a imediata correção das deficiências apontadas pela Contratante, com relação ao fornecimento e instalação do produto.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7.11.</w:t>
      </w:r>
      <w:r>
        <w:rPr>
          <w:rStyle w:val="13"/>
          <w:rFonts w:eastAsia="Times New Roman"/>
          <w:sz w:val="23"/>
          <w:szCs w:val="23"/>
          <w:lang w:eastAsia="en-US"/>
        </w:rPr>
        <w:t xml:space="preserve"> Disponibilizar o fornecimento dentro dos padrões estabelecidos neste Termo de Referência, responsabilizando-se por eventuais prejuízos decorrentes do descumprimento de qualquer cláusula ou condição aqui estabelecida;</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7.12</w:t>
      </w:r>
      <w:r>
        <w:rPr>
          <w:rStyle w:val="13"/>
          <w:rFonts w:eastAsia="Times New Roman"/>
          <w:sz w:val="23"/>
          <w:szCs w:val="23"/>
          <w:lang w:eastAsia="en-US"/>
        </w:rPr>
        <w:t>. Não transferir a outrem, no todo ou em parte, o Contrato;</w:t>
      </w:r>
    </w:p>
    <w:p>
      <w:pPr>
        <w:spacing w:line="276" w:lineRule="auto"/>
        <w:jc w:val="both"/>
        <w:rPr>
          <w:rFonts w:eastAsia="Times New Roman"/>
          <w:b/>
          <w:sz w:val="23"/>
          <w:szCs w:val="23"/>
          <w:lang w:eastAsia="en-US"/>
        </w:rPr>
      </w:pPr>
      <w:r>
        <w:rPr>
          <w:rStyle w:val="13"/>
          <w:rFonts w:eastAsia="Times New Roman"/>
          <w:b/>
          <w:sz w:val="23"/>
          <w:szCs w:val="23"/>
          <w:lang w:eastAsia="en-US"/>
        </w:rPr>
        <w:t>7.13</w:t>
      </w:r>
      <w:r>
        <w:rPr>
          <w:rStyle w:val="13"/>
          <w:rFonts w:eastAsia="Times New Roman"/>
          <w:sz w:val="23"/>
          <w:szCs w:val="23"/>
          <w:lang w:eastAsia="en-US"/>
        </w:rPr>
        <w:t>. Solucionar imediatamente os problemas que venham a surgir relacionados com o produto fornecido e sua instalação;</w:t>
      </w:r>
    </w:p>
    <w:p>
      <w:pPr>
        <w:spacing w:line="276" w:lineRule="auto"/>
        <w:jc w:val="both"/>
        <w:rPr>
          <w:rFonts w:eastAsia="Times New Roman"/>
          <w:b/>
          <w:sz w:val="23"/>
          <w:szCs w:val="23"/>
          <w:lang w:eastAsia="en-US"/>
        </w:rPr>
      </w:pPr>
    </w:p>
    <w:p>
      <w:pPr>
        <w:spacing w:line="276" w:lineRule="auto"/>
        <w:jc w:val="both"/>
        <w:rPr>
          <w:rStyle w:val="13"/>
          <w:rFonts w:eastAsia="Times New Roman"/>
          <w:b/>
          <w:sz w:val="23"/>
          <w:szCs w:val="23"/>
          <w:lang w:eastAsia="en-US"/>
        </w:rPr>
      </w:pPr>
      <w:r>
        <w:rPr>
          <w:rFonts w:eastAsia="Times New Roman"/>
          <w:b/>
          <w:sz w:val="23"/>
          <w:szCs w:val="23"/>
          <w:lang w:eastAsia="en-US"/>
        </w:rPr>
        <w:t>8. Das Obrigações da Contratante: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8.1</w:t>
      </w:r>
      <w:r>
        <w:rPr>
          <w:rStyle w:val="13"/>
          <w:rFonts w:eastAsia="Times New Roman"/>
          <w:sz w:val="23"/>
          <w:szCs w:val="23"/>
          <w:lang w:eastAsia="en-US"/>
        </w:rPr>
        <w:t>. A Câmara Municipal de Primavera do Leste Estado de Mato Grosso obriga-se a:</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8.1.1</w:t>
      </w:r>
      <w:r>
        <w:rPr>
          <w:rStyle w:val="13"/>
          <w:rFonts w:eastAsia="Times New Roman"/>
          <w:sz w:val="23"/>
          <w:szCs w:val="23"/>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8.1.2</w:t>
      </w:r>
      <w:r>
        <w:rPr>
          <w:rStyle w:val="13"/>
          <w:rFonts w:eastAsia="Times New Roman"/>
          <w:sz w:val="23"/>
          <w:szCs w:val="23"/>
          <w:lang w:eastAsia="en-US"/>
        </w:rPr>
        <w:t>. Permitir ao pessoal da contratada, acesso ao local da entrega;</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8.1.3</w:t>
      </w:r>
      <w:r>
        <w:rPr>
          <w:rStyle w:val="13"/>
          <w:rFonts w:eastAsia="Times New Roman"/>
          <w:sz w:val="23"/>
          <w:szCs w:val="23"/>
          <w:lang w:eastAsia="en-US"/>
        </w:rPr>
        <w:t>. Notificar a CONTRATADA de qualquer irregularidade encontrada na entrega do produto;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8.1.4</w:t>
      </w:r>
      <w:r>
        <w:rPr>
          <w:rStyle w:val="13"/>
          <w:rFonts w:eastAsia="Times New Roman"/>
          <w:sz w:val="23"/>
          <w:szCs w:val="23"/>
          <w:lang w:eastAsia="en-US"/>
        </w:rPr>
        <w:t>. Efetuar os pagamentos devidos, nas condições estabelecidas neste Termo de Referência, garantindo a real disponibilidade financeira para a quitação de seus débitos frente a empresa fornecedora do produto ora licitado, sob pena de ilegalidade dos atos;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8.1.5</w:t>
      </w:r>
      <w:r>
        <w:rPr>
          <w:rStyle w:val="13"/>
          <w:rFonts w:eastAsia="Times New Roman"/>
          <w:sz w:val="23"/>
          <w:szCs w:val="23"/>
          <w:lang w:eastAsia="en-US"/>
        </w:rPr>
        <w:t>. Receber o objeto homologado, nos termos, prazos, quantitativos, qualidade e condições estabelecidas neste instrumento;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8.2</w:t>
      </w:r>
      <w:r>
        <w:rPr>
          <w:rStyle w:val="13"/>
          <w:rFonts w:eastAsia="Times New Roman"/>
          <w:sz w:val="23"/>
          <w:szCs w:val="23"/>
          <w:lang w:eastAsia="en-US"/>
        </w:rPr>
        <w:t>. Recusar e devolver nas seguintes hipóteses: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8.2.1</w:t>
      </w:r>
      <w:r>
        <w:rPr>
          <w:rStyle w:val="13"/>
          <w:rFonts w:eastAsia="Times New Roman"/>
          <w:sz w:val="23"/>
          <w:szCs w:val="23"/>
          <w:lang w:eastAsia="en-US"/>
        </w:rPr>
        <w:t>. Que apresentarem vício de qualidade ou impropriedade para o uso;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8.2.2</w:t>
      </w:r>
      <w:r>
        <w:rPr>
          <w:rStyle w:val="13"/>
          <w:rFonts w:eastAsia="Times New Roman"/>
          <w:sz w:val="23"/>
          <w:szCs w:val="23"/>
          <w:lang w:eastAsia="en-US"/>
        </w:rPr>
        <w:t>. Que possuírem nota fiscal com especificação e quantidade em desacordo com solicitado;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8.2.3</w:t>
      </w:r>
      <w:r>
        <w:rPr>
          <w:rStyle w:val="13"/>
          <w:rFonts w:eastAsia="Times New Roman"/>
          <w:sz w:val="23"/>
          <w:szCs w:val="23"/>
          <w:lang w:eastAsia="en-US"/>
        </w:rPr>
        <w:t>. Quando entregues em desacordo com as especificações dos requisitos obrigatórios deste.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8.3.</w:t>
      </w:r>
      <w:r>
        <w:rPr>
          <w:rStyle w:val="13"/>
          <w:rFonts w:eastAsia="Times New Roman"/>
          <w:sz w:val="23"/>
          <w:szCs w:val="23"/>
          <w:lang w:eastAsia="en-US"/>
        </w:rPr>
        <w:t xml:space="preserve"> O recebimento provisório dar-se-á, por responsável indicado pela Câmara Municipal de Primavera do Leste, no ato da entrega do produto e da nota fiscal pela adjudicatária;</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8.4.</w:t>
      </w:r>
      <w:r>
        <w:rPr>
          <w:rStyle w:val="13"/>
          <w:rFonts w:eastAsia="Times New Roman"/>
          <w:sz w:val="23"/>
          <w:szCs w:val="23"/>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02 (duas) horas após a notificação pela Câmara Municipal;</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8.5</w:t>
      </w:r>
      <w:r>
        <w:rPr>
          <w:rStyle w:val="13"/>
          <w:rFonts w:eastAsia="Times New Roman"/>
          <w:sz w:val="23"/>
          <w:szCs w:val="23"/>
          <w:lang w:eastAsia="en-US"/>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8.6</w:t>
      </w:r>
      <w:r>
        <w:rPr>
          <w:rStyle w:val="13"/>
          <w:rFonts w:eastAsia="Times New Roman"/>
          <w:sz w:val="23"/>
          <w:szCs w:val="23"/>
          <w:lang w:eastAsia="en-US"/>
        </w:rPr>
        <w:t>. Efetuar o pagamento, após o recebimento definitivo, o qual deverá ser atestado por servidor designado pela presidência;</w:t>
      </w:r>
    </w:p>
    <w:p>
      <w:pPr>
        <w:spacing w:line="276" w:lineRule="auto"/>
        <w:jc w:val="both"/>
        <w:rPr>
          <w:rFonts w:eastAsia="Times New Roman"/>
          <w:b/>
          <w:sz w:val="23"/>
          <w:szCs w:val="23"/>
          <w:lang w:eastAsia="en-US"/>
        </w:rPr>
      </w:pPr>
      <w:r>
        <w:rPr>
          <w:rStyle w:val="13"/>
          <w:rFonts w:eastAsia="Times New Roman"/>
          <w:b/>
          <w:sz w:val="23"/>
          <w:szCs w:val="23"/>
          <w:lang w:eastAsia="en-US"/>
        </w:rPr>
        <w:t>8.7.</w:t>
      </w:r>
      <w:r>
        <w:rPr>
          <w:rStyle w:val="13"/>
          <w:rFonts w:eastAsia="Times New Roman"/>
          <w:sz w:val="23"/>
          <w:szCs w:val="23"/>
          <w:lang w:eastAsia="en-US"/>
        </w:rPr>
        <w:t xml:space="preserve"> Formalizar e convocar a consignatária da Ata de Registro de Preços, para assinatura nos termos da legislação pertinente e, consequentemente, emitir nota de empenho.</w:t>
      </w:r>
    </w:p>
    <w:p>
      <w:pPr>
        <w:spacing w:line="276" w:lineRule="auto"/>
        <w:jc w:val="both"/>
        <w:rPr>
          <w:rStyle w:val="13"/>
          <w:rFonts w:eastAsia="Times New Roman"/>
          <w:b/>
          <w:sz w:val="23"/>
          <w:szCs w:val="23"/>
          <w:lang w:eastAsia="en-US"/>
        </w:rPr>
      </w:pPr>
      <w:r>
        <w:rPr>
          <w:rFonts w:eastAsia="Times New Roman"/>
          <w:b/>
          <w:sz w:val="23"/>
          <w:szCs w:val="23"/>
          <w:lang w:eastAsia="en-US"/>
        </w:rPr>
        <w:t>9. Vigência do Contrato:</w:t>
      </w:r>
    </w:p>
    <w:p>
      <w:pPr>
        <w:spacing w:line="276" w:lineRule="auto"/>
        <w:jc w:val="both"/>
        <w:rPr>
          <w:rFonts w:eastAsia="Times New Roman"/>
          <w:sz w:val="23"/>
          <w:szCs w:val="23"/>
          <w:lang w:eastAsia="en-US"/>
        </w:rPr>
      </w:pPr>
      <w:r>
        <w:rPr>
          <w:rStyle w:val="13"/>
          <w:rFonts w:eastAsia="Times New Roman"/>
          <w:b/>
          <w:sz w:val="23"/>
          <w:szCs w:val="23"/>
          <w:lang w:eastAsia="en-US"/>
        </w:rPr>
        <w:t>9.1</w:t>
      </w:r>
      <w:r>
        <w:rPr>
          <w:rStyle w:val="13"/>
          <w:rFonts w:eastAsia="Times New Roman"/>
          <w:sz w:val="23"/>
          <w:szCs w:val="23"/>
          <w:lang w:eastAsia="en-US"/>
        </w:rPr>
        <w:t xml:space="preserve"> O prazo de vigência do Contrato ou documento equivalente, será 12 (doze) meses a partir da data da sua assinatura, podendo ser prorrogado por igual período,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pPr>
        <w:spacing w:line="276" w:lineRule="auto"/>
        <w:jc w:val="both"/>
        <w:rPr>
          <w:rStyle w:val="13"/>
          <w:rFonts w:eastAsia="Times New Roman"/>
          <w:b/>
          <w:sz w:val="23"/>
          <w:szCs w:val="23"/>
          <w:lang w:eastAsia="en-US"/>
        </w:rPr>
      </w:pPr>
      <w:r>
        <w:rPr>
          <w:rFonts w:eastAsia="Times New Roman"/>
          <w:b/>
          <w:sz w:val="23"/>
          <w:szCs w:val="23"/>
          <w:lang w:eastAsia="en-US"/>
        </w:rPr>
        <w:t>10. Das condições de pagamento:</w:t>
      </w:r>
    </w:p>
    <w:p>
      <w:pPr>
        <w:spacing w:line="276" w:lineRule="auto"/>
        <w:jc w:val="both"/>
        <w:rPr>
          <w:rFonts w:eastAsia="Times New Roman"/>
          <w:b/>
          <w:sz w:val="23"/>
          <w:szCs w:val="23"/>
          <w:lang w:eastAsia="en-US"/>
        </w:rPr>
      </w:pPr>
      <w:r>
        <w:rPr>
          <w:rStyle w:val="13"/>
          <w:rFonts w:eastAsia="Times New Roman"/>
          <w:b/>
          <w:sz w:val="23"/>
          <w:szCs w:val="23"/>
          <w:lang w:eastAsia="en-US"/>
        </w:rPr>
        <w:t>10.1</w:t>
      </w:r>
      <w:r>
        <w:rPr>
          <w:rStyle w:val="13"/>
          <w:rFonts w:eastAsia="Times New Roman"/>
          <w:sz w:val="23"/>
          <w:szCs w:val="23"/>
          <w:lang w:eastAsia="en-US"/>
        </w:rPr>
        <w:t xml:space="preserve"> O Órgão efetuará o pagamento à CONTRATADA, através de crédito em conta-corrente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pPr>
        <w:spacing w:line="276" w:lineRule="auto"/>
        <w:jc w:val="both"/>
        <w:rPr>
          <w:rStyle w:val="13"/>
          <w:rFonts w:eastAsia="Arial" w:cs="Arial"/>
          <w:b/>
          <w:sz w:val="23"/>
          <w:szCs w:val="23"/>
          <w:lang w:eastAsia="en-US"/>
        </w:rPr>
      </w:pPr>
      <w:r>
        <w:rPr>
          <w:rFonts w:eastAsia="Times New Roman"/>
          <w:b/>
          <w:sz w:val="23"/>
          <w:szCs w:val="23"/>
          <w:lang w:eastAsia="en-US"/>
        </w:rPr>
        <w:t>11. Da dotação orçamentária:</w:t>
      </w:r>
    </w:p>
    <w:p>
      <w:pPr>
        <w:jc w:val="both"/>
        <w:rPr>
          <w:rFonts w:eastAsia="Arial" w:cs="Arial"/>
          <w:sz w:val="23"/>
          <w:szCs w:val="23"/>
          <w:lang w:eastAsia="en-US"/>
        </w:rPr>
      </w:pPr>
      <w:r>
        <w:rPr>
          <w:rStyle w:val="13"/>
          <w:rFonts w:eastAsia="Arial" w:cs="Arial"/>
          <w:b/>
          <w:sz w:val="23"/>
          <w:szCs w:val="23"/>
          <w:lang w:eastAsia="en-US"/>
        </w:rPr>
        <w:t>11.1</w:t>
      </w:r>
      <w:r>
        <w:rPr>
          <w:rStyle w:val="13"/>
          <w:rFonts w:eastAsia="Arial" w:cs="Arial"/>
          <w:sz w:val="23"/>
          <w:szCs w:val="23"/>
          <w:lang w:eastAsia="en-US"/>
        </w:rPr>
        <w:t>. As despesas oriundas da presente aquisição ocorrerão nas dotações orçamentárias relacionadas abaixo:</w:t>
      </w:r>
    </w:p>
    <w:tbl>
      <w:tblPr>
        <w:tblStyle w:val="14"/>
        <w:tblW w:w="0" w:type="auto"/>
        <w:tblInd w:w="109" w:type="dxa"/>
        <w:tblLayout w:type="fixed"/>
        <w:tblCellMar>
          <w:top w:w="55" w:type="dxa"/>
          <w:left w:w="55" w:type="dxa"/>
          <w:bottom w:w="55" w:type="dxa"/>
          <w:right w:w="55" w:type="dxa"/>
        </w:tblCellMar>
      </w:tblPr>
      <w:tblGrid>
        <w:gridCol w:w="2100"/>
        <w:gridCol w:w="2655"/>
        <w:gridCol w:w="4260"/>
      </w:tblGrid>
      <w:tr>
        <w:tblPrEx>
          <w:tblCellMar>
            <w:top w:w="55" w:type="dxa"/>
            <w:left w:w="55" w:type="dxa"/>
            <w:bottom w:w="55" w:type="dxa"/>
            <w:right w:w="55" w:type="dxa"/>
          </w:tblCellMar>
        </w:tblPrEx>
        <w:tc>
          <w:tcPr>
            <w:tcW w:w="210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Órgão</w:t>
            </w:r>
          </w:p>
        </w:tc>
        <w:tc>
          <w:tcPr>
            <w:tcW w:w="2655"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01</w:t>
            </w:r>
          </w:p>
        </w:tc>
        <w:tc>
          <w:tcPr>
            <w:tcW w:w="4260"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sz w:val="20"/>
                <w:szCs w:val="20"/>
              </w:rPr>
            </w:pPr>
            <w:r>
              <w:rPr>
                <w:sz w:val="20"/>
                <w:szCs w:val="20"/>
              </w:rPr>
              <w:t>CÂMARA MUNICIPAL</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Unidade Orçamentária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01.00.01</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DEPARTAMENTO ADMINISTRATIVO</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Unidade Executora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01.001</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DEPARTAMENTO ADMINISTRATIVO</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Função programática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01.031.0001-1.002</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AQUISIÇÃO DE EQUIPAMENTOS E MATERIAIS PERMANENTES</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Ficha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0002</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spacing w:line="100" w:lineRule="atLeast"/>
              <w:rPr>
                <w:sz w:val="20"/>
                <w:szCs w:val="20"/>
              </w:rPr>
            </w:pPr>
            <w:r>
              <w:rPr>
                <w:sz w:val="20"/>
                <w:szCs w:val="20"/>
              </w:rPr>
              <w:t>Elemento</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4.4.90.52.00</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MATERIAL PERMANENTE</w:t>
            </w:r>
          </w:p>
        </w:tc>
      </w:tr>
    </w:tbl>
    <w:p>
      <w:pPr>
        <w:spacing w:line="100" w:lineRule="atLeast"/>
        <w:jc w:val="both"/>
        <w:rPr>
          <w:rFonts w:eastAsia="Times New Roman"/>
          <w:b/>
          <w:lang w:eastAsia="en-US"/>
        </w:rPr>
      </w:pPr>
    </w:p>
    <w:tbl>
      <w:tblPr>
        <w:tblStyle w:val="14"/>
        <w:tblW w:w="0" w:type="auto"/>
        <w:tblInd w:w="109" w:type="dxa"/>
        <w:tblLayout w:type="fixed"/>
        <w:tblCellMar>
          <w:top w:w="55" w:type="dxa"/>
          <w:left w:w="55" w:type="dxa"/>
          <w:bottom w:w="55" w:type="dxa"/>
          <w:right w:w="55" w:type="dxa"/>
        </w:tblCellMar>
      </w:tblPr>
      <w:tblGrid>
        <w:gridCol w:w="2100"/>
        <w:gridCol w:w="2655"/>
        <w:gridCol w:w="4260"/>
      </w:tblGrid>
      <w:tr>
        <w:tblPrEx>
          <w:tblCellMar>
            <w:top w:w="55" w:type="dxa"/>
            <w:left w:w="55" w:type="dxa"/>
            <w:bottom w:w="55" w:type="dxa"/>
            <w:right w:w="55" w:type="dxa"/>
          </w:tblCellMar>
        </w:tblPrEx>
        <w:tc>
          <w:tcPr>
            <w:tcW w:w="2100" w:type="dxa"/>
            <w:tcBorders>
              <w:top w:val="single" w:color="000000" w:sz="0" w:space="0"/>
              <w:left w:val="single" w:color="000000" w:sz="0" w:space="0"/>
              <w:bottom w:val="single" w:color="000000" w:sz="0" w:space="0"/>
            </w:tcBorders>
            <w:shd w:val="clear" w:color="auto" w:fill="auto"/>
            <w:noWrap w:val="0"/>
            <w:vAlign w:val="top"/>
          </w:tcPr>
          <w:p>
            <w:pPr>
              <w:pStyle w:val="217"/>
              <w:rPr>
                <w:sz w:val="20"/>
                <w:szCs w:val="20"/>
              </w:rPr>
            </w:pPr>
            <w:r>
              <w:rPr>
                <w:sz w:val="20"/>
                <w:szCs w:val="20"/>
              </w:rPr>
              <w:t>Órgão</w:t>
            </w:r>
          </w:p>
        </w:tc>
        <w:tc>
          <w:tcPr>
            <w:tcW w:w="2655" w:type="dxa"/>
            <w:tcBorders>
              <w:top w:val="single" w:color="000000" w:sz="0" w:space="0"/>
              <w:left w:val="single" w:color="000000" w:sz="0" w:space="0"/>
              <w:bottom w:val="single" w:color="000000" w:sz="0" w:space="0"/>
            </w:tcBorders>
            <w:shd w:val="clear" w:color="auto" w:fill="auto"/>
            <w:noWrap w:val="0"/>
            <w:vAlign w:val="top"/>
          </w:tcPr>
          <w:p>
            <w:pPr>
              <w:pStyle w:val="217"/>
              <w:rPr>
                <w:sz w:val="20"/>
                <w:szCs w:val="20"/>
              </w:rPr>
            </w:pPr>
            <w:r>
              <w:rPr>
                <w:sz w:val="20"/>
                <w:szCs w:val="20"/>
              </w:rPr>
              <w:t>01</w:t>
            </w:r>
          </w:p>
        </w:tc>
        <w:tc>
          <w:tcPr>
            <w:tcW w:w="4260"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CÂMARA MUNICIPAL</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Unidade Orçamentária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01.00.01</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DEPARTAMENTO ADMINISTRATIVO</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Unidade Executora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01.001</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DEPARTAMENTO ADMINISTRATIVO</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Função programática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01.031.0001-2.001</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MANUTENÇÃO DEPARTAMENTO ADMINISTRATIVO DA CÂMARA MUNICIPAL</w:t>
            </w: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Ficha</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0012</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p>
        </w:tc>
      </w:tr>
      <w:tr>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Elemento</w:t>
            </w:r>
          </w:p>
        </w:tc>
        <w:tc>
          <w:tcPr>
            <w:tcW w:w="2655" w:type="dxa"/>
            <w:tcBorders>
              <w:left w:val="single" w:color="000000" w:sz="0" w:space="0"/>
              <w:bottom w:val="single" w:color="000000" w:sz="0" w:space="0"/>
            </w:tcBorders>
            <w:shd w:val="clear" w:color="auto" w:fill="auto"/>
            <w:noWrap w:val="0"/>
            <w:vAlign w:val="top"/>
          </w:tcPr>
          <w:p>
            <w:pPr>
              <w:pStyle w:val="217"/>
              <w:rPr>
                <w:sz w:val="20"/>
                <w:szCs w:val="20"/>
              </w:rPr>
            </w:pPr>
            <w:r>
              <w:rPr>
                <w:sz w:val="20"/>
                <w:szCs w:val="20"/>
              </w:rPr>
              <w:t>3.3.90.39.00</w:t>
            </w:r>
          </w:p>
        </w:tc>
        <w:tc>
          <w:tcPr>
            <w:tcW w:w="4260" w:type="dxa"/>
            <w:tcBorders>
              <w:left w:val="single" w:color="000000" w:sz="0" w:space="0"/>
              <w:bottom w:val="single" w:color="000000" w:sz="0" w:space="0"/>
              <w:right w:val="single" w:color="000000" w:sz="0" w:space="0"/>
            </w:tcBorders>
            <w:shd w:val="clear" w:color="auto" w:fill="auto"/>
            <w:noWrap w:val="0"/>
            <w:vAlign w:val="top"/>
          </w:tcPr>
          <w:p>
            <w:pPr>
              <w:pStyle w:val="217"/>
              <w:rPr>
                <w:sz w:val="20"/>
                <w:szCs w:val="20"/>
              </w:rPr>
            </w:pPr>
            <w:r>
              <w:rPr>
                <w:sz w:val="20"/>
                <w:szCs w:val="20"/>
              </w:rPr>
              <w:t>OUTROS SERVIÇOS DE TERCEIROS PESSOA JURÍDICA</w:t>
            </w:r>
          </w:p>
        </w:tc>
      </w:tr>
    </w:tbl>
    <w:p>
      <w:pPr>
        <w:spacing w:line="276" w:lineRule="auto"/>
        <w:jc w:val="both"/>
        <w:rPr>
          <w:rFonts w:eastAsia="Times New Roman"/>
          <w:b/>
          <w:lang w:eastAsia="en-US"/>
        </w:rPr>
      </w:pPr>
    </w:p>
    <w:p>
      <w:pPr>
        <w:spacing w:line="276" w:lineRule="auto"/>
        <w:jc w:val="both"/>
        <w:rPr>
          <w:rStyle w:val="13"/>
          <w:rFonts w:eastAsia="Times New Roman"/>
          <w:b/>
          <w:sz w:val="23"/>
          <w:szCs w:val="23"/>
          <w:lang w:eastAsia="en-US"/>
        </w:rPr>
      </w:pPr>
      <w:r>
        <w:rPr>
          <w:rFonts w:eastAsia="Times New Roman"/>
          <w:b/>
          <w:sz w:val="23"/>
          <w:szCs w:val="23"/>
          <w:lang w:eastAsia="en-US"/>
        </w:rPr>
        <w:t>12. Da Fiscalização: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12.1</w:t>
      </w:r>
      <w:r>
        <w:rPr>
          <w:rStyle w:val="13"/>
          <w:rFonts w:eastAsia="Times New Roman"/>
          <w:sz w:val="23"/>
          <w:szCs w:val="23"/>
          <w:lang w:eastAsia="en-US"/>
        </w:rPr>
        <w:t>. A fiscalização será exercida por um representante da Câmara Municipal de Primavera do Leste, designado pelo Órgão, ao qual competirá dirimir as dúvidas que surgirem e de tudo dará ciência ao credenciante.</w:t>
      </w:r>
    </w:p>
    <w:p>
      <w:pPr>
        <w:spacing w:line="276" w:lineRule="auto"/>
        <w:jc w:val="both"/>
        <w:rPr>
          <w:rFonts w:eastAsia="Times New Roman"/>
          <w:b/>
          <w:sz w:val="23"/>
          <w:szCs w:val="23"/>
          <w:lang w:eastAsia="en-US"/>
        </w:rPr>
      </w:pPr>
      <w:r>
        <w:rPr>
          <w:rStyle w:val="13"/>
          <w:rFonts w:eastAsia="Times New Roman"/>
          <w:b/>
          <w:sz w:val="23"/>
          <w:szCs w:val="23"/>
          <w:lang w:eastAsia="en-US"/>
        </w:rPr>
        <w:t>12.2</w:t>
      </w:r>
      <w:r>
        <w:rPr>
          <w:rStyle w:val="13"/>
          <w:rFonts w:eastAsia="Times New Roman"/>
          <w:sz w:val="23"/>
          <w:szCs w:val="23"/>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pPr>
        <w:spacing w:line="276" w:lineRule="auto"/>
        <w:jc w:val="both"/>
        <w:rPr>
          <w:rStyle w:val="13"/>
          <w:rFonts w:eastAsia="Times New Roman"/>
          <w:b/>
          <w:bCs/>
          <w:sz w:val="23"/>
          <w:szCs w:val="23"/>
          <w:lang w:eastAsia="en-US"/>
        </w:rPr>
      </w:pPr>
      <w:r>
        <w:rPr>
          <w:rFonts w:eastAsia="Times New Roman"/>
          <w:b/>
          <w:sz w:val="23"/>
          <w:szCs w:val="23"/>
          <w:lang w:eastAsia="en-US"/>
        </w:rPr>
        <w:t>13. Dos Casos Omissos:</w:t>
      </w:r>
    </w:p>
    <w:p>
      <w:pPr>
        <w:spacing w:line="276" w:lineRule="auto"/>
        <w:jc w:val="both"/>
        <w:rPr>
          <w:rFonts w:eastAsia="Times New Roman"/>
          <w:b/>
          <w:sz w:val="23"/>
          <w:szCs w:val="23"/>
          <w:lang w:eastAsia="en-US"/>
        </w:rPr>
      </w:pPr>
      <w:r>
        <w:rPr>
          <w:rStyle w:val="13"/>
          <w:rFonts w:eastAsia="Times New Roman"/>
          <w:b/>
          <w:bCs/>
          <w:sz w:val="23"/>
          <w:szCs w:val="23"/>
          <w:lang w:eastAsia="en-US"/>
        </w:rPr>
        <w:t>13.1.</w:t>
      </w:r>
      <w:r>
        <w:rPr>
          <w:rStyle w:val="13"/>
          <w:rFonts w:eastAsia="Times New Roman"/>
          <w:sz w:val="23"/>
          <w:szCs w:val="23"/>
          <w:lang w:eastAsia="en-US"/>
        </w:rPr>
        <w:t xml:space="preserve"> Os casos omissos deverão ser dirimidos de acordo com a Lei 14.133/2021 (artigo 54, XII).</w:t>
      </w:r>
    </w:p>
    <w:p>
      <w:pPr>
        <w:spacing w:line="276" w:lineRule="auto"/>
        <w:jc w:val="both"/>
        <w:rPr>
          <w:rStyle w:val="13"/>
          <w:rFonts w:eastAsia="Times New Roman"/>
          <w:b/>
          <w:sz w:val="23"/>
          <w:szCs w:val="23"/>
          <w:lang w:eastAsia="en-US"/>
        </w:rPr>
      </w:pPr>
      <w:r>
        <w:rPr>
          <w:rFonts w:eastAsia="Times New Roman"/>
          <w:b/>
          <w:sz w:val="23"/>
          <w:szCs w:val="23"/>
          <w:lang w:eastAsia="en-US"/>
        </w:rPr>
        <w:t>14. Do Cancelamento da Ata de Registro de Preços: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w:t>
      </w:r>
      <w:r>
        <w:rPr>
          <w:rStyle w:val="13"/>
          <w:rFonts w:eastAsia="Times New Roman"/>
          <w:sz w:val="23"/>
          <w:szCs w:val="23"/>
          <w:lang w:eastAsia="en-US"/>
        </w:rPr>
        <w:t xml:space="preserve"> O preço registrado poderá ser cancelado nas seguintes hipóteses: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14.1.1</w:t>
      </w:r>
      <w:r>
        <w:rPr>
          <w:rStyle w:val="13"/>
          <w:rFonts w:eastAsia="Times New Roman"/>
          <w:sz w:val="23"/>
          <w:szCs w:val="23"/>
          <w:lang w:eastAsia="en-US"/>
        </w:rPr>
        <w:t>. Pela Administração, no interesse público, ou quando o fornecedor:</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14.1.2</w:t>
      </w:r>
      <w:r>
        <w:rPr>
          <w:rStyle w:val="13"/>
          <w:rFonts w:eastAsia="Times New Roman"/>
          <w:sz w:val="23"/>
          <w:szCs w:val="23"/>
          <w:lang w:eastAsia="en-US"/>
        </w:rPr>
        <w:t>. Não cumprir as exigências da Ata de Registro de Preços;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14.1.3</w:t>
      </w:r>
      <w:r>
        <w:rPr>
          <w:rStyle w:val="13"/>
          <w:rFonts w:eastAsia="Times New Roman"/>
          <w:sz w:val="23"/>
          <w:szCs w:val="23"/>
          <w:lang w:eastAsia="en-US"/>
        </w:rPr>
        <w:t>. Não formalizar Contrato ou documento equivalente (artigo 95, da Lei 14.133/2021) decorrente do Registro de Preços ou não retirar o instrumento equivalente no prazo estabelecido, sem justificativa aceitável;</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14.1.4</w:t>
      </w:r>
      <w:r>
        <w:rPr>
          <w:rStyle w:val="13"/>
          <w:rFonts w:eastAsia="Times New Roman"/>
          <w:sz w:val="23"/>
          <w:szCs w:val="23"/>
          <w:lang w:eastAsia="en-US"/>
        </w:rPr>
        <w:t>. Não aceitar reduzir o preço registrado, na hipótese de se tornar este superior aos praticados no mercado;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14.1.5</w:t>
      </w:r>
      <w:r>
        <w:rPr>
          <w:rStyle w:val="13"/>
          <w:rFonts w:eastAsia="Times New Roman"/>
          <w:sz w:val="23"/>
          <w:szCs w:val="23"/>
          <w:lang w:eastAsia="en-US"/>
        </w:rPr>
        <w:t>. Incorrer em inexecução total ou parcial do contrato ou documento equivalente decorrente do registro de preços;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14.1.6</w:t>
      </w:r>
      <w:r>
        <w:rPr>
          <w:rStyle w:val="13"/>
          <w:rFonts w:eastAsia="Times New Roman"/>
          <w:sz w:val="23"/>
          <w:szCs w:val="23"/>
          <w:lang w:eastAsia="en-US"/>
        </w:rPr>
        <w:t>. O cancelamento do registro de preços por parte da Administração, assegurados a ampla defesa e o contraditório, será formalizado por decisão da autoridade competente.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14.1.7</w:t>
      </w:r>
      <w:r>
        <w:rPr>
          <w:rStyle w:val="13"/>
          <w:rFonts w:eastAsia="Times New Roman"/>
          <w:sz w:val="23"/>
          <w:szCs w:val="23"/>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14.1.8</w:t>
      </w:r>
      <w:r>
        <w:rPr>
          <w:rStyle w:val="13"/>
          <w:rFonts w:eastAsia="Times New Roman"/>
          <w:sz w:val="23"/>
          <w:szCs w:val="23"/>
          <w:lang w:eastAsia="en-US"/>
        </w:rPr>
        <w:t>. Da decisão da autoridade competente se dará conhecimento aos licitantes, mediante o envio de correspondência, com aviso de recebimento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14.1.9</w:t>
      </w:r>
      <w:r>
        <w:rPr>
          <w:rStyle w:val="13"/>
          <w:rFonts w:eastAsia="Times New Roman"/>
          <w:sz w:val="23"/>
          <w:szCs w:val="23"/>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pPr>
        <w:spacing w:line="276" w:lineRule="auto"/>
        <w:jc w:val="both"/>
        <w:rPr>
          <w:rFonts w:eastAsia="Times New Roman"/>
          <w:b/>
          <w:sz w:val="23"/>
          <w:szCs w:val="23"/>
          <w:lang w:eastAsia="en-US"/>
        </w:rPr>
      </w:pPr>
      <w:r>
        <w:rPr>
          <w:rStyle w:val="13"/>
          <w:rFonts w:eastAsia="Times New Roman"/>
          <w:b/>
          <w:sz w:val="23"/>
          <w:szCs w:val="23"/>
          <w:lang w:eastAsia="en-US"/>
        </w:rPr>
        <w:t>14.2</w:t>
      </w:r>
      <w:r>
        <w:rPr>
          <w:rStyle w:val="13"/>
          <w:rFonts w:eastAsia="Times New Roman"/>
          <w:sz w:val="23"/>
          <w:szCs w:val="23"/>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pPr>
        <w:spacing w:line="276" w:lineRule="auto"/>
        <w:jc w:val="both"/>
        <w:rPr>
          <w:rStyle w:val="13"/>
          <w:rFonts w:eastAsia="Times New Roman"/>
          <w:b/>
          <w:sz w:val="23"/>
          <w:szCs w:val="23"/>
          <w:lang w:eastAsia="en-US"/>
        </w:rPr>
      </w:pPr>
      <w:r>
        <w:rPr>
          <w:rFonts w:eastAsia="Times New Roman"/>
          <w:b/>
          <w:sz w:val="23"/>
          <w:szCs w:val="23"/>
          <w:lang w:eastAsia="en-US"/>
        </w:rPr>
        <w:t>15. Das Sanções: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15.1</w:t>
      </w:r>
      <w:r>
        <w:rPr>
          <w:rStyle w:val="13"/>
          <w:rFonts w:eastAsia="Times New Roman"/>
          <w:sz w:val="23"/>
          <w:szCs w:val="23"/>
          <w:lang w:eastAsia="en-US"/>
        </w:rPr>
        <w:t>. O descumprimento injustificado das obrigações assumidas neste Termo de Referência sujeita a adjudicada a multas, consoante o parágrafo único do art. 162 da Lei no 14.133/2021, incidentes sobre o valor da Nota de Empenho, na forma seguinte: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15.1.1</w:t>
      </w:r>
      <w:r>
        <w:rPr>
          <w:rStyle w:val="13"/>
          <w:rFonts w:eastAsia="Times New Roman"/>
          <w:sz w:val="23"/>
          <w:szCs w:val="23"/>
          <w:lang w:eastAsia="en-US"/>
        </w:rPr>
        <w:t>. Atraso acima de 3 (três) dias para a entrega, multa de 1% (um por cento);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15.1.2</w:t>
      </w:r>
      <w:r>
        <w:rPr>
          <w:rStyle w:val="13"/>
          <w:rFonts w:eastAsia="Times New Roman"/>
          <w:sz w:val="23"/>
          <w:szCs w:val="23"/>
          <w:lang w:eastAsia="en-US"/>
        </w:rPr>
        <w:t>. A partir do 6º (sexto) até o limite do 10º (décimo) dia, multa de 4% (quatro por cento), caracterizando-se a inexecução total da obrigação a partir do 11º (décimo primeiro) dia de atraso.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15.2</w:t>
      </w:r>
      <w:r>
        <w:rPr>
          <w:rStyle w:val="13"/>
          <w:rFonts w:eastAsia="Times New Roman"/>
          <w:sz w:val="23"/>
          <w:szCs w:val="23"/>
          <w:lang w:eastAsia="en-US"/>
        </w:rPr>
        <w:t>. Sem prejuízo das sanções cominadas pela inexecução total ou parcial do objeto adjudicado, a Câmara Municipal Primavera do Leste poderá, garantida a prévia e ampla defesa, aplicar à Adjudicada multa de até 10% (dez por cento) sobre o valor homologado.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15.3</w:t>
      </w:r>
      <w:r>
        <w:rPr>
          <w:rStyle w:val="13"/>
          <w:rFonts w:eastAsia="Times New Roman"/>
          <w:sz w:val="23"/>
          <w:szCs w:val="23"/>
          <w:lang w:eastAsia="en-US"/>
        </w:rPr>
        <w:t>. Se a adjudicatária recusar-se a retirar a nota de empenho injustificadamente ou se não apresentar situação regular no ato da feitura da mesma, garantida prévia e ampla defesa, sujeita-se às seguintes penalidades:</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15.3.1</w:t>
      </w:r>
      <w:r>
        <w:rPr>
          <w:rStyle w:val="13"/>
          <w:rFonts w:eastAsia="Times New Roman"/>
          <w:sz w:val="23"/>
          <w:szCs w:val="23"/>
          <w:lang w:eastAsia="en-US"/>
        </w:rPr>
        <w:t>. Multa de até 10% sobre o homologado;</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15.3.2</w:t>
      </w:r>
      <w:r>
        <w:rPr>
          <w:rStyle w:val="13"/>
          <w:rFonts w:eastAsia="Times New Roman"/>
          <w:sz w:val="23"/>
          <w:szCs w:val="23"/>
          <w:lang w:eastAsia="en-US"/>
        </w:rPr>
        <w:t>. Suspensão temporária de participar de licitações e impedimento de contratar com a Administração Pública, por prazo de até 2 (dois) anos, 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15.3.3</w:t>
      </w:r>
      <w:r>
        <w:rPr>
          <w:rStyle w:val="13"/>
          <w:rFonts w:eastAsia="Times New Roman"/>
          <w:sz w:val="23"/>
          <w:szCs w:val="23"/>
          <w:lang w:eastAsia="en-US"/>
        </w:rPr>
        <w:t>. Declaração de inidoneidade para licitar ou contratar com a Administração Pública.</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15.4</w:t>
      </w:r>
      <w:r>
        <w:rPr>
          <w:rStyle w:val="13"/>
          <w:rFonts w:eastAsia="Times New Roman"/>
          <w:sz w:val="23"/>
          <w:szCs w:val="23"/>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15.5</w:t>
      </w:r>
      <w:r>
        <w:rPr>
          <w:rStyle w:val="13"/>
          <w:rFonts w:eastAsia="Times New Roman"/>
          <w:sz w:val="23"/>
          <w:szCs w:val="23"/>
          <w:lang w:eastAsia="en-US"/>
        </w:rPr>
        <w:t>. As multas previstas nesta Seção não eximem a adjudicatária da reparação dos eventuais danos, perdas ou prejuízos que seu ato punível venha causar a Câmara Municipal.</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15.6</w:t>
      </w:r>
      <w:r>
        <w:rPr>
          <w:rStyle w:val="13"/>
          <w:rFonts w:eastAsia="Times New Roman"/>
          <w:sz w:val="23"/>
          <w:szCs w:val="23"/>
          <w:lang w:eastAsia="en-US"/>
        </w:rPr>
        <w:t>. O descumprimento injustificado das obrigações assumidas nos termos do presente Termo sujeita a Contratada a multas e alterações, incidentes sobre o valor da Nota de Empenho, na forma seguinte:</w:t>
      </w:r>
    </w:p>
    <w:p>
      <w:pPr>
        <w:spacing w:line="276" w:lineRule="auto"/>
        <w:jc w:val="both"/>
        <w:rPr>
          <w:rStyle w:val="13"/>
          <w:rFonts w:eastAsia="Times New Roman"/>
          <w:b/>
          <w:sz w:val="23"/>
          <w:szCs w:val="23"/>
          <w:lang w:eastAsia="en-US"/>
        </w:rPr>
      </w:pPr>
      <w:r>
        <w:rPr>
          <w:rStyle w:val="13"/>
          <w:rFonts w:eastAsia="Times New Roman"/>
          <w:b/>
          <w:sz w:val="23"/>
          <w:szCs w:val="23"/>
          <w:lang w:eastAsia="en-US"/>
        </w:rPr>
        <w:t>15.7</w:t>
      </w:r>
      <w:r>
        <w:rPr>
          <w:rStyle w:val="13"/>
          <w:rFonts w:eastAsia="Times New Roman"/>
          <w:sz w:val="23"/>
          <w:szCs w:val="23"/>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pPr>
        <w:spacing w:line="276" w:lineRule="auto"/>
        <w:jc w:val="both"/>
        <w:rPr>
          <w:rFonts w:eastAsia="Times New Roman" w:cs="Arial"/>
          <w:b/>
          <w:bCs/>
          <w:color w:val="000000"/>
          <w:sz w:val="23"/>
          <w:szCs w:val="23"/>
          <w:lang w:eastAsia="en-US"/>
        </w:rPr>
      </w:pPr>
      <w:r>
        <w:rPr>
          <w:rStyle w:val="13"/>
          <w:rFonts w:eastAsia="Times New Roman"/>
          <w:b/>
          <w:sz w:val="23"/>
          <w:szCs w:val="23"/>
          <w:lang w:eastAsia="en-US"/>
        </w:rPr>
        <w:t>15.8</w:t>
      </w:r>
      <w:r>
        <w:rPr>
          <w:rStyle w:val="13"/>
          <w:rFonts w:eastAsia="Times New Roman"/>
          <w:sz w:val="23"/>
          <w:szCs w:val="23"/>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pPr>
        <w:pStyle w:val="215"/>
        <w:widowControl w:val="0"/>
        <w:tabs>
          <w:tab w:val="left" w:pos="-63"/>
        </w:tabs>
        <w:spacing w:before="0" w:after="120" w:line="276" w:lineRule="auto"/>
        <w:ind w:left="0" w:right="170" w:firstLine="0"/>
        <w:rPr>
          <w:rStyle w:val="13"/>
          <w:rFonts w:cs="Arial"/>
          <w:b/>
          <w:bCs/>
          <w:color w:val="000000"/>
          <w:sz w:val="23"/>
          <w:szCs w:val="23"/>
        </w:rPr>
      </w:pPr>
      <w:r>
        <w:rPr>
          <w:rStyle w:val="13"/>
          <w:rFonts w:eastAsia="Times New Roman" w:cs="Arial"/>
          <w:b/>
          <w:bCs/>
          <w:color w:val="000000"/>
          <w:sz w:val="23"/>
          <w:szCs w:val="23"/>
          <w:lang w:eastAsia="en-US"/>
        </w:rPr>
        <w:t>16. Da documentação exigida para habilitação</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16.1 Habilitação jurídica:</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16.1.1 </w:t>
      </w:r>
      <w:r>
        <w:rPr>
          <w:rStyle w:val="13"/>
          <w:rFonts w:cs="Arial"/>
          <w:color w:val="000000"/>
          <w:sz w:val="23"/>
          <w:szCs w:val="23"/>
        </w:rPr>
        <w:t>no caso de empresário individual, inscrição no Registro Público de Empresas Mercantis, a cargo da Junta Comercial da respectiva sede;</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16.1.2</w:t>
      </w:r>
      <w:r>
        <w:rPr>
          <w:rStyle w:val="13"/>
          <w:rFonts w:cs="Arial"/>
          <w:color w:val="000000"/>
          <w:sz w:val="23"/>
          <w:szCs w:val="23"/>
        </w:rPr>
        <w:t xml:space="preserve"> Em se tratando de Microempreendedor Individual – MEI: Certificado da Condição de Microempreendedor Individual - CCMEI, cuja aceitação ficará condicionada à verificação da autenticidade no sítio www.portaldoempreendedor.gov.br;</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16.1.3 </w:t>
      </w:r>
      <w:r>
        <w:rPr>
          <w:rStyle w:val="13"/>
          <w:rFonts w:cs="Arial"/>
          <w:color w:val="000000"/>
          <w:sz w:val="23"/>
          <w:szCs w:val="23"/>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16.1.4 </w:t>
      </w:r>
      <w:r>
        <w:rPr>
          <w:rStyle w:val="13"/>
          <w:rFonts w:cs="Arial"/>
          <w:color w:val="000000"/>
          <w:sz w:val="23"/>
          <w:szCs w:val="23"/>
        </w:rPr>
        <w:t>inscrição no Registro Público de Empresas Mercantis onde opera, com averbação no Registro onde tem sede a matriz, no caso de ser o participante sucursal, filial ou agência;</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16.1.5</w:t>
      </w:r>
      <w:r>
        <w:rPr>
          <w:rStyle w:val="13"/>
          <w:rFonts w:cs="Arial"/>
          <w:color w:val="000000"/>
          <w:sz w:val="23"/>
          <w:szCs w:val="23"/>
        </w:rPr>
        <w:t xml:space="preserve"> No caso de sociedade simples: inscrição do ato constitutivo no Registro Civil das Pessoas Jurídicas do local de sua sede, acompanhada de prova da indicação dos seus administradores;</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16.1.6 </w:t>
      </w:r>
      <w:r>
        <w:rPr>
          <w:rStyle w:val="13"/>
          <w:rFonts w:cs="Arial"/>
          <w:color w:val="000000"/>
          <w:sz w:val="23"/>
          <w:szCs w:val="23"/>
        </w:rPr>
        <w:t>decreto de autorização, em se tratando de sociedade empresária estrangeira em funcionamento no País;</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16.1.7 </w:t>
      </w:r>
      <w:r>
        <w:rPr>
          <w:rStyle w:val="13"/>
          <w:rFonts w:cs="Arial"/>
          <w:color w:val="000000"/>
          <w:sz w:val="23"/>
          <w:szCs w:val="23"/>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16.1.8 </w:t>
      </w:r>
      <w:r>
        <w:rPr>
          <w:rStyle w:val="13"/>
          <w:rFonts w:cs="Arial"/>
          <w:color w:val="000000"/>
          <w:sz w:val="23"/>
          <w:szCs w:val="23"/>
        </w:rPr>
        <w:t>Os documentos acima deverão estar acompanhados de todas as alterações ou da consolidação respectiva.</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16.2 Regularidade fiscal, social e trabalhista:</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16.2.1</w:t>
      </w:r>
      <w:r>
        <w:rPr>
          <w:rStyle w:val="13"/>
          <w:rFonts w:cs="Arial"/>
          <w:color w:val="000000"/>
          <w:sz w:val="23"/>
          <w:szCs w:val="23"/>
        </w:rPr>
        <w:t xml:space="preserve"> prova de inscrição no Cadastro Nacional de Pessoas Jurídicas ou no Cadastro de Pessoas Físicas, conforme o caso;</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16.2.2</w:t>
      </w:r>
      <w:r>
        <w:rPr>
          <w:rStyle w:val="13"/>
          <w:rFonts w:cs="Arial"/>
          <w:color w:val="000000"/>
          <w:sz w:val="23"/>
          <w:szCs w:val="23"/>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16.2.3 </w:t>
      </w:r>
      <w:r>
        <w:rPr>
          <w:rStyle w:val="13"/>
          <w:rFonts w:cs="Arial"/>
          <w:color w:val="000000"/>
          <w:sz w:val="23"/>
          <w:szCs w:val="23"/>
        </w:rPr>
        <w:t>prova de regularidade com o Fundo de Garantia do Tempo de Serviço (FGTS);</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16.2.4</w:t>
      </w:r>
      <w:r>
        <w:rPr>
          <w:rStyle w:val="13"/>
          <w:rFonts w:cs="Arial"/>
          <w:color w:val="000000"/>
          <w:sz w:val="23"/>
          <w:szCs w:val="23"/>
        </w:rPr>
        <w:t xml:space="preserve"> provas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16.2.5 </w:t>
      </w:r>
      <w:r>
        <w:rPr>
          <w:rStyle w:val="13"/>
          <w:rFonts w:cs="Arial"/>
          <w:color w:val="000000"/>
          <w:sz w:val="23"/>
          <w:szCs w:val="23"/>
        </w:rPr>
        <w:t>prova de inscrição no cadastro de contribuintes estadual e municipal, relativo ao domicílio ou sede do fornecedor, pertinente ao seu ramo de atividade e compatível com o objeto contratual;</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 xml:space="preserve">16.2.6 </w:t>
      </w:r>
      <w:r>
        <w:rPr>
          <w:rStyle w:val="13"/>
          <w:rFonts w:cs="Arial"/>
          <w:color w:val="000000"/>
          <w:sz w:val="23"/>
          <w:szCs w:val="23"/>
        </w:rPr>
        <w:t>prova de regularidade com a Fazenda Estadual e Municipal do domicílio ou sede do fornecedor, relativa à atividade em cujo exercício contrata ou concorre;</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16.2.7</w:t>
      </w:r>
      <w:r>
        <w:rPr>
          <w:rStyle w:val="13"/>
          <w:rFonts w:cs="Arial"/>
          <w:color w:val="000000"/>
          <w:sz w:val="23"/>
          <w:szCs w:val="23"/>
        </w:rPr>
        <w:t xml:space="preserve"> caso o fornecedor seja considerado isento dos tributos estaduais e municipais relacionados ao objeto contratual, deverá comprovar tal condição mediante a apresentação de declaração da Fazenda respectiva do seu domicílio ou sede, ou outra equivalente, na forma da lei;</w:t>
      </w:r>
    </w:p>
    <w:p>
      <w:pPr>
        <w:pStyle w:val="215"/>
        <w:widowControl w:val="0"/>
        <w:tabs>
          <w:tab w:val="left" w:pos="142"/>
        </w:tabs>
        <w:spacing w:before="0" w:after="120" w:line="276" w:lineRule="auto"/>
        <w:ind w:left="0" w:right="200" w:firstLine="0"/>
        <w:jc w:val="both"/>
        <w:textAlignment w:val="auto"/>
        <w:rPr>
          <w:rStyle w:val="13"/>
          <w:rFonts w:cs="Arial"/>
          <w:b/>
          <w:bCs/>
          <w:color w:val="000000"/>
          <w:sz w:val="23"/>
          <w:szCs w:val="23"/>
        </w:rPr>
      </w:pPr>
      <w:r>
        <w:rPr>
          <w:rStyle w:val="13"/>
          <w:rFonts w:cs="Arial"/>
          <w:b/>
          <w:bCs/>
          <w:color w:val="000000"/>
          <w:sz w:val="23"/>
          <w:szCs w:val="23"/>
        </w:rPr>
        <w:t>16.3</w:t>
      </w:r>
      <w:r>
        <w:rPr>
          <w:rStyle w:val="13"/>
          <w:rFonts w:cs="Arial"/>
          <w:b/>
          <w:bCs/>
          <w:color w:val="000000"/>
          <w:sz w:val="23"/>
          <w:szCs w:val="23"/>
        </w:rPr>
        <w:tab/>
      </w:r>
      <w:r>
        <w:rPr>
          <w:rStyle w:val="13"/>
          <w:rFonts w:cs="Arial"/>
          <w:b/>
          <w:bCs/>
          <w:color w:val="000000"/>
          <w:sz w:val="23"/>
          <w:szCs w:val="23"/>
        </w:rPr>
        <w:t xml:space="preserve"> Regularidade Técnica:</w:t>
      </w:r>
    </w:p>
    <w:p>
      <w:pPr>
        <w:pStyle w:val="215"/>
        <w:widowControl w:val="0"/>
        <w:tabs>
          <w:tab w:val="left" w:pos="142"/>
        </w:tabs>
        <w:spacing w:before="0" w:after="120" w:line="276" w:lineRule="auto"/>
        <w:ind w:left="0" w:right="200" w:firstLine="0"/>
        <w:jc w:val="both"/>
        <w:textAlignment w:val="auto"/>
        <w:rPr>
          <w:rStyle w:val="13"/>
          <w:rFonts w:cs="Times New Roman"/>
          <w:b/>
          <w:bCs/>
          <w:color w:val="000000"/>
          <w:sz w:val="23"/>
          <w:szCs w:val="23"/>
        </w:rPr>
      </w:pPr>
      <w:r>
        <w:rPr>
          <w:rStyle w:val="13"/>
          <w:rFonts w:cs="Arial"/>
          <w:b/>
          <w:bCs/>
          <w:color w:val="000000"/>
          <w:sz w:val="23"/>
          <w:szCs w:val="23"/>
        </w:rPr>
        <w:t xml:space="preserve">16.3.1 </w:t>
      </w:r>
      <w:r>
        <w:rPr>
          <w:rStyle w:val="13"/>
          <w:rFonts w:cs="Times New Roman"/>
          <w:color w:val="000000"/>
          <w:sz w:val="23"/>
          <w:szCs w:val="23"/>
        </w:rPr>
        <w:t>Prova de Registro ou Inscrição da licitante no CREA (Conselho Regional de Engenharia e Agronomia) da região da sede da empresa, bem como emissão de ART(Anotação de responsabilidade técnica);</w:t>
      </w:r>
    </w:p>
    <w:p>
      <w:pPr>
        <w:pStyle w:val="215"/>
        <w:widowControl w:val="0"/>
        <w:tabs>
          <w:tab w:val="left" w:pos="142"/>
        </w:tabs>
        <w:spacing w:before="0" w:after="120" w:line="276" w:lineRule="auto"/>
        <w:ind w:left="0" w:right="200" w:firstLine="0"/>
        <w:jc w:val="both"/>
        <w:textAlignment w:val="auto"/>
        <w:rPr>
          <w:rFonts w:cs="Times New Roman"/>
          <w:color w:val="000000"/>
          <w:sz w:val="23"/>
          <w:szCs w:val="23"/>
        </w:rPr>
      </w:pPr>
      <w:r>
        <w:rPr>
          <w:rStyle w:val="13"/>
          <w:rFonts w:cs="Times New Roman"/>
          <w:b/>
          <w:bCs/>
          <w:color w:val="000000"/>
          <w:sz w:val="23"/>
          <w:szCs w:val="23"/>
        </w:rPr>
        <w:t>16.3.2</w:t>
      </w:r>
      <w:r>
        <w:rPr>
          <w:rStyle w:val="13"/>
          <w:rFonts w:cs="Times New Roman"/>
          <w:color w:val="000000"/>
          <w:sz w:val="23"/>
          <w:szCs w:val="23"/>
        </w:rPr>
        <w:t xml:space="preserve"> Prova de vínculo do Responsável Técnico com a empresa licitante. A comprovação pode ser feita da seguinte forma:</w:t>
      </w:r>
    </w:p>
    <w:p>
      <w:pPr>
        <w:pStyle w:val="215"/>
        <w:widowControl w:val="0"/>
        <w:tabs>
          <w:tab w:val="left" w:pos="142"/>
        </w:tabs>
        <w:spacing w:before="0" w:after="120" w:line="276" w:lineRule="auto"/>
        <w:ind w:left="0" w:right="200" w:firstLine="0"/>
        <w:jc w:val="both"/>
        <w:textAlignment w:val="auto"/>
        <w:rPr>
          <w:rFonts w:cs="Times New Roman"/>
          <w:color w:val="000000"/>
          <w:sz w:val="23"/>
          <w:szCs w:val="23"/>
        </w:rPr>
      </w:pPr>
      <w:r>
        <w:rPr>
          <w:rFonts w:cs="Times New Roman"/>
          <w:color w:val="000000"/>
          <w:sz w:val="23"/>
          <w:szCs w:val="23"/>
        </w:rPr>
        <w:t>I. Apresentação do contrato social, quando o responsável técnico pertencer ao quadro societário da empresa;</w:t>
      </w:r>
    </w:p>
    <w:p>
      <w:pPr>
        <w:pStyle w:val="215"/>
        <w:widowControl w:val="0"/>
        <w:tabs>
          <w:tab w:val="left" w:pos="142"/>
        </w:tabs>
        <w:spacing w:before="0" w:after="120" w:line="276" w:lineRule="auto"/>
        <w:ind w:left="0" w:right="200" w:firstLine="0"/>
        <w:jc w:val="both"/>
        <w:textAlignment w:val="auto"/>
        <w:rPr>
          <w:rFonts w:cs="Times New Roman"/>
          <w:color w:val="000000"/>
          <w:sz w:val="23"/>
          <w:szCs w:val="23"/>
        </w:rPr>
      </w:pPr>
      <w:r>
        <w:rPr>
          <w:rFonts w:cs="Times New Roman"/>
          <w:color w:val="000000"/>
          <w:sz w:val="23"/>
          <w:szCs w:val="23"/>
        </w:rPr>
        <w:t>II. Apresentação de cópia da CTPS do responsável técnico com a devida anotação de emprego na licitante, ou outro documento trabalhista legalmente reconhecido que comprove o emprego na licitante;</w:t>
      </w:r>
    </w:p>
    <w:p>
      <w:pPr>
        <w:pStyle w:val="215"/>
        <w:widowControl w:val="0"/>
        <w:tabs>
          <w:tab w:val="left" w:pos="142"/>
        </w:tabs>
        <w:spacing w:before="0" w:after="120" w:line="276" w:lineRule="auto"/>
        <w:ind w:left="0" w:right="200" w:firstLine="0"/>
        <w:jc w:val="both"/>
        <w:textAlignment w:val="auto"/>
        <w:rPr>
          <w:rStyle w:val="13"/>
          <w:rFonts w:cs="Times New Roman"/>
          <w:b/>
          <w:bCs/>
          <w:color w:val="000000"/>
          <w:sz w:val="23"/>
          <w:szCs w:val="23"/>
        </w:rPr>
      </w:pPr>
      <w:r>
        <w:rPr>
          <w:rFonts w:cs="Times New Roman"/>
          <w:color w:val="000000"/>
          <w:sz w:val="23"/>
          <w:szCs w:val="23"/>
        </w:rPr>
        <w:t>III. Apresentação do Contrato de natureza privada, que comprove o vínculo entre o responsável técnico e a licitantes.</w:t>
      </w:r>
    </w:p>
    <w:p>
      <w:pPr>
        <w:pStyle w:val="215"/>
        <w:widowControl w:val="0"/>
        <w:tabs>
          <w:tab w:val="left" w:pos="142"/>
        </w:tabs>
        <w:spacing w:before="0" w:after="120" w:line="276" w:lineRule="auto"/>
        <w:ind w:left="0" w:right="200" w:firstLine="0"/>
        <w:jc w:val="both"/>
        <w:textAlignment w:val="auto"/>
        <w:rPr>
          <w:rStyle w:val="13"/>
          <w:rFonts w:cs="Times New Roman"/>
          <w:b/>
          <w:bCs/>
          <w:color w:val="000000"/>
          <w:sz w:val="23"/>
          <w:szCs w:val="23"/>
        </w:rPr>
      </w:pPr>
      <w:r>
        <w:rPr>
          <w:rStyle w:val="13"/>
          <w:rFonts w:cs="Times New Roman"/>
          <w:b/>
          <w:bCs/>
          <w:color w:val="000000"/>
          <w:sz w:val="23"/>
          <w:szCs w:val="23"/>
        </w:rPr>
        <w:t xml:space="preserve">16.3.3 </w:t>
      </w:r>
      <w:r>
        <w:rPr>
          <w:rStyle w:val="13"/>
          <w:rFonts w:cs="Times New Roman"/>
          <w:color w:val="000000"/>
          <w:sz w:val="23"/>
          <w:szCs w:val="23"/>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pPr>
        <w:pStyle w:val="215"/>
        <w:widowControl w:val="0"/>
        <w:tabs>
          <w:tab w:val="left" w:pos="142"/>
        </w:tabs>
        <w:spacing w:before="0" w:after="120" w:line="276" w:lineRule="auto"/>
        <w:ind w:left="0" w:right="200" w:firstLine="0"/>
        <w:jc w:val="both"/>
        <w:textAlignment w:val="auto"/>
        <w:rPr>
          <w:rStyle w:val="13"/>
          <w:rFonts w:eastAsia="Calibri" w:cs="Times New Roman"/>
          <w:color w:val="000000"/>
          <w:sz w:val="23"/>
          <w:szCs w:val="23"/>
        </w:rPr>
      </w:pPr>
      <w:r>
        <w:rPr>
          <w:rStyle w:val="13"/>
          <w:rFonts w:cs="Times New Roman"/>
          <w:b/>
          <w:bCs/>
          <w:color w:val="000000"/>
          <w:sz w:val="23"/>
          <w:szCs w:val="23"/>
        </w:rPr>
        <w:t>I6.3.4</w:t>
      </w:r>
      <w:r>
        <w:rPr>
          <w:rStyle w:val="13"/>
          <w:rFonts w:cs="Times New Roman"/>
          <w:color w:val="000000"/>
          <w:sz w:val="23"/>
          <w:szCs w:val="23"/>
        </w:rPr>
        <w:t xml:space="preserve"> </w:t>
      </w:r>
      <w:r>
        <w:rPr>
          <w:rStyle w:val="13"/>
          <w:rFonts w:eastAsia="Calibri" w:cs="Times New Roman"/>
          <w:color w:val="000000"/>
          <w:sz w:val="23"/>
          <w:szCs w:val="23"/>
        </w:rPr>
        <w:t>A Câmara de Primavera do Leste para comprovar a veracidade dos atestados, poderá requisitar cópias dos respectivos contratos e aditivos e/ou outros documentos comprobatórios do conteúdo declarado.</w:t>
      </w:r>
    </w:p>
    <w:p>
      <w:pPr>
        <w:pStyle w:val="215"/>
        <w:widowControl w:val="0"/>
        <w:tabs>
          <w:tab w:val="left" w:pos="142"/>
        </w:tabs>
        <w:spacing w:before="0" w:after="120" w:line="276" w:lineRule="auto"/>
        <w:ind w:left="0" w:right="200" w:firstLine="0"/>
        <w:jc w:val="both"/>
        <w:textAlignment w:val="auto"/>
        <w:rPr>
          <w:rStyle w:val="13"/>
          <w:rFonts w:eastAsia="Calibri" w:cs="Times New Roman"/>
          <w:color w:val="000000"/>
          <w:sz w:val="23"/>
          <w:szCs w:val="23"/>
        </w:rPr>
      </w:pPr>
    </w:p>
    <w:p>
      <w:pPr>
        <w:spacing w:line="360" w:lineRule="auto"/>
        <w:jc w:val="right"/>
        <w:rPr>
          <w:sz w:val="23"/>
          <w:szCs w:val="23"/>
        </w:rPr>
      </w:pPr>
      <w:r>
        <w:rPr>
          <w:rStyle w:val="13"/>
          <w:rFonts w:eastAsia="Times New Roman"/>
          <w:sz w:val="23"/>
          <w:szCs w:val="23"/>
          <w:lang w:eastAsia="en-US"/>
        </w:rPr>
        <w:t>Primavera do Leste MT, 26 de março de 2024.</w:t>
      </w:r>
    </w:p>
    <w:p>
      <w:pPr>
        <w:spacing w:line="240" w:lineRule="auto"/>
        <w:jc w:val="center"/>
        <w:rPr>
          <w:sz w:val="23"/>
          <w:szCs w:val="23"/>
        </w:rPr>
      </w:pPr>
    </w:p>
    <w:p>
      <w:pPr>
        <w:spacing w:line="240" w:lineRule="auto"/>
        <w:jc w:val="center"/>
        <w:rPr>
          <w:rStyle w:val="13"/>
          <w:rFonts w:eastAsia="Times New Roman"/>
          <w:b/>
          <w:color w:val="000000"/>
          <w:sz w:val="23"/>
          <w:szCs w:val="23"/>
          <w:lang w:eastAsia="en-US"/>
        </w:rPr>
      </w:pPr>
      <w:r>
        <w:rPr>
          <w:rFonts w:hint="default"/>
          <w:sz w:val="23"/>
          <w:szCs w:val="23"/>
          <w:lang w:val="pt-BR"/>
        </w:rPr>
        <w:t>______________________________</w:t>
      </w:r>
      <w:r>
        <w:rPr>
          <w:sz w:val="23"/>
          <w:szCs w:val="23"/>
        </w:rPr>
        <w:br w:type="textWrapping"/>
      </w:r>
      <w:r>
        <w:rPr>
          <w:sz w:val="23"/>
          <w:szCs w:val="23"/>
        </w:rPr>
        <w:t>Jeferson Soliman</w:t>
      </w:r>
      <w:r>
        <w:rPr>
          <w:sz w:val="23"/>
          <w:szCs w:val="23"/>
        </w:rPr>
        <w:br w:type="textWrapping"/>
      </w:r>
      <w:r>
        <w:rPr>
          <w:rStyle w:val="13"/>
          <w:rFonts w:eastAsia="Times New Roman"/>
          <w:b/>
          <w:color w:val="000000"/>
          <w:sz w:val="23"/>
          <w:szCs w:val="23"/>
          <w:lang w:eastAsia="en-US"/>
        </w:rPr>
        <w:t>Tecnologia da Informação (TI)</w:t>
      </w: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spacing w:line="240" w:lineRule="auto"/>
        <w:jc w:val="center"/>
        <w:rPr>
          <w:rStyle w:val="13"/>
          <w:rFonts w:eastAsia="Times New Roman"/>
          <w:b/>
          <w:color w:val="000000"/>
          <w:sz w:val="23"/>
          <w:szCs w:val="23"/>
          <w:lang w:eastAsia="en-US"/>
        </w:rPr>
      </w:pPr>
    </w:p>
    <w:p>
      <w:pPr>
        <w:pStyle w:val="180"/>
        <w:keepNext w:val="0"/>
        <w:keepLines w:val="0"/>
        <w:pageBreakBefore w:val="0"/>
        <w:widowControl/>
        <w:overflowPunct w:val="0"/>
        <w:bidi w:val="0"/>
        <w:snapToGrid/>
        <w:spacing w:line="216" w:lineRule="auto"/>
        <w:jc w:val="both"/>
        <w:textAlignment w:val="auto"/>
      </w:pPr>
    </w:p>
    <w:p>
      <w:pPr>
        <w:pStyle w:val="180"/>
        <w:keepNext w:val="0"/>
        <w:keepLines w:val="0"/>
        <w:pageBreakBefore w:val="0"/>
        <w:widowControl/>
        <w:overflowPunct w:val="0"/>
        <w:bidi w:val="0"/>
        <w:snapToGrid/>
        <w:spacing w:line="216" w:lineRule="auto"/>
        <w:jc w:val="both"/>
        <w:textAlignment w:val="auto"/>
      </w:pPr>
    </w:p>
    <w:p>
      <w:pPr>
        <w:pStyle w:val="2"/>
        <w:numPr>
          <w:ilvl w:val="0"/>
          <w:numId w:val="0"/>
        </w:numPr>
        <w:spacing w:before="0" w:after="120"/>
        <w:ind w:left="0" w:firstLine="0"/>
        <w:rPr>
          <w:rFonts w:ascii="Times New Roman" w:hAnsi="Times New Roman"/>
        </w:rPr>
      </w:pPr>
      <w:bookmarkStart w:id="59" w:name="_ANEXO_I_-_1"/>
      <w:bookmarkEnd w:id="59"/>
      <w:bookmarkStart w:id="60" w:name="_Toc149517467"/>
      <w:r>
        <w:t>ANEXO II - MODELO DE DECLARAÇÕES</w:t>
      </w:r>
      <w:bookmarkEnd w:id="60"/>
    </w:p>
    <w:p>
      <w:pPr>
        <w:pStyle w:val="49"/>
        <w:tabs>
          <w:tab w:val="left" w:pos="1134"/>
        </w:tabs>
        <w:spacing w:before="120" w:beforeAutospacing="0" w:after="120" w:afterAutospacing="0"/>
        <w:jc w:val="center"/>
        <w:textAlignment w:val="baseline"/>
        <w:rPr>
          <w:rFonts w:ascii="Times New Roman" w:hAnsi="Times New Roman"/>
        </w:rPr>
      </w:pPr>
    </w:p>
    <w:p>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pPr>
        <w:pStyle w:val="49"/>
        <w:tabs>
          <w:tab w:val="left" w:pos="1134"/>
        </w:tabs>
        <w:spacing w:before="120" w:beforeAutospacing="0" w:after="120" w:afterAutospacing="0"/>
        <w:ind w:firstLine="567"/>
        <w:jc w:val="both"/>
        <w:textAlignment w:val="baseline"/>
        <w:rPr>
          <w:rFonts w:ascii="Times New Roman" w:hAnsi="Times New Roman"/>
        </w:rPr>
      </w:pPr>
    </w:p>
    <w:p>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 xml:space="preserve">Edital de Pregão Eletrônico nº </w:t>
      </w:r>
      <w:r>
        <w:rPr>
          <w:rFonts w:hint="default"/>
          <w:lang w:val="pt-BR"/>
        </w:rPr>
        <w:t>010</w:t>
      </w:r>
      <w:r>
        <w:rPr>
          <w:lang w:val="pt-BR"/>
        </w:rPr>
        <w:t>/2024</w:t>
      </w:r>
      <w:r>
        <w:rPr>
          <w:rFonts w:hint="default"/>
          <w:lang w:val="pt-BR"/>
        </w:rPr>
        <w:t>.</w:t>
      </w:r>
    </w:p>
    <w:p>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pPr>
        <w:pStyle w:val="49"/>
        <w:tabs>
          <w:tab w:val="left" w:pos="1134"/>
        </w:tabs>
        <w:spacing w:before="120" w:beforeAutospacing="0" w:after="120" w:afterAutospacing="0"/>
        <w:ind w:firstLine="567"/>
        <w:jc w:val="both"/>
        <w:textAlignment w:val="baseline"/>
        <w:rPr>
          <w:rFonts w:ascii="Times New Roman" w:hAnsi="Times New Roman"/>
        </w:rPr>
      </w:pPr>
    </w:p>
    <w:p>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pPr>
        <w:pStyle w:val="49"/>
        <w:tabs>
          <w:tab w:val="left" w:pos="1134"/>
        </w:tabs>
        <w:spacing w:before="120" w:beforeAutospacing="0" w:after="120" w:afterAutospacing="0"/>
        <w:ind w:firstLine="567"/>
        <w:jc w:val="both"/>
        <w:textAlignment w:val="baseline"/>
        <w:rPr>
          <w:rFonts w:ascii="Times New Roman" w:hAnsi="Times New Roman"/>
        </w:rPr>
      </w:pPr>
    </w:p>
    <w:p>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pPr>
        <w:rPr>
          <w:rFonts w:ascii="Times New Roman" w:hAnsi="Times New Roman" w:eastAsia="Times New Roman" w:cs="Times New Roman"/>
          <w:sz w:val="24"/>
          <w:szCs w:val="24"/>
          <w:lang w:eastAsia="pt-BR"/>
        </w:rPr>
      </w:pPr>
      <w:r>
        <w:br w:type="page"/>
      </w:r>
    </w:p>
    <w:p>
      <w:pPr>
        <w:pStyle w:val="2"/>
        <w:numPr>
          <w:ilvl w:val="0"/>
          <w:numId w:val="0"/>
        </w:numPr>
        <w:spacing w:before="0" w:after="120"/>
        <w:ind w:left="0" w:firstLine="0"/>
        <w:rPr>
          <w:rFonts w:ascii="Times New Roman" w:hAnsi="Times New Roman"/>
        </w:rPr>
      </w:pPr>
      <w:bookmarkStart w:id="61" w:name="_Toc149517468"/>
      <w:r>
        <w:t>ANEXO III - MODELO DE PROPOSTA</w:t>
      </w:r>
      <w:bookmarkEnd w:id="61"/>
    </w:p>
    <w:p>
      <w:pPr>
        <w:pStyle w:val="49"/>
        <w:tabs>
          <w:tab w:val="left" w:pos="1134"/>
        </w:tabs>
        <w:spacing w:before="120" w:beforeAutospacing="0" w:after="120" w:afterAutospacing="0"/>
        <w:jc w:val="center"/>
        <w:textAlignment w:val="baseline"/>
        <w:rPr>
          <w:rFonts w:ascii="Times New Roman" w:hAnsi="Times New Roman"/>
        </w:rPr>
      </w:pPr>
    </w:p>
    <w:p>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pPr>
        <w:spacing w:before="0" w:after="0" w:line="240" w:lineRule="auto"/>
        <w:jc w:val="both"/>
        <w:rPr>
          <w:rFonts w:ascii="Times New Roman" w:hAnsi="Times New Roman"/>
        </w:rPr>
      </w:pPr>
      <w:r>
        <w:rPr>
          <w:rFonts w:ascii="Times New Roman" w:hAnsi="Times New Roman" w:cs="Times New Roman"/>
          <w:sz w:val="24"/>
          <w:szCs w:val="24"/>
        </w:rPr>
        <w:t>À</w:t>
      </w:r>
    </w:p>
    <w:p>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Pregão Eletrônico nº 010/2024</w:t>
      </w:r>
    </w:p>
    <w:p>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pPr>
        <w:spacing w:before="0" w:after="0" w:line="240" w:lineRule="auto"/>
        <w:jc w:val="both"/>
        <w:rPr>
          <w:rFonts w:ascii="Times New Roman" w:hAnsi="Times New Roman" w:cs="Times New Roman"/>
          <w:sz w:val="24"/>
          <w:szCs w:val="24"/>
        </w:rPr>
      </w:pPr>
    </w:p>
    <w:p>
      <w:pPr>
        <w:jc w:val="center"/>
        <w:rPr>
          <w:rFonts w:ascii="Times New Roman" w:hAnsi="Times New Roman"/>
        </w:rPr>
      </w:pPr>
      <w:r>
        <w:rPr>
          <w:rFonts w:ascii="Times New Roman" w:hAnsi="Times New Roman" w:cs="Times New Roman"/>
          <w:b/>
          <w:bCs/>
          <w:sz w:val="24"/>
          <w:szCs w:val="24"/>
          <w:u w:val="single"/>
        </w:rPr>
        <w:t>PROPOSTA</w:t>
      </w:r>
    </w:p>
    <w:p>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pPr>
              <w:widowControl/>
              <w:suppressAutoHyphens/>
              <w:spacing w:before="0" w:after="0" w:line="240" w:lineRule="auto"/>
              <w:jc w:val="both"/>
              <w:rPr>
                <w:rFonts w:ascii="Times New Roman" w:hAnsi="Times New Roman" w:cs="Times New Roman"/>
                <w:sz w:val="16"/>
                <w:szCs w:val="16"/>
              </w:rPr>
            </w:pPr>
          </w:p>
        </w:tc>
        <w:tc>
          <w:tcPr>
            <w:tcW w:w="4457"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pPr>
              <w:widowControl/>
              <w:suppressAutoHyphens/>
              <w:spacing w:before="0" w:after="0" w:line="240" w:lineRule="auto"/>
              <w:jc w:val="both"/>
              <w:rPr>
                <w:rFonts w:ascii="Times New Roman" w:hAnsi="Times New Roman" w:cs="Times New Roman"/>
                <w:sz w:val="16"/>
                <w:szCs w:val="16"/>
              </w:rPr>
            </w:pPr>
          </w:p>
        </w:tc>
        <w:tc>
          <w:tcPr>
            <w:tcW w:w="5945"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pPr>
              <w:widowControl/>
              <w:suppressAutoHyphens/>
              <w:spacing w:before="0" w:after="0" w:line="240" w:lineRule="auto"/>
              <w:jc w:val="both"/>
              <w:rPr>
                <w:rFonts w:ascii="Times New Roman" w:hAnsi="Times New Roman" w:cs="Times New Roman"/>
                <w:sz w:val="16"/>
                <w:szCs w:val="16"/>
              </w:rPr>
            </w:pPr>
          </w:p>
        </w:tc>
        <w:tc>
          <w:tcPr>
            <w:tcW w:w="2973" w:type="dxa"/>
            <w:gridSpan w:val="2"/>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pPr>
              <w:widowControl/>
              <w:suppressAutoHyphens/>
              <w:spacing w:before="0" w:after="0" w:line="240" w:lineRule="auto"/>
              <w:jc w:val="both"/>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pPr>
              <w:widowControl/>
              <w:suppressAutoHyphens/>
              <w:spacing w:before="0" w:after="0" w:line="240" w:lineRule="auto"/>
              <w:jc w:val="both"/>
              <w:rPr>
                <w:rFonts w:ascii="Times New Roman" w:hAnsi="Times New Roman" w:cs="Times New Roman"/>
                <w:sz w:val="16"/>
                <w:szCs w:val="16"/>
              </w:rPr>
            </w:pPr>
          </w:p>
        </w:tc>
        <w:tc>
          <w:tcPr>
            <w:tcW w:w="2972" w:type="dxa"/>
          </w:tcPr>
          <w:p>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pPr>
              <w:widowControl/>
              <w:suppressAutoHyphens/>
              <w:spacing w:before="0" w:after="0" w:line="240" w:lineRule="auto"/>
              <w:jc w:val="both"/>
              <w:rPr>
                <w:rFonts w:ascii="Times New Roman" w:hAnsi="Times New Roman" w:cs="Times New Roman"/>
                <w:sz w:val="16"/>
                <w:szCs w:val="16"/>
              </w:rPr>
            </w:pPr>
          </w:p>
        </w:tc>
      </w:tr>
    </w:tbl>
    <w:p>
      <w:pPr>
        <w:spacing w:before="0" w:after="0" w:line="240" w:lineRule="auto"/>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Pregão Eletrônico nº 010/2024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rPr>
            </w:pPr>
            <w:r>
              <w:rPr>
                <w:rFonts w:ascii="Times New Roman" w:hAnsi="Times New Roman" w:cs="Times New Roman"/>
                <w:b/>
                <w:bCs/>
                <w:sz w:val="20"/>
                <w:szCs w:val="20"/>
              </w:rPr>
              <w:t>Preço</w:t>
            </w:r>
          </w:p>
          <w:p>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rPr>
            </w:pPr>
            <w:r>
              <w:rPr>
                <w:rFonts w:ascii="Times New Roman" w:hAnsi="Times New Roman" w:cs="Times New Roman"/>
                <w:b/>
                <w:sz w:val="20"/>
                <w:szCs w:val="20"/>
              </w:rPr>
              <w:t>Preço</w:t>
            </w:r>
          </w:p>
          <w:p>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rPr>
            </w:pPr>
            <w:r>
              <w:rPr>
                <w:rFonts w:ascii="Times New Roman" w:hAnsi="Times New Roman" w:cs="Times New Roman"/>
                <w:color w:val="000000"/>
                <w:sz w:val="20"/>
                <w:szCs w:val="20"/>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pPr>
        <w:rPr>
          <w:rFonts w:ascii="Times New Roman" w:hAnsi="Times New Roman" w:cs="Times New Roman"/>
          <w:b/>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pPr>
        <w:spacing w:before="0" w:after="0" w:line="240" w:lineRule="auto"/>
        <w:ind w:firstLine="2268"/>
        <w:jc w:val="both"/>
        <w:rPr>
          <w:rFonts w:ascii="Times New Roman" w:hAnsi="Times New Roman" w:cs="Times New Roman"/>
          <w:sz w:val="24"/>
          <w:szCs w:val="24"/>
        </w:rPr>
      </w:pPr>
    </w:p>
    <w:p>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pPr>
        <w:rPr>
          <w:rFonts w:ascii="Times New Roman" w:hAnsi="Times New Roman"/>
          <w:lang w:eastAsia="pt-BR"/>
        </w:rPr>
      </w:pPr>
      <w:r>
        <w:br w:type="page"/>
      </w:r>
    </w:p>
    <w:p>
      <w:pPr>
        <w:pStyle w:val="2"/>
        <w:numPr>
          <w:ilvl w:val="0"/>
          <w:numId w:val="0"/>
        </w:numPr>
        <w:spacing w:before="0" w:after="120"/>
        <w:ind w:left="0" w:firstLine="0"/>
        <w:jc w:val="center"/>
        <w:rPr>
          <w:rFonts w:hint="default" w:ascii="Times New Roman" w:hAnsi="Times New Roman"/>
          <w:lang w:val="pt-BR"/>
        </w:rPr>
      </w:pPr>
      <w:bookmarkStart w:id="62" w:name="_ANEXO_V_-"/>
      <w:bookmarkEnd w:id="62"/>
      <w:bookmarkStart w:id="63" w:name="_ANEXO_VII_-"/>
      <w:bookmarkEnd w:id="63"/>
      <w:bookmarkStart w:id="64" w:name="_ANEXO_IV_-"/>
      <w:bookmarkEnd w:id="64"/>
      <w:bookmarkStart w:id="65" w:name="_Toc149517469"/>
      <w:r>
        <w:t>ANEXO IV – MINUTA DA ATA DE REGISTRO DE PREÇOS</w:t>
      </w:r>
      <w:bookmarkEnd w:id="65"/>
      <w:r>
        <w:rPr>
          <w:rFonts w:hint="default"/>
          <w:lang w:val="pt-BR"/>
        </w:rPr>
        <w:t xml:space="preserve"> Nº_____/_____</w:t>
      </w:r>
    </w:p>
    <w:p>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0</w:t>
      </w:r>
      <w:r>
        <w:rPr>
          <w:rFonts w:hint="default" w:cs="Times New Roman"/>
          <w:sz w:val="22"/>
          <w:szCs w:val="22"/>
          <w:lang w:val="en-US" w:eastAsia="pt-BR"/>
        </w:rPr>
        <w:t>10</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LOTE</w:t>
      </w:r>
      <w:r>
        <w:rPr>
          <w:rFonts w:ascii="Times New Roman" w:hAnsi="Times New Roman" w:cs="Times New Roman"/>
          <w:sz w:val="22"/>
          <w:szCs w:val="22"/>
          <w:lang w:eastAsia="pt-BR"/>
        </w:rPr>
        <w:t xml:space="preserve">, cujo objeto é </w:t>
      </w:r>
      <w:r>
        <w:rPr>
          <w:b/>
          <w:bCs/>
          <w:sz w:val="22"/>
          <w:szCs w:val="22"/>
        </w:rPr>
        <w:t xml:space="preserve"> </w:t>
      </w:r>
      <w:r>
        <w:rPr>
          <w:rStyle w:val="52"/>
          <w:rFonts w:hint="default" w:cs="Times New Roman"/>
          <w:b/>
          <w:bCs/>
          <w:color w:val="000000" w:themeColor="text1"/>
          <w:kern w:val="0"/>
          <w:sz w:val="22"/>
          <w:szCs w:val="22"/>
          <w:lang w:val="pt-BR" w:bidi="ar-SA"/>
          <w14:textFill>
            <w14:solidFill>
              <w14:schemeClr w14:val="tx1"/>
            </w14:solidFill>
          </w14:textFill>
        </w:rPr>
        <w:t>Registro de preços para futura e eventual aquisição de painéis de Led e Câmeras de gravação com materiais e instalação inclusa, para o Plenário Da Câmara Municipal de Primavera de Leste – 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028/2024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pPr>
        <w:pStyle w:val="67"/>
        <w:numPr>
          <w:ilvl w:val="0"/>
          <w:numId w:val="14"/>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Style w:val="52"/>
          <w:rFonts w:hint="default" w:cs="Times New Roman"/>
          <w:b/>
          <w:bCs/>
          <w:color w:val="000000" w:themeColor="text1"/>
          <w:kern w:val="0"/>
          <w:sz w:val="22"/>
          <w:szCs w:val="22"/>
          <w:lang w:val="pt-BR" w:bidi="ar-SA"/>
          <w14:textFill>
            <w14:solidFill>
              <w14:schemeClr w14:val="tx1"/>
            </w14:solidFill>
          </w14:textFill>
        </w:rPr>
        <w:t>Registro de preços para futura e eventual aquisição de painéis de Led e Câmeras de gravação com materiais e instalação inclusa, para o Plenário Da Câmara Municipal de Primavera de Leste – MT</w:t>
      </w:r>
      <w:r>
        <w:rPr>
          <w:rFonts w:hint="default" w:cs="Times New Roman"/>
          <w:b/>
          <w:bCs/>
          <w:kern w:val="0"/>
          <w:sz w:val="22"/>
          <w:szCs w:val="22"/>
          <w:lang w:val="pt-BR" w:eastAsia="zh-CN" w:bidi="ar"/>
        </w:rPr>
        <w:t>.</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Style w:val="52"/>
          <w:rFonts w:hint="default" w:cs="Times New Roman"/>
          <w:b/>
          <w:bCs/>
          <w:color w:val="000000" w:themeColor="text1"/>
          <w:kern w:val="0"/>
          <w:sz w:val="22"/>
          <w:szCs w:val="22"/>
          <w:lang w:val="pt-BR" w:bidi="ar-SA"/>
          <w14:textFill>
            <w14:solidFill>
              <w14:schemeClr w14:val="tx1"/>
            </w14:solidFill>
          </w14:textFill>
        </w:rPr>
        <w:t>Registro de preços para futura e eventual aquisição de painéis de Led e Câmeras de gravação com materiais e instalação inclusa, para o Plenário Da Câmara Municipal de Primavera de Leste – 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lang w:eastAsia="pt-BR"/>
              </w:rPr>
              <w:t>E</w:t>
            </w:r>
            <w:r>
              <w:rPr>
                <w:rFonts w:ascii="Times New Roman" w:hAnsi="Times New Roman" w:cs="Times New Roman"/>
                <w:sz w:val="22"/>
                <w:szCs w:val="22"/>
                <w:highlight w:val="none"/>
                <w:lang w:eastAsia="pt-BR"/>
              </w:rPr>
              <w:t>mpresa: XXXXXXXXXXXX - CNPJ: XXXXXXXXXXX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pPr>
              <w:spacing w:before="0" w:after="0" w:line="240" w:lineRule="auto"/>
              <w:rPr>
                <w:rFonts w:ascii="Times New Roman" w:hAnsi="Times New Roman"/>
                <w:sz w:val="22"/>
                <w:szCs w:val="22"/>
              </w:rPr>
            </w:pPr>
            <w:r>
              <w:rPr>
                <w:rFonts w:ascii="Times New Roman" w:hAnsi="Times New Roman" w:cs="Times New Roman"/>
                <w:sz w:val="22"/>
                <w:szCs w:val="22"/>
                <w:highlight w:val="none"/>
                <w:lang w:eastAsia="pt-BR"/>
              </w:rPr>
              <w:t>Endereço: XXX</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rPr>
            </w:pPr>
            <w:r>
              <w:rPr>
                <w:rFonts w:ascii="Times New Roman" w:hAnsi="Times New Roman" w:cs="Times New Roman"/>
                <w:color w:val="000000"/>
                <w:sz w:val="22"/>
                <w:szCs w:val="22"/>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Eletrônico  nº 0</w:t>
      </w:r>
      <w:r>
        <w:rPr>
          <w:rFonts w:hint="default" w:cs="Times New Roman"/>
          <w:sz w:val="22"/>
          <w:szCs w:val="22"/>
          <w:lang w:val="en-US" w:eastAsia="pt-BR"/>
        </w:rPr>
        <w:t>10</w:t>
      </w:r>
      <w:r>
        <w:rPr>
          <w:rFonts w:cs="Times New Roman"/>
          <w:sz w:val="22"/>
          <w:szCs w:val="22"/>
          <w:lang w:eastAsia="pt-BR"/>
        </w:rPr>
        <w:t>/2024</w:t>
      </w:r>
      <w:r>
        <w:rPr>
          <w:rFonts w:ascii="Times New Roman" w:hAnsi="Times New Roman" w:cs="Times New Roman"/>
          <w:sz w:val="22"/>
          <w:szCs w:val="22"/>
          <w:lang w:eastAsia="pt-BR"/>
        </w:rPr>
        <w:t>.</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009/2024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009/2024</w:t>
      </w:r>
      <w:r>
        <w:rPr>
          <w:rFonts w:ascii="Times New Roman" w:hAnsi="Times New Roman" w:cs="Times New Roman"/>
          <w:sz w:val="22"/>
          <w:szCs w:val="22"/>
          <w:shd w:val="clear" w:fill="auto"/>
          <w:lang w:eastAsia="pt-BR"/>
        </w:rPr>
        <w:t>.</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pPr>
        <w:pStyle w:val="67"/>
        <w:numPr>
          <w:ilvl w:val="2"/>
          <w:numId w:val="14"/>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009/2024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009/2024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pPr>
        <w:pStyle w:val="67"/>
        <w:numPr>
          <w:ilvl w:val="2"/>
          <w:numId w:val="14"/>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pPr>
        <w:pStyle w:val="67"/>
        <w:numPr>
          <w:ilvl w:val="2"/>
          <w:numId w:val="14"/>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6" w:name="nao_comprovacao_majoracao_mercado"/>
      <w:bookmarkEnd w:id="6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7" w:name="gerenciador_estimador_é_partic_em_remane"/>
      <w:bookmarkEnd w:id="67"/>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8" w:name="cancelamento_do_fornecedor"/>
      <w:bookmarkEnd w:id="68"/>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Pr>
          <w:rFonts w:ascii="Times New Roman" w:hAnsi="Times New Roman" w:cs="Times New Roman"/>
          <w:sz w:val="22"/>
          <w:szCs w:val="22"/>
          <w:lang w:eastAsia="pt-BR"/>
        </w:rPr>
        <w:t xml:space="preserve"> </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009/2024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pPr>
        <w:pStyle w:val="67"/>
        <w:numPr>
          <w:ilvl w:val="2"/>
          <w:numId w:val="14"/>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pPr>
        <w:pStyle w:val="67"/>
        <w:numPr>
          <w:ilvl w:val="0"/>
          <w:numId w:val="14"/>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pPr>
        <w:tabs>
          <w:tab w:val="left" w:pos="1134"/>
          <w:tab w:val="left" w:pos="3001"/>
        </w:tabs>
        <w:spacing w:before="120" w:after="120" w:line="240" w:lineRule="auto"/>
        <w:jc w:val="both"/>
        <w:rPr>
          <w:rFonts w:ascii="Times New Roman" w:hAnsi="Times New Roman" w:cs="Times New Roman"/>
          <w:sz w:val="22"/>
          <w:szCs w:val="22"/>
          <w:lang w:eastAsia="pt-BR"/>
        </w:rPr>
      </w:pPr>
    </w:p>
    <w:p>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pPr>
        <w:tabs>
          <w:tab w:val="left" w:pos="3001"/>
        </w:tabs>
        <w:rPr>
          <w:rFonts w:ascii="Times New Roman" w:hAnsi="Times New Roman" w:eastAsiaTheme="minorHAnsi" w:cstheme="minorBidi"/>
          <w:sz w:val="22"/>
          <w:szCs w:val="22"/>
          <w:highlight w:val="none"/>
          <w:shd w:val="clear" w:fill="auto"/>
          <w:lang w:eastAsia="pt-BR"/>
        </w:rPr>
      </w:pPr>
    </w:p>
    <w:p>
      <w:pPr>
        <w:tabs>
          <w:tab w:val="left" w:pos="3001"/>
        </w:tabs>
        <w:rPr>
          <w:rFonts w:ascii="Times New Roman" w:hAnsi="Times New Roman"/>
          <w:sz w:val="22"/>
          <w:szCs w:val="22"/>
          <w:lang w:eastAsia="pt-BR"/>
        </w:rPr>
      </w:pPr>
    </w:p>
    <w:p>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pPr>
        <w:tabs>
          <w:tab w:val="left" w:pos="3001"/>
        </w:tabs>
        <w:rPr>
          <w:rFonts w:ascii="Times New Roman" w:hAnsi="Times New Roman"/>
          <w:sz w:val="22"/>
          <w:szCs w:val="22"/>
          <w:lang w:eastAsia="pt-BR"/>
        </w:rPr>
      </w:pPr>
    </w:p>
    <w:p>
      <w:pPr>
        <w:rPr>
          <w:rFonts w:ascii="Times New Roman" w:hAnsi="Times New Roman"/>
          <w:sz w:val="22"/>
          <w:szCs w:val="22"/>
          <w:lang w:eastAsia="pt-BR"/>
        </w:rPr>
      </w:pPr>
      <w:r>
        <w:br w:type="page"/>
      </w:r>
    </w:p>
    <w:p>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pPr>
        <w:tabs>
          <w:tab w:val="left" w:pos="3001"/>
        </w:tabs>
        <w:spacing w:before="120" w:after="120" w:line="240" w:lineRule="auto"/>
        <w:rPr>
          <w:rFonts w:ascii="Times New Roman" w:hAnsi="Times New Roman"/>
          <w:sz w:val="22"/>
          <w:szCs w:val="22"/>
        </w:rPr>
      </w:pPr>
      <w:r>
        <w:rPr>
          <w:rFonts w:ascii="Times New Roman" w:hAnsi="Times New Roman" w:cs="Times New Roman"/>
          <w:b/>
          <w:bCs/>
          <w:sz w:val="22"/>
          <w:szCs w:val="22"/>
          <w:u w:val="single"/>
          <w:lang w:eastAsia="pt-BR"/>
        </w:rPr>
        <w:t>2ª Classificada</w:t>
      </w:r>
      <w:r>
        <w:rPr>
          <w:rFonts w:ascii="Times New Roman" w:hAnsi="Times New Roman" w:cs="Times New Roman"/>
          <w:b/>
          <w:bCs/>
          <w:sz w:val="22"/>
          <w:szCs w:val="22"/>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pPr>
        <w:tabs>
          <w:tab w:val="left" w:pos="3001"/>
        </w:tabs>
        <w:rPr>
          <w:rFonts w:ascii="Times New Roman" w:hAnsi="Times New Roman" w:cs="Times New Roman"/>
          <w:sz w:val="22"/>
          <w:szCs w:val="22"/>
          <w:highlight w:val="none"/>
          <w:lang w:eastAsia="pt-BR"/>
        </w:rPr>
      </w:pPr>
    </w:p>
    <w:p>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pPr>
        <w:tabs>
          <w:tab w:val="left" w:pos="3001"/>
        </w:tabs>
        <w:rPr>
          <w:rFonts w:ascii="Times New Roman" w:hAnsi="Times New Roman" w:cs="Times New Roman"/>
          <w:sz w:val="22"/>
          <w:szCs w:val="22"/>
          <w:lang w:eastAsia="pt-BR"/>
        </w:rPr>
      </w:pPr>
    </w:p>
    <w:p>
      <w:pPr>
        <w:rPr>
          <w:rFonts w:ascii="Times New Roman" w:hAnsi="Times New Roman" w:cs="Times New Roman"/>
          <w:sz w:val="22"/>
          <w:szCs w:val="22"/>
          <w:lang w:eastAsia="pt-BR"/>
        </w:rPr>
      </w:pPr>
      <w:r>
        <w:br w:type="page"/>
      </w:r>
    </w:p>
    <w:p>
      <w:pPr>
        <w:pStyle w:val="2"/>
        <w:numPr>
          <w:ilvl w:val="0"/>
          <w:numId w:val="0"/>
        </w:numPr>
        <w:spacing w:before="0" w:after="120"/>
        <w:ind w:left="0" w:firstLine="0"/>
        <w:jc w:val="center"/>
        <w:rPr>
          <w:rFonts w:hint="default" w:ascii="Times New Roman" w:hAnsi="Times New Roman"/>
          <w:sz w:val="22"/>
          <w:szCs w:val="22"/>
          <w:lang w:val="pt-BR"/>
        </w:rPr>
      </w:pPr>
      <w:bookmarkStart w:id="70" w:name="_Toc149517470"/>
      <w:r>
        <w:rPr>
          <w:sz w:val="22"/>
          <w:szCs w:val="22"/>
        </w:rPr>
        <w:t>ANEXO V – MINUTA DO INSTRUMENTO DE CONTRATO</w:t>
      </w:r>
      <w:bookmarkEnd w:id="70"/>
      <w:r>
        <w:rPr>
          <w:rFonts w:hint="default"/>
          <w:sz w:val="22"/>
          <w:szCs w:val="22"/>
          <w:lang w:val="pt-BR"/>
        </w:rPr>
        <w:t xml:space="preserve"> nº _____/2024</w:t>
      </w:r>
    </w:p>
    <w:p>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Style w:val="52"/>
          <w:rFonts w:hint="default" w:ascii="Times New Roman" w:hAnsi="Times New Roman" w:cs="Times New Roman"/>
          <w:b/>
          <w:bCs/>
          <w:color w:val="000000" w:themeColor="text1"/>
          <w:kern w:val="0"/>
          <w:sz w:val="22"/>
          <w:szCs w:val="22"/>
          <w:lang w:val="pt-BR" w:bidi="ar-SA"/>
          <w14:textFill>
            <w14:solidFill>
              <w14:schemeClr w14:val="tx1"/>
            </w14:solidFill>
          </w14:textFill>
        </w:rPr>
        <w:t>Registro de preços para futura e eventual aquisição de painéis de Led e Câmeras de gravação com materiais e instalação inclusa, para o Plenário Da Câmara Municipal de Primavera de Leste – MT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028/2024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028/2024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nº 009/2024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pPr>
        <w:pStyle w:val="32"/>
        <w:numPr>
          <w:ilvl w:val="0"/>
          <w:numId w:val="15"/>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para  </w:t>
      </w:r>
      <w:r>
        <w:rPr>
          <w:rStyle w:val="52"/>
          <w:rFonts w:hint="default" w:cs="Times New Roman"/>
          <w:b/>
          <w:bCs/>
          <w:color w:val="000000" w:themeColor="text1"/>
          <w:kern w:val="0"/>
          <w:sz w:val="22"/>
          <w:szCs w:val="22"/>
          <w:lang w:val="pt-BR" w:bidi="ar-SA"/>
          <w14:textFill>
            <w14:solidFill>
              <w14:schemeClr w14:val="tx1"/>
            </w14:solidFill>
          </w14:textFill>
        </w:rPr>
        <w:t>Registro de preços para futura e eventual aquisição de painéis de Led e Câmeras de gravação com materiais e instalação inclusa, para o Plenário Da Câmara Municipal de Primavera de Leste – 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pPr>
        <w:pStyle w:val="32"/>
        <w:numPr>
          <w:ilvl w:val="1"/>
          <w:numId w:val="15"/>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32"/>
        <w:numPr>
          <w:ilvl w:val="2"/>
          <w:numId w:val="15"/>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nº 0</w:t>
      </w:r>
      <w:r>
        <w:rPr>
          <w:rFonts w:hint="default"/>
          <w:sz w:val="22"/>
          <w:szCs w:val="22"/>
          <w:lang w:val="pt-BR"/>
        </w:rPr>
        <w:t>10</w:t>
      </w:r>
      <w:r>
        <w:rPr>
          <w:sz w:val="22"/>
          <w:szCs w:val="22"/>
          <w:lang w:val="pt-BR"/>
        </w:rPr>
        <w:t>/2024</w:t>
      </w:r>
      <w:r>
        <w:rPr>
          <w:rFonts w:eastAsiaTheme="minorHAnsi" w:cstheme="minorBidi"/>
          <w:color w:val="000000"/>
          <w:sz w:val="22"/>
          <w:szCs w:val="22"/>
          <w:shd w:val="clear" w:fill="auto"/>
        </w:rPr>
        <w:t>;</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pPr>
        <w:pStyle w:val="32"/>
        <w:numPr>
          <w:ilvl w:val="1"/>
          <w:numId w:val="15"/>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bookmarkStart w:id="71" w:name="_Hlk114497502"/>
      <w:bookmarkEnd w:id="71"/>
      <w:bookmarkStart w:id="72" w:name="_Hlk114497577"/>
      <w:bookmarkEnd w:id="72"/>
      <w:r>
        <w:rPr>
          <w:rStyle w:val="16"/>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pPr>
        <w:pStyle w:val="32"/>
        <w:numPr>
          <w:ilvl w:val="1"/>
          <w:numId w:val="15"/>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6"/>
          <w:b w:val="0"/>
          <w:bCs w:val="0"/>
          <w:color w:val="000000"/>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pPr>
        <w:pStyle w:val="32"/>
        <w:numPr>
          <w:ilvl w:val="2"/>
          <w:numId w:val="15"/>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pPr>
        <w:pStyle w:val="32"/>
        <w:numPr>
          <w:ilvl w:val="2"/>
          <w:numId w:val="15"/>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pPr>
        <w:pStyle w:val="32"/>
        <w:numPr>
          <w:ilvl w:val="2"/>
          <w:numId w:val="15"/>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pPr>
        <w:pStyle w:val="32"/>
        <w:numPr>
          <w:ilvl w:val="1"/>
          <w:numId w:val="15"/>
        </w:numPr>
        <w:tabs>
          <w:tab w:val="left" w:pos="993"/>
        </w:tabs>
        <w:spacing w:before="0" w:beforeAutospacing="0" w:after="0" w:afterAutospacing="0"/>
        <w:ind w:left="0" w:firstLine="567"/>
        <w:jc w:val="both"/>
      </w:pPr>
      <w:bookmarkStart w:id="73" w:name="_Hlk114499841"/>
      <w:bookmarkEnd w:id="7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pPr>
        <w:pStyle w:val="32"/>
        <w:numPr>
          <w:ilvl w:val="2"/>
          <w:numId w:val="15"/>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pPr>
        <w:pStyle w:val="32"/>
        <w:numPr>
          <w:ilvl w:val="2"/>
          <w:numId w:val="15"/>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pPr>
        <w:pStyle w:val="32"/>
        <w:numPr>
          <w:ilvl w:val="2"/>
          <w:numId w:val="15"/>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pPr>
        <w:pStyle w:val="32"/>
        <w:numPr>
          <w:ilvl w:val="2"/>
          <w:numId w:val="15"/>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pPr>
        <w:pStyle w:val="32"/>
        <w:numPr>
          <w:ilvl w:val="2"/>
          <w:numId w:val="15"/>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32"/>
        <w:numPr>
          <w:ilvl w:val="2"/>
          <w:numId w:val="15"/>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pPr>
        <w:pStyle w:val="32"/>
        <w:numPr>
          <w:ilvl w:val="2"/>
          <w:numId w:val="15"/>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pPr>
        <w:pStyle w:val="32"/>
        <w:numPr>
          <w:ilvl w:val="2"/>
          <w:numId w:val="15"/>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pPr>
        <w:pStyle w:val="32"/>
        <w:numPr>
          <w:ilvl w:val="2"/>
          <w:numId w:val="15"/>
        </w:numPr>
        <w:tabs>
          <w:tab w:val="left" w:pos="993"/>
        </w:tabs>
        <w:spacing w:before="0" w:beforeAutospacing="0" w:after="0" w:afterAutospacing="0"/>
        <w:jc w:val="both"/>
        <w:rPr>
          <w:rFonts w:ascii="Times New Roman" w:hAnsi="Times New Roman"/>
          <w:sz w:val="22"/>
          <w:szCs w:val="22"/>
        </w:rPr>
      </w:pPr>
      <w:bookmarkStart w:id="7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4"/>
    </w:p>
    <w:p>
      <w:pPr>
        <w:pStyle w:val="32"/>
        <w:numPr>
          <w:ilvl w:val="2"/>
          <w:numId w:val="15"/>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6"/>
          <w:b w:val="0"/>
          <w:bCs w:val="0"/>
          <w:color w:val="000000"/>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32"/>
        <w:numPr>
          <w:ilvl w:val="1"/>
          <w:numId w:val="15"/>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pPr>
        <w:pStyle w:val="32"/>
        <w:numPr>
          <w:ilvl w:val="1"/>
          <w:numId w:val="15"/>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pPr>
        <w:pStyle w:val="32"/>
        <w:numPr>
          <w:ilvl w:val="1"/>
          <w:numId w:val="15"/>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pPr>
        <w:pStyle w:val="32"/>
        <w:numPr>
          <w:ilvl w:val="1"/>
          <w:numId w:val="15"/>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pPr>
        <w:pStyle w:val="32"/>
        <w:numPr>
          <w:ilvl w:val="1"/>
          <w:numId w:val="15"/>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pPr>
        <w:pStyle w:val="32"/>
        <w:numPr>
          <w:ilvl w:val="1"/>
          <w:numId w:val="15"/>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6"/>
          <w:b w:val="0"/>
          <w:bCs w:val="0"/>
          <w:color w:val="000000"/>
          <w:sz w:val="22"/>
          <w:szCs w:val="22"/>
        </w:rPr>
        <w:t>)</w:t>
      </w:r>
    </w:p>
    <w:p>
      <w:pPr>
        <w:pStyle w:val="32"/>
        <w:numPr>
          <w:ilvl w:val="1"/>
          <w:numId w:val="15"/>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61"/>
          <w:sz w:val="22"/>
          <w:szCs w:val="22"/>
        </w:rPr>
        <w:t>art. 393 da Lei Federal nº 10.406, de 2002</w:t>
      </w:r>
      <w:r>
        <w:rPr>
          <w:rStyle w:val="61"/>
          <w:sz w:val="22"/>
          <w:szCs w:val="22"/>
        </w:rPr>
        <w:fldChar w:fldCharType="end"/>
      </w:r>
      <w:r>
        <w:rPr>
          <w:color w:val="000000"/>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6"/>
          <w:b w:val="0"/>
          <w:bCs w:val="0"/>
          <w:color w:val="000000"/>
          <w:sz w:val="22"/>
          <w:szCs w:val="22"/>
        </w:rPr>
        <w:t>)</w:t>
      </w:r>
    </w:p>
    <w:p>
      <w:pPr>
        <w:pStyle w:val="32"/>
        <w:numPr>
          <w:ilvl w:val="1"/>
          <w:numId w:val="15"/>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2"/>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pPr>
        <w:pStyle w:val="32"/>
        <w:numPr>
          <w:ilvl w:val="1"/>
          <w:numId w:val="15"/>
        </w:numPr>
        <w:tabs>
          <w:tab w:val="left" w:pos="993"/>
        </w:tabs>
        <w:spacing w:before="0" w:beforeAutospacing="0" w:after="0" w:afterAutospacing="0"/>
        <w:ind w:left="0" w:firstLine="567"/>
        <w:jc w:val="both"/>
        <w:rPr>
          <w:color w:val="000000"/>
          <w:sz w:val="22"/>
          <w:szCs w:val="22"/>
        </w:rPr>
      </w:pPr>
      <w:r>
        <w:rPr>
          <w:color w:val="000000"/>
          <w:sz w:val="22"/>
          <w:szCs w:val="22"/>
        </w:rPr>
        <w:t xml:space="preserve"> entrega deverá ocorrer:</w:t>
      </w:r>
    </w:p>
    <w:p>
      <w:pPr>
        <w:pStyle w:val="49"/>
        <w:numPr>
          <w:ilvl w:val="2"/>
          <w:numId w:val="16"/>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pPr>
        <w:pStyle w:val="49"/>
        <w:numPr>
          <w:ilvl w:val="2"/>
          <w:numId w:val="17"/>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pPr>
        <w:pStyle w:val="49"/>
        <w:numPr>
          <w:ilvl w:val="2"/>
          <w:numId w:val="17"/>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pPr>
        <w:pStyle w:val="49"/>
        <w:numPr>
          <w:ilvl w:val="2"/>
          <w:numId w:val="17"/>
        </w:numPr>
        <w:tabs>
          <w:tab w:val="left" w:pos="1134"/>
        </w:tabs>
        <w:spacing w:before="120" w:beforeAutospacing="0" w:after="12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pPr>
        <w:pStyle w:val="49"/>
        <w:numPr>
          <w:ilvl w:val="2"/>
          <w:numId w:val="17"/>
        </w:numPr>
        <w:tabs>
          <w:tab w:val="left" w:pos="1134"/>
        </w:tabs>
        <w:spacing w:before="120" w:beforeAutospacing="0" w:after="12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pPr>
        <w:pStyle w:val="32"/>
        <w:numPr>
          <w:ilvl w:val="1"/>
          <w:numId w:val="15"/>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pPr>
        <w:pStyle w:val="32"/>
        <w:numPr>
          <w:ilvl w:val="1"/>
          <w:numId w:val="15"/>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pPr>
        <w:pStyle w:val="49"/>
        <w:numPr>
          <w:ilvl w:val="2"/>
          <w:numId w:val="18"/>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pPr>
        <w:pStyle w:val="32"/>
        <w:numPr>
          <w:ilvl w:val="0"/>
          <w:numId w:val="15"/>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pPr>
        <w:pStyle w:val="49"/>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pPr>
        <w:pStyle w:val="32"/>
        <w:tabs>
          <w:tab w:val="left" w:pos="993"/>
        </w:tabs>
        <w:spacing w:before="0" w:beforeAutospacing="0" w:after="0" w:afterAutospacing="0"/>
        <w:ind w:left="0" w:firstLine="0"/>
        <w:jc w:val="both"/>
        <w:rPr>
          <w:rFonts w:cs="Arial"/>
          <w:color w:val="000000"/>
          <w:sz w:val="22"/>
          <w:szCs w:val="22"/>
        </w:rPr>
      </w:pPr>
    </w:p>
    <w:p>
      <w:pPr>
        <w:pStyle w:val="32"/>
        <w:tabs>
          <w:tab w:val="left" w:pos="993"/>
        </w:tabs>
        <w:spacing w:before="0" w:beforeAutospacing="0" w:after="0" w:afterAutospacing="0"/>
        <w:ind w:left="0" w:firstLine="0"/>
        <w:jc w:val="both"/>
        <w:rPr>
          <w:rFonts w:ascii="Times New Roman" w:hAnsi="Times New Roman"/>
          <w:sz w:val="22"/>
          <w:szCs w:val="22"/>
        </w:rPr>
      </w:pP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 xml:space="preserve">XXXXXXX, </w:t>
      </w:r>
      <w:r>
        <w:rPr>
          <w:sz w:val="22"/>
          <w:szCs w:val="22"/>
        </w:rPr>
        <w:t xml:space="preserve"> referente à emissão da Nota de Empenho nº XXX a partir da ARP nº </w:t>
      </w:r>
      <w:r>
        <w:rPr>
          <w:rFonts w:hint="default"/>
          <w:sz w:val="22"/>
          <w:szCs w:val="22"/>
          <w:lang w:val="pt-BR"/>
        </w:rPr>
        <w:t>xxx</w:t>
      </w:r>
      <w:r>
        <w:rPr>
          <w:sz w:val="22"/>
          <w:szCs w:val="22"/>
        </w:rPr>
        <w:t>/2024, podendo ser emitidos empenhos adicionais a partir da referida ARP, desde que dentro de seus limites e vigência e, consequentemente, aumentando o valor da presente contratação.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6"/>
          <w:b w:val="0"/>
          <w:bCs w:val="0"/>
          <w:color w:val="000000"/>
          <w:sz w:val="22"/>
          <w:szCs w:val="22"/>
        </w:rPr>
        <w:t xml:space="preserve"> e Resolução 50 de 2023.)</w:t>
      </w:r>
    </w:p>
    <w:p>
      <w:pPr>
        <w:pStyle w:val="32"/>
        <w:numPr>
          <w:ilvl w:val="1"/>
          <w:numId w:val="15"/>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pPr>
        <w:pStyle w:val="32"/>
        <w:numPr>
          <w:ilvl w:val="1"/>
          <w:numId w:val="15"/>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pPr>
        <w:pStyle w:val="32"/>
        <w:numPr>
          <w:ilvl w:val="1"/>
          <w:numId w:val="15"/>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pPr>
        <w:pStyle w:val="32"/>
        <w:numPr>
          <w:ilvl w:val="1"/>
          <w:numId w:val="15"/>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pPr>
        <w:pStyle w:val="32"/>
        <w:numPr>
          <w:ilvl w:val="0"/>
          <w:numId w:val="15"/>
        </w:numPr>
        <w:pBdr>
          <w:bottom w:val="single" w:color="000000" w:themeColor="dark1" w:sz="4" w:space="1"/>
        </w:pBdr>
        <w:shd w:val="clear" w:color="auto" w:fill="BEBEBE" w:themeFill="background1" w:themeFillShade="BF"/>
        <w:spacing w:before="360" w:beforeAutospacing="0" w:after="0" w:afterAutospacing="0"/>
        <w:jc w:val="both"/>
      </w:pPr>
      <w:bookmarkStart w:id="75" w:name="_REAJUSTE_(art._92,"/>
      <w:bookmarkEnd w:id="75"/>
      <w:r>
        <w:rPr>
          <w:rStyle w:val="16"/>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pPr>
        <w:pStyle w:val="32"/>
        <w:numPr>
          <w:ilvl w:val="1"/>
          <w:numId w:val="15"/>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pPr>
        <w:pStyle w:val="32"/>
        <w:numPr>
          <w:ilvl w:val="1"/>
          <w:numId w:val="15"/>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pPr>
        <w:pStyle w:val="32"/>
        <w:numPr>
          <w:ilvl w:val="1"/>
          <w:numId w:val="15"/>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pPr>
        <w:pStyle w:val="32"/>
        <w:numPr>
          <w:ilvl w:val="1"/>
          <w:numId w:val="15"/>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pPr>
        <w:pStyle w:val="49"/>
        <w:numPr>
          <w:ilvl w:val="2"/>
          <w:numId w:val="15"/>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pPr>
        <w:pStyle w:val="32"/>
        <w:numPr>
          <w:ilvl w:val="1"/>
          <w:numId w:val="15"/>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6" w:name="_Hlk78351618"/>
      <w:bookmarkEnd w:id="76"/>
    </w:p>
    <w:p>
      <w:pPr>
        <w:pStyle w:val="32"/>
        <w:numPr>
          <w:ilvl w:val="1"/>
          <w:numId w:val="15"/>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pPr>
        <w:pStyle w:val="32"/>
        <w:numPr>
          <w:ilvl w:val="1"/>
          <w:numId w:val="15"/>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6"/>
          <w:b w:val="0"/>
          <w:bCs w:val="0"/>
          <w:color w:val="000000"/>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pPr>
        <w:pStyle w:val="32"/>
        <w:numPr>
          <w:ilvl w:val="1"/>
          <w:numId w:val="15"/>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pPr>
        <w:pStyle w:val="32"/>
        <w:numPr>
          <w:ilvl w:val="1"/>
          <w:numId w:val="15"/>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pPr>
        <w:pStyle w:val="32"/>
        <w:numPr>
          <w:ilvl w:val="1"/>
          <w:numId w:val="15"/>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pPr>
        <w:pStyle w:val="32"/>
        <w:numPr>
          <w:ilvl w:val="1"/>
          <w:numId w:val="15"/>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pPr>
        <w:pStyle w:val="32"/>
        <w:numPr>
          <w:ilvl w:val="1"/>
          <w:numId w:val="15"/>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6"/>
          <w:b w:val="0"/>
          <w:bCs w:val="0"/>
          <w:color w:val="000000"/>
          <w:sz w:val="22"/>
          <w:szCs w:val="22"/>
        </w:rPr>
        <w:t>)</w:t>
      </w:r>
    </w:p>
    <w:p>
      <w:pPr>
        <w:pStyle w:val="32"/>
        <w:numPr>
          <w:ilvl w:val="1"/>
          <w:numId w:val="15"/>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pPr>
        <w:pStyle w:val="32"/>
        <w:numPr>
          <w:ilvl w:val="1"/>
          <w:numId w:val="15"/>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pPr>
        <w:pStyle w:val="32"/>
        <w:tabs>
          <w:tab w:val="left" w:pos="993"/>
        </w:tabs>
        <w:spacing w:before="120" w:beforeAutospacing="0" w:after="120" w:afterAutospacing="0"/>
        <w:jc w:val="right"/>
        <w:rPr>
          <w:rFonts w:ascii="Times New Roman" w:hAnsi="Times New Roman"/>
          <w:sz w:val="22"/>
          <w:szCs w:val="22"/>
        </w:rPr>
      </w:pPr>
    </w:p>
    <w:p>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pPr>
        <w:pStyle w:val="32"/>
        <w:tabs>
          <w:tab w:val="left" w:pos="993"/>
        </w:tabs>
        <w:spacing w:before="120" w:beforeAutospacing="0" w:after="120" w:afterAutospacing="0"/>
        <w:jc w:val="both"/>
        <w:rPr>
          <w:sz w:val="22"/>
          <w:szCs w:val="22"/>
        </w:rPr>
      </w:pPr>
    </w:p>
    <w:p>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pPr>
        <w:pStyle w:val="32"/>
        <w:tabs>
          <w:tab w:val="left" w:pos="993"/>
        </w:tabs>
        <w:spacing w:before="120" w:beforeAutospacing="0" w:after="120" w:afterAutospacing="0"/>
        <w:jc w:val="both"/>
        <w:rPr>
          <w:rFonts w:ascii="Times New Roman" w:hAnsi="Times New Roman"/>
          <w:sz w:val="22"/>
          <w:szCs w:val="22"/>
          <w:highlight w:val="none"/>
        </w:rPr>
      </w:pPr>
    </w:p>
    <w:p>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7"/>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pPr>
            <w:pStyle w:val="37"/>
            <w:spacing w:after="60"/>
            <w:rPr>
              <w:rFonts w:ascii="Arial" w:hAnsi="Arial" w:cs="Arial"/>
              <w:b/>
              <w:bCs/>
              <w:sz w:val="24"/>
              <w:szCs w:val="24"/>
            </w:rPr>
          </w:pPr>
          <w:r>
            <w:rPr>
              <w:rFonts w:ascii="Arial" w:hAnsi="Arial" w:cs="Arial"/>
              <w:b/>
              <w:bCs/>
              <w:sz w:val="24"/>
              <w:szCs w:val="24"/>
            </w:rPr>
            <w:t>CÂMARA MUNICIPAL DE PRIMAVERA DO LESTE</w:t>
          </w:r>
        </w:p>
        <w:p>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3"/>
    <w:multiLevelType w:val="multilevel"/>
    <w:tmpl w:val="00000003"/>
    <w:lvl w:ilvl="0" w:tentative="0">
      <w:start w:val="1"/>
      <w:numFmt w:val="none"/>
      <w:suff w:val="nothing"/>
      <w:lvlText w:val=""/>
      <w:lvlJc w:val="left"/>
      <w:pPr>
        <w:tabs>
          <w:tab w:val="left" w:pos="0"/>
        </w:tabs>
        <w:ind w:left="720" w:hanging="36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6">
    <w:nsid w:val="00000004"/>
    <w:multiLevelType w:val="multilevel"/>
    <w:tmpl w:val="00000004"/>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7">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7"/>
  </w:num>
  <w:num w:numId="2">
    <w:abstractNumId w:val="4"/>
  </w:num>
  <w:num w:numId="3">
    <w:abstractNumId w:val="3"/>
  </w:num>
  <w:num w:numId="4">
    <w:abstractNumId w:val="13"/>
  </w:num>
  <w:num w:numId="5">
    <w:abstractNumId w:val="2"/>
  </w:num>
  <w:num w:numId="6">
    <w:abstractNumId w:val="1"/>
  </w:num>
  <w:num w:numId="7">
    <w:abstractNumId w:val="9"/>
  </w:num>
  <w:num w:numId="8">
    <w:abstractNumId w:val="12"/>
  </w:num>
  <w:num w:numId="9">
    <w:abstractNumId w:val="15"/>
  </w:num>
  <w:num w:numId="10">
    <w:abstractNumId w:val="8"/>
  </w:num>
  <w:num w:numId="11">
    <w:abstractNumId w:val="0"/>
  </w:num>
  <w:num w:numId="12">
    <w:abstractNumId w:val="6"/>
  </w:num>
  <w:num w:numId="13">
    <w:abstractNumId w:val="5"/>
  </w:num>
  <w:num w:numId="14">
    <w:abstractNumId w:val="11"/>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A5D2B"/>
    <w:rsid w:val="0E1A72B6"/>
    <w:rsid w:val="13493EDA"/>
    <w:rsid w:val="14457D92"/>
    <w:rsid w:val="1E9D2342"/>
    <w:rsid w:val="22FE2E7E"/>
    <w:rsid w:val="28806BFD"/>
    <w:rsid w:val="2A576E58"/>
    <w:rsid w:val="2AE423E9"/>
    <w:rsid w:val="2CF00542"/>
    <w:rsid w:val="327E09A5"/>
    <w:rsid w:val="36F67098"/>
    <w:rsid w:val="3B0C3693"/>
    <w:rsid w:val="467459A6"/>
    <w:rsid w:val="4A296BFC"/>
    <w:rsid w:val="59D416FF"/>
    <w:rsid w:val="62295DFA"/>
    <w:rsid w:val="6E2246FB"/>
    <w:rsid w:val="71D17224"/>
    <w:rsid w:val="73997C01"/>
    <w:rsid w:val="75D22C7C"/>
    <w:rsid w:val="7AF57124"/>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8"/>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6"/>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e parág. padrão1"/>
    <w:qFormat/>
    <w:uiPriority w:val="0"/>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3"/>
    <w:qFormat/>
    <w:uiPriority w:val="0"/>
  </w:style>
  <w:style w:type="character" w:customStyle="1" w:styleId="53">
    <w:name w:val="scxw155697705"/>
    <w:basedOn w:val="13"/>
    <w:qFormat/>
    <w:uiPriority w:val="0"/>
  </w:style>
  <w:style w:type="character" w:customStyle="1" w:styleId="54">
    <w:name w:val="eop"/>
    <w:basedOn w:val="13"/>
    <w:qFormat/>
    <w:uiPriority w:val="0"/>
  </w:style>
  <w:style w:type="character" w:customStyle="1" w:styleId="55">
    <w:name w:val="tabchar"/>
    <w:basedOn w:val="13"/>
    <w:qFormat/>
    <w:uiPriority w:val="0"/>
  </w:style>
  <w:style w:type="character" w:customStyle="1" w:styleId="56">
    <w:name w:val="Texto de comentário Char"/>
    <w:basedOn w:val="13"/>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13"/>
    <w:link w:val="43"/>
    <w:qFormat/>
    <w:uiPriority w:val="99"/>
    <w:rPr>
      <w:rFonts w:ascii="Tahoma" w:hAnsi="Tahoma" w:cs="Tahoma"/>
      <w:sz w:val="16"/>
      <w:szCs w:val="16"/>
    </w:rPr>
  </w:style>
  <w:style w:type="character" w:customStyle="1" w:styleId="59">
    <w:name w:val="Cabeçalho Char"/>
    <w:basedOn w:val="13"/>
    <w:link w:val="37"/>
    <w:qFormat/>
    <w:uiPriority w:val="99"/>
  </w:style>
  <w:style w:type="character" w:customStyle="1" w:styleId="60">
    <w:name w:val="Rodapé Char"/>
    <w:basedOn w:val="13"/>
    <w:link w:val="39"/>
    <w:qFormat/>
    <w:uiPriority w:val="99"/>
  </w:style>
  <w:style w:type="character" w:customStyle="1" w:styleId="61">
    <w:name w:val="Hyperlink1"/>
    <w:basedOn w:val="13"/>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3"/>
    <w:semiHidden/>
    <w:unhideWhenUsed/>
    <w:qFormat/>
    <w:uiPriority w:val="99"/>
    <w:rPr>
      <w:color w:val="605E5C"/>
      <w:shd w:val="clear" w:fill="E1DFDD"/>
    </w:rPr>
  </w:style>
  <w:style w:type="character" w:customStyle="1" w:styleId="63">
    <w:name w:val="Texto de nota de rodapé Char"/>
    <w:basedOn w:val="13"/>
    <w:link w:val="45"/>
    <w:semiHidden/>
    <w:qFormat/>
    <w:uiPriority w:val="99"/>
    <w:rPr>
      <w:sz w:val="20"/>
      <w:szCs w:val="20"/>
    </w:rPr>
  </w:style>
  <w:style w:type="character" w:customStyle="1" w:styleId="64">
    <w:name w:val="Título 2 Char"/>
    <w:basedOn w:val="13"/>
    <w:qFormat/>
    <w:uiPriority w:val="0"/>
    <w:rPr>
      <w:rFonts w:ascii="Times New Roman" w:hAnsi="Times New Roman" w:eastAsia="Times New Roman" w:cs="Times New Roman"/>
      <w:b/>
      <w:bCs/>
      <w:sz w:val="36"/>
      <w:szCs w:val="36"/>
      <w:lang w:eastAsia="pt-BR"/>
    </w:rPr>
  </w:style>
  <w:style w:type="character" w:customStyle="1" w:styleId="65">
    <w:name w:val="producttitle"/>
    <w:basedOn w:val="13"/>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3"/>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3"/>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3"/>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3"/>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3"/>
    <w:qFormat/>
    <w:uiPriority w:val="0"/>
  </w:style>
  <w:style w:type="character" w:customStyle="1" w:styleId="86">
    <w:name w:val="highlight"/>
    <w:basedOn w:val="13"/>
    <w:qFormat/>
    <w:uiPriority w:val="0"/>
  </w:style>
  <w:style w:type="character" w:customStyle="1" w:styleId="87">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3"/>
    <w:link w:val="3"/>
    <w:qFormat/>
    <w:uiPriority w:val="99"/>
  </w:style>
  <w:style w:type="character" w:customStyle="1" w:styleId="89">
    <w:name w:val="Nivel 3 Char"/>
    <w:basedOn w:val="13"/>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3"/>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3"/>
    <w:qFormat/>
    <w:uiPriority w:val="0"/>
    <w:rPr>
      <w:rFonts w:ascii="Segoe UI" w:hAnsi="Segoe UI" w:cs="Segoe UI"/>
      <w:sz w:val="18"/>
      <w:szCs w:val="18"/>
    </w:rPr>
  </w:style>
  <w:style w:type="character" w:customStyle="1" w:styleId="94">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3"/>
    <w:qFormat/>
    <w:uiPriority w:val="0"/>
  </w:style>
  <w:style w:type="character" w:customStyle="1" w:styleId="98">
    <w:name w:val="Citação Char"/>
    <w:basedOn w:val="13"/>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3"/>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3"/>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3"/>
    <w:semiHidden/>
    <w:unhideWhenUsed/>
    <w:qFormat/>
    <w:uiPriority w:val="99"/>
    <w:rPr>
      <w:color w:val="605E5C"/>
      <w:shd w:val="clear" w:fill="E1DFDD"/>
    </w:rPr>
  </w:style>
  <w:style w:type="character" w:customStyle="1" w:styleId="118">
    <w:name w:val="Menção Pendente2"/>
    <w:basedOn w:val="13"/>
    <w:semiHidden/>
    <w:unhideWhenUsed/>
    <w:qFormat/>
    <w:uiPriority w:val="99"/>
    <w:rPr>
      <w:color w:val="605E5C"/>
      <w:shd w:val="clear" w:fill="E1DFDD"/>
    </w:rPr>
  </w:style>
  <w:style w:type="character" w:customStyle="1" w:styleId="119">
    <w:name w:val="Nível 2 Opcional Char"/>
    <w:basedOn w:val="13"/>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3"/>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3"/>
    <w:semiHidden/>
    <w:qFormat/>
    <w:uiPriority w:val="67"/>
    <w:rPr>
      <w:color w:val="808080"/>
    </w:rPr>
  </w:style>
  <w:style w:type="character" w:customStyle="1" w:styleId="124">
    <w:name w:val="Menção Pendente3"/>
    <w:basedOn w:val="13"/>
    <w:semiHidden/>
    <w:unhideWhenUsed/>
    <w:qFormat/>
    <w:uiPriority w:val="99"/>
    <w:rPr>
      <w:color w:val="605E5C"/>
      <w:shd w:val="clear" w:fill="E1DFDD"/>
    </w:rPr>
  </w:style>
  <w:style w:type="character" w:customStyle="1" w:styleId="125">
    <w:name w:val="Menção Pendente4"/>
    <w:basedOn w:val="13"/>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3"/>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3"/>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qFormat/>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qFormat/>
    <w:uiPriority w:val="3"/>
    <w:rPr>
      <w:rFonts w:ascii="Times New Roman" w:hAnsi="Times New Roman" w:eastAsia="Times New Roman" w:cstheme="minorBidi"/>
    </w:rPr>
  </w:style>
  <w:style w:type="character" w:customStyle="1" w:styleId="190">
    <w:name w:val="WW8Num1z5"/>
    <w:qFormat/>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qFormat/>
    <w:uiPriority w:val="3"/>
    <w:rPr>
      <w:rFonts w:ascii="Times New Roman" w:hAnsi="Times New Roman" w:eastAsia="Times New Roman" w:cstheme="minorBidi"/>
      <w:b/>
      <w:bCs/>
      <w:sz w:val="24"/>
      <w:szCs w:val="24"/>
      <w:lang w:eastAsia="en-US"/>
    </w:rPr>
  </w:style>
  <w:style w:type="character" w:customStyle="1" w:styleId="195">
    <w:name w:val="WW8Num2z1"/>
    <w:qFormat/>
    <w:uiPriority w:val="3"/>
    <w:rPr>
      <w:rFonts w:ascii="Times New Roman" w:hAnsi="Times New Roman" w:eastAsia="Times New Roman" w:cstheme="minorBidi"/>
    </w:rPr>
  </w:style>
  <w:style w:type="character" w:customStyle="1" w:styleId="196">
    <w:name w:val="WW8Num2z2"/>
    <w:qFormat/>
    <w:uiPriority w:val="3"/>
    <w:rPr>
      <w:rFonts w:ascii="Times New Roman" w:hAnsi="Times New Roman" w:eastAsia="Times New Roman" w:cstheme="minorBidi"/>
    </w:rPr>
  </w:style>
  <w:style w:type="character" w:customStyle="1" w:styleId="197">
    <w:name w:val="WW8Num2z3"/>
    <w:qFormat/>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qFormat/>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13"/>
    <w:qFormat/>
    <w:uiPriority w:val="6"/>
    <w:rPr>
      <w:rFonts w:ascii="Times New Roman" w:hAnsi="Times New Roman" w:eastAsia="Times New Roman" w:cstheme="minorBidi"/>
      <w:lang w:eastAsia="pt-BR"/>
    </w:rPr>
  </w:style>
  <w:style w:type="character" w:customStyle="1" w:styleId="204">
    <w:name w:val="Rodapé Char1"/>
    <w:basedOn w:val="13"/>
    <w:qFormat/>
    <w:uiPriority w:val="6"/>
    <w:rPr>
      <w:rFonts w:ascii="Times New Roman" w:hAnsi="Times New Roman" w:eastAsia="Times New Roman" w:cstheme="minorBidi"/>
      <w:lang w:eastAsia="pt-BR"/>
    </w:rPr>
  </w:style>
  <w:style w:type="character" w:customStyle="1" w:styleId="205">
    <w:name w:val="Forte1"/>
    <w:basedOn w:val="48"/>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3"/>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3"/>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3"/>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3"/>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231"/>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3"/>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1">
    <w:name w:val="Numbering Symbols"/>
    <w:uiPriority w:val="6"/>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04C24-93FC-4DC4-AA5D-F86104CE1FE2}">
  <ds:schemaRefs/>
</ds:datastoreItem>
</file>

<file path=customXml/itemProps2.xml><?xml version="1.0" encoding="utf-8"?>
<ds:datastoreItem xmlns:ds="http://schemas.openxmlformats.org/officeDocument/2006/customXml" ds:itemID="{89AF43AB-258F-46AE-84B1-DCEC811B5169}">
  <ds:schemaRefs/>
</ds:datastoreItem>
</file>

<file path=customXml/itemProps3.xml><?xml version="1.0" encoding="utf-8"?>
<ds:datastoreItem xmlns:ds="http://schemas.openxmlformats.org/officeDocument/2006/customXml" ds:itemID="{7E0CCFE8-B119-41DE-8C8E-2F3073DA7E25}">
  <ds:schemaRefs/>
</ds:datastoreItem>
</file>

<file path=customXml/itemProps4.xml><?xml version="1.0" encoding="utf-8"?>
<ds:datastoreItem xmlns:ds="http://schemas.openxmlformats.org/officeDocument/2006/customXml" ds:itemID="{781D5C72-3651-4138-9965-9B0CE3CCB50E}">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2920</Words>
  <Characters>16531</Characters>
  <Paragraphs>147</Paragraphs>
  <TotalTime>163</TotalTime>
  <ScaleCrop>false</ScaleCrop>
  <LinksUpToDate>false</LinksUpToDate>
  <CharactersWithSpaces>19227</CharactersWithSpaces>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brenda.grubert</cp:lastModifiedBy>
  <cp:lastPrinted>2024-05-21T14:37:00Z</cp:lastPrinted>
  <dcterms:modified xsi:type="dcterms:W3CDTF">2024-05-28T16:05:35Z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30C4A8551B5B4635B2DAE01C99DEBAED_13</vt:lpwstr>
  </property>
  <property fmtid="{D5CDD505-2E9C-101B-9397-08002B2CF9AE}" pid="4" name="KSOProductBuildVer">
    <vt:lpwstr>1046-12.2.0.16909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