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7D822">
      <w:pPr>
        <w:pStyle w:val="49"/>
        <w:spacing w:before="600" w:beforeAutospacing="0" w:after="0" w:afterAutospacing="0"/>
        <w:jc w:val="center"/>
        <w:textAlignment w:val="baseline"/>
        <w:rPr>
          <w:rFonts w:hint="default"/>
          <w:sz w:val="23"/>
          <w:szCs w:val="23"/>
          <w:u w:val="none"/>
          <w:lang w:val="pt-BR"/>
        </w:rPr>
      </w:pPr>
      <w:r>
        <w:rPr>
          <w:rStyle w:val="52"/>
          <w:rFonts w:hint="default"/>
          <w:b/>
          <w:bCs/>
          <w:color w:val="000000"/>
          <w:sz w:val="23"/>
          <w:szCs w:val="23"/>
          <w:u w:val="none"/>
          <w:shd w:val="clear" w:fill="auto"/>
          <w:lang w:val="pt-BR"/>
        </w:rPr>
        <w:t xml:space="preserve"> </w:t>
      </w:r>
      <w:r>
        <w:rPr>
          <w:rStyle w:val="52"/>
          <w:b/>
          <w:bCs/>
          <w:color w:val="000000"/>
          <w:sz w:val="23"/>
          <w:szCs w:val="23"/>
          <w:u w:val="none"/>
          <w:shd w:val="clear" w:fill="auto"/>
        </w:rPr>
        <w:t xml:space="preserve">EDITAL DO PREGÃO </w:t>
      </w:r>
      <w:r>
        <w:rPr>
          <w:rStyle w:val="52"/>
          <w:b/>
          <w:bCs/>
          <w:color w:val="000000"/>
          <w:sz w:val="23"/>
          <w:szCs w:val="23"/>
          <w:u w:val="none"/>
          <w:shd w:val="clear" w:fill="auto"/>
          <w:lang w:val="pt-BR"/>
        </w:rPr>
        <w:t>Nº 13/2024</w:t>
      </w:r>
    </w:p>
    <w:p w14:paraId="050B2F7A">
      <w:pPr>
        <w:pStyle w:val="49"/>
        <w:spacing w:before="0" w:beforeAutospacing="0" w:after="600" w:afterAutospacing="0"/>
        <w:jc w:val="center"/>
        <w:textAlignment w:val="baseline"/>
        <w:rPr>
          <w:rFonts w:hint="default"/>
          <w:sz w:val="23"/>
          <w:szCs w:val="23"/>
          <w:lang w:val="pt-BR"/>
        </w:rPr>
      </w:pPr>
      <w:r>
        <w:rPr>
          <w:rStyle w:val="52"/>
          <w:b/>
          <w:bCs/>
          <w:color w:val="000000"/>
          <w:sz w:val="23"/>
          <w:szCs w:val="23"/>
          <w:shd w:val="clear" w:fill="auto"/>
        </w:rPr>
        <w:t>PROCESSO ADMINISTRATIVO</w:t>
      </w:r>
      <w:r>
        <w:rPr>
          <w:rStyle w:val="52"/>
          <w:rFonts w:hint="default"/>
          <w:b/>
          <w:bCs/>
          <w:color w:val="000000"/>
          <w:sz w:val="23"/>
          <w:szCs w:val="23"/>
          <w:shd w:val="clear" w:fill="auto"/>
          <w:lang w:val="pt-BR"/>
        </w:rPr>
        <w:t xml:space="preserve"> Nº 35/2024</w:t>
      </w:r>
    </w:p>
    <w:tbl>
      <w:tblPr>
        <w:tblStyle w:val="184"/>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2829"/>
        <w:gridCol w:w="1617"/>
        <w:gridCol w:w="73"/>
        <w:gridCol w:w="2294"/>
        <w:gridCol w:w="53"/>
      </w:tblGrid>
      <w:tr w14:paraId="2EB39B8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5"/>
          </w:tcPr>
          <w:p w14:paraId="3B1D6466">
            <w:pPr>
              <w:pStyle w:val="49"/>
              <w:widowControl/>
              <w:suppressAutoHyphens/>
              <w:spacing w:before="120" w:beforeAutospacing="0" w:after="120" w:afterAutospacing="0" w:line="240" w:lineRule="auto"/>
              <w:jc w:val="center"/>
              <w:textAlignment w:val="baseline"/>
              <w:rPr>
                <w:b/>
                <w:bCs/>
                <w:sz w:val="21"/>
                <w:szCs w:val="21"/>
              </w:rPr>
            </w:pPr>
            <w:r>
              <w:rPr>
                <w:rStyle w:val="52"/>
                <w:b/>
                <w:bCs/>
                <w:color w:val="000000"/>
                <w:kern w:val="0"/>
                <w:sz w:val="21"/>
                <w:szCs w:val="21"/>
                <w:u w:val="none"/>
                <w:lang w:val="pt-BR" w:bidi="ar-SA"/>
              </w:rPr>
              <w:t>Resumo do Certame Licitatório</w:t>
            </w:r>
          </w:p>
        </w:tc>
        <w:tc>
          <w:tcPr>
            <w:tcW w:w="53" w:type="dxa"/>
            <w:tcBorders>
              <w:top w:val="nil"/>
              <w:bottom w:val="nil"/>
            </w:tcBorders>
          </w:tcPr>
          <w:p w14:paraId="57017AB8">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14:paraId="52EF7A75">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4"/>
            <w:shd w:val="clear" w:color="auto" w:fill="DDDDDD"/>
          </w:tcPr>
          <w:p w14:paraId="1782AB66">
            <w:pPr>
              <w:pStyle w:val="49"/>
              <w:widowControl/>
              <w:suppressAutoHyphens/>
              <w:spacing w:before="0" w:beforeAutospacing="0" w:after="0" w:afterAutospacing="0" w:line="240" w:lineRule="auto"/>
              <w:jc w:val="left"/>
              <w:textAlignment w:val="baseline"/>
              <w:rPr>
                <w:b/>
                <w:bCs/>
                <w:sz w:val="21"/>
                <w:szCs w:val="21"/>
              </w:rPr>
            </w:pPr>
            <w:r>
              <w:rPr>
                <w:rStyle w:val="52"/>
                <w:b w:val="0"/>
                <w:bCs w:val="0"/>
                <w:color w:val="000000"/>
                <w:kern w:val="0"/>
                <w:sz w:val="21"/>
                <w:szCs w:val="21"/>
                <w:lang w:val="pt-BR" w:bidi="ar-SA"/>
              </w:rPr>
              <w:t>Órgão Gerenciador:</w:t>
            </w:r>
          </w:p>
          <w:p w14:paraId="29EEEA9B">
            <w:pPr>
              <w:pStyle w:val="49"/>
              <w:widowControl/>
              <w:suppressAutoHyphens/>
              <w:spacing w:before="0" w:beforeAutospacing="0" w:after="0" w:afterAutospacing="0" w:line="240" w:lineRule="auto"/>
              <w:ind w:left="0" w:leftChars="0" w:firstLine="0" w:firstLineChars="0"/>
              <w:jc w:val="left"/>
              <w:textAlignment w:val="baseline"/>
              <w:rPr>
                <w:b/>
                <w:bCs/>
                <w:sz w:val="21"/>
                <w:szCs w:val="21"/>
              </w:rPr>
            </w:pPr>
            <w:r>
              <w:rPr>
                <w:rStyle w:val="52"/>
                <w:b/>
                <w:bCs/>
                <w:kern w:val="0"/>
                <w:sz w:val="21"/>
                <w:szCs w:val="21"/>
                <w:lang w:val="pt-BR" w:bidi="ar-SA"/>
              </w:rPr>
              <w:t>Câmara Municipal de Primavera do Leste - MT</w:t>
            </w:r>
          </w:p>
        </w:tc>
        <w:tc>
          <w:tcPr>
            <w:tcW w:w="2347" w:type="dxa"/>
            <w:gridSpan w:val="2"/>
            <w:shd w:val="clear" w:color="auto" w:fill="DDDDDD"/>
          </w:tcPr>
          <w:p w14:paraId="5C2172A7">
            <w:pPr>
              <w:pStyle w:val="49"/>
              <w:widowControl/>
              <w:suppressAutoHyphens/>
              <w:spacing w:before="0" w:beforeAutospacing="0" w:after="0" w:afterAutospacing="0" w:line="240" w:lineRule="auto"/>
              <w:jc w:val="left"/>
              <w:textAlignment w:val="baseline"/>
              <w:rPr>
                <w:sz w:val="21"/>
                <w:szCs w:val="21"/>
              </w:rPr>
            </w:pPr>
            <w:r>
              <w:rPr>
                <w:rStyle w:val="52"/>
                <w:color w:val="000000" w:themeColor="text1"/>
                <w:kern w:val="0"/>
                <w:sz w:val="21"/>
                <w:szCs w:val="21"/>
                <w:lang w:val="pt-BR" w:bidi="ar-SA"/>
                <w14:textFill>
                  <w14:solidFill>
                    <w14:schemeClr w14:val="tx1"/>
                  </w14:solidFill>
                </w14:textFill>
              </w:rPr>
              <w:t>CNPJ:</w:t>
            </w:r>
          </w:p>
          <w:p w14:paraId="4894B84B">
            <w:pPr>
              <w:pStyle w:val="49"/>
              <w:widowControl/>
              <w:suppressAutoHyphens/>
              <w:spacing w:before="0" w:beforeAutospacing="0" w:after="0" w:afterAutospacing="0" w:line="240" w:lineRule="auto"/>
              <w:jc w:val="left"/>
              <w:textAlignment w:val="baseline"/>
              <w:rPr>
                <w:sz w:val="21"/>
                <w:szCs w:val="21"/>
              </w:rPr>
            </w:pPr>
            <w:r>
              <w:rPr>
                <w:rStyle w:val="52"/>
                <w:b/>
                <w:bCs/>
                <w:color w:val="000000"/>
                <w:kern w:val="0"/>
                <w:sz w:val="21"/>
                <w:szCs w:val="21"/>
                <w:u w:val="none"/>
                <w:lang w:val="pt-BR"/>
              </w:rPr>
              <w:t>24.672.727/0001-83</w:t>
            </w:r>
          </w:p>
        </w:tc>
      </w:tr>
      <w:tr w14:paraId="57865B7C">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14:paraId="2A711690">
            <w:pPr>
              <w:pStyle w:val="49"/>
              <w:widowControl/>
              <w:suppressAutoHyphens/>
              <w:spacing w:before="0" w:beforeAutospacing="0" w:after="0" w:afterAutospacing="0" w:line="240" w:lineRule="auto"/>
              <w:jc w:val="left"/>
              <w:textAlignment w:val="baseline"/>
              <w:rPr>
                <w:b/>
                <w:bCs/>
                <w:sz w:val="21"/>
                <w:szCs w:val="21"/>
              </w:rPr>
            </w:pPr>
            <w:r>
              <w:rPr>
                <w:rStyle w:val="52"/>
                <w:b w:val="0"/>
                <w:bCs w:val="0"/>
                <w:color w:val="000000"/>
                <w:kern w:val="0"/>
                <w:sz w:val="21"/>
                <w:szCs w:val="21"/>
                <w:lang w:val="pt-BR" w:bidi="ar-SA"/>
              </w:rPr>
              <w:t>Modalidade:</w:t>
            </w:r>
          </w:p>
          <w:p w14:paraId="74EC3D7F">
            <w:pPr>
              <w:pStyle w:val="49"/>
              <w:widowControl/>
              <w:suppressAutoHyphens/>
              <w:spacing w:before="0" w:beforeAutospacing="0" w:after="0" w:afterAutospacing="0" w:line="240" w:lineRule="auto"/>
              <w:jc w:val="left"/>
              <w:textAlignment w:val="baseline"/>
              <w:rPr>
                <w:b/>
                <w:bCs/>
                <w:sz w:val="21"/>
                <w:szCs w:val="21"/>
              </w:rPr>
            </w:pPr>
            <w:r>
              <w:rPr>
                <w:rStyle w:val="52"/>
                <w:b/>
                <w:bCs/>
                <w:color w:val="000000"/>
                <w:kern w:val="0"/>
                <w:sz w:val="21"/>
                <w:szCs w:val="21"/>
                <w:lang w:val="pt-BR" w:bidi="ar-SA"/>
              </w:rPr>
              <w:t>Pregão</w:t>
            </w:r>
          </w:p>
        </w:tc>
        <w:tc>
          <w:tcPr>
            <w:tcW w:w="2829" w:type="dxa"/>
          </w:tcPr>
          <w:p w14:paraId="3EA45CA7">
            <w:pPr>
              <w:pStyle w:val="49"/>
              <w:widowControl/>
              <w:suppressAutoHyphens/>
              <w:spacing w:before="0" w:beforeAutospacing="0" w:after="0" w:afterAutospacing="0" w:line="240" w:lineRule="auto"/>
              <w:jc w:val="left"/>
              <w:textAlignment w:val="baseline"/>
              <w:rPr>
                <w:sz w:val="21"/>
                <w:szCs w:val="21"/>
              </w:rPr>
            </w:pPr>
            <w:r>
              <w:rPr>
                <w:rStyle w:val="52"/>
                <w:color w:val="000000"/>
                <w:kern w:val="0"/>
                <w:sz w:val="21"/>
                <w:szCs w:val="21"/>
                <w:lang w:val="pt-BR" w:bidi="ar-SA"/>
              </w:rPr>
              <w:t>Forma:</w:t>
            </w:r>
          </w:p>
          <w:p w14:paraId="7350433B">
            <w:pPr>
              <w:pStyle w:val="49"/>
              <w:widowControl/>
              <w:suppressAutoHyphens/>
              <w:spacing w:before="0" w:beforeAutospacing="0" w:after="0" w:afterAutospacing="0" w:line="240" w:lineRule="auto"/>
              <w:jc w:val="left"/>
              <w:textAlignment w:val="baseline"/>
              <w:rPr>
                <w:sz w:val="21"/>
                <w:szCs w:val="21"/>
              </w:rPr>
            </w:pPr>
            <w:r>
              <w:rPr>
                <w:rStyle w:val="52"/>
                <w:b/>
                <w:bCs/>
                <w:color w:val="000000"/>
                <w:kern w:val="0"/>
                <w:sz w:val="21"/>
                <w:szCs w:val="21"/>
                <w:lang w:val="pt-BR" w:bidi="ar-SA"/>
              </w:rPr>
              <w:t>Eletrônica</w:t>
            </w:r>
          </w:p>
        </w:tc>
        <w:tc>
          <w:tcPr>
            <w:tcW w:w="1617" w:type="dxa"/>
          </w:tcPr>
          <w:p w14:paraId="278C5754">
            <w:pPr>
              <w:pStyle w:val="49"/>
              <w:widowControl/>
              <w:suppressAutoHyphens/>
              <w:spacing w:before="0" w:beforeAutospacing="0" w:after="0" w:afterAutospacing="0" w:line="240" w:lineRule="auto"/>
              <w:jc w:val="left"/>
              <w:textAlignment w:val="baseline"/>
              <w:rPr>
                <w:sz w:val="21"/>
                <w:szCs w:val="21"/>
              </w:rPr>
            </w:pPr>
            <w:r>
              <w:rPr>
                <w:rStyle w:val="54"/>
                <w:color w:val="000000"/>
                <w:kern w:val="0"/>
                <w:sz w:val="21"/>
                <w:szCs w:val="21"/>
                <w:lang w:val="pt-BR" w:bidi="ar-SA"/>
              </w:rPr>
              <w:t>Modo de Disputa:</w:t>
            </w:r>
          </w:p>
          <w:p w14:paraId="2C417CA8">
            <w:pPr>
              <w:pStyle w:val="49"/>
              <w:widowControl/>
              <w:suppressAutoHyphens/>
              <w:spacing w:before="0" w:beforeAutospacing="0" w:after="0" w:afterAutospacing="0" w:line="240" w:lineRule="auto"/>
              <w:jc w:val="left"/>
              <w:textAlignment w:val="baseline"/>
              <w:rPr>
                <w:sz w:val="21"/>
                <w:szCs w:val="21"/>
              </w:rPr>
            </w:pPr>
            <w:r>
              <w:rPr>
                <w:rStyle w:val="54"/>
                <w:b/>
                <w:bCs/>
                <w:color w:val="000000"/>
                <w:kern w:val="0"/>
                <w:sz w:val="21"/>
                <w:szCs w:val="21"/>
                <w:shd w:val="clear" w:fill="auto"/>
                <w:lang w:val="pt-BR" w:bidi="ar-SA"/>
              </w:rPr>
              <w:t>Aberto</w:t>
            </w:r>
          </w:p>
        </w:tc>
        <w:tc>
          <w:tcPr>
            <w:tcW w:w="2367" w:type="dxa"/>
            <w:gridSpan w:val="2"/>
          </w:tcPr>
          <w:p w14:paraId="466E2017">
            <w:pPr>
              <w:pStyle w:val="49"/>
              <w:widowControl/>
              <w:suppressAutoHyphens/>
              <w:spacing w:before="0" w:beforeAutospacing="0" w:after="0" w:afterAutospacing="0" w:line="240" w:lineRule="auto"/>
              <w:jc w:val="left"/>
              <w:textAlignment w:val="baseline"/>
              <w:rPr>
                <w:sz w:val="21"/>
                <w:szCs w:val="21"/>
              </w:rPr>
            </w:pPr>
            <w:r>
              <w:rPr>
                <w:rStyle w:val="52"/>
                <w:color w:val="000000" w:themeColor="text1"/>
                <w:kern w:val="0"/>
                <w:sz w:val="21"/>
                <w:szCs w:val="21"/>
                <w:lang w:val="pt-BR" w:bidi="ar-SA"/>
                <w14:textFill>
                  <w14:solidFill>
                    <w14:schemeClr w14:val="tx1"/>
                  </w14:solidFill>
                </w14:textFill>
              </w:rPr>
              <w:t>Critério de Julgamento:</w:t>
            </w:r>
          </w:p>
          <w:p w14:paraId="0631A28E">
            <w:pPr>
              <w:pStyle w:val="49"/>
              <w:widowControl/>
              <w:suppressAutoHyphens/>
              <w:spacing w:before="0" w:beforeAutospacing="0" w:after="0" w:afterAutospacing="0" w:line="240" w:lineRule="auto"/>
              <w:jc w:val="left"/>
              <w:textAlignment w:val="baseline"/>
              <w:rPr>
                <w:rFonts w:hint="default"/>
                <w:sz w:val="21"/>
                <w:szCs w:val="21"/>
                <w:lang w:val="pt-BR"/>
              </w:rPr>
            </w:pPr>
            <w:r>
              <w:rPr>
                <w:rStyle w:val="52"/>
                <w:b/>
                <w:bCs/>
                <w:color w:val="000000" w:themeColor="text1"/>
                <w:kern w:val="0"/>
                <w:sz w:val="21"/>
                <w:szCs w:val="21"/>
                <w:lang w:val="pt-BR" w:bidi="ar-SA"/>
                <w14:textFill>
                  <w14:solidFill>
                    <w14:schemeClr w14:val="tx1"/>
                  </w14:solidFill>
                </w14:textFill>
              </w:rPr>
              <w:t xml:space="preserve">MENOR PREÇO POR </w:t>
            </w:r>
            <w:r>
              <w:rPr>
                <w:rStyle w:val="52"/>
                <w:rFonts w:hint="default"/>
                <w:b/>
                <w:bCs/>
                <w:color w:val="000000" w:themeColor="text1"/>
                <w:kern w:val="0"/>
                <w:sz w:val="21"/>
                <w:szCs w:val="21"/>
                <w:lang w:val="pt-BR" w:bidi="ar-SA"/>
                <w14:textFill>
                  <w14:solidFill>
                    <w14:schemeClr w14:val="tx1"/>
                  </w14:solidFill>
                </w14:textFill>
              </w:rPr>
              <w:t>LOTE</w:t>
            </w:r>
          </w:p>
        </w:tc>
        <w:tc>
          <w:tcPr>
            <w:tcW w:w="53" w:type="dxa"/>
            <w:tcBorders>
              <w:top w:val="nil"/>
              <w:bottom w:val="nil"/>
            </w:tcBorders>
          </w:tcPr>
          <w:p w14:paraId="72627EC5">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B4EDA7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14:paraId="5C142D4A">
            <w:pPr>
              <w:pStyle w:val="49"/>
              <w:widowControl/>
              <w:suppressAutoHyphens/>
              <w:spacing w:before="0" w:beforeAutospacing="0" w:after="0" w:afterAutospacing="0" w:line="240" w:lineRule="auto"/>
              <w:jc w:val="left"/>
              <w:textAlignment w:val="baseline"/>
              <w:rPr>
                <w:rStyle w:val="52"/>
                <w:b w:val="0"/>
                <w:bCs w:val="0"/>
                <w:color w:val="000000" w:themeColor="text1"/>
                <w:kern w:val="0"/>
                <w:sz w:val="21"/>
                <w:szCs w:val="21"/>
                <w:lang w:val="pt-BR" w:bidi="ar-SA"/>
                <w14:textFill>
                  <w14:solidFill>
                    <w14:schemeClr w14:val="tx1"/>
                  </w14:solidFill>
                </w14:textFill>
              </w:rPr>
            </w:pPr>
            <w:r>
              <w:rPr>
                <w:rStyle w:val="52"/>
                <w:b w:val="0"/>
                <w:bCs w:val="0"/>
                <w:color w:val="000000" w:themeColor="text1"/>
                <w:kern w:val="0"/>
                <w:sz w:val="21"/>
                <w:szCs w:val="21"/>
                <w:lang w:val="pt-BR" w:bidi="ar-SA"/>
                <w14:textFill>
                  <w14:solidFill>
                    <w14:schemeClr w14:val="tx1"/>
                  </w14:solidFill>
                </w14:textFill>
              </w:rPr>
              <w:t>Data:</w:t>
            </w:r>
          </w:p>
          <w:p w14:paraId="673E28E5">
            <w:pPr>
              <w:pStyle w:val="49"/>
              <w:widowControl/>
              <w:suppressAutoHyphens/>
              <w:spacing w:before="0" w:beforeAutospacing="0" w:after="0" w:afterAutospacing="0" w:line="240" w:lineRule="auto"/>
              <w:jc w:val="left"/>
              <w:textAlignment w:val="baseline"/>
              <w:rPr>
                <w:b/>
                <w:bCs/>
                <w:sz w:val="21"/>
                <w:szCs w:val="21"/>
              </w:rPr>
            </w:pPr>
            <w:r>
              <w:rPr>
                <w:rStyle w:val="52"/>
                <w:rFonts w:hint="default"/>
                <w:b/>
                <w:bCs/>
                <w:color w:val="000000" w:themeColor="text1"/>
                <w:kern w:val="0"/>
                <w:sz w:val="21"/>
                <w:szCs w:val="21"/>
                <w:lang w:val="pt-BR" w:bidi="ar-SA"/>
                <w14:textFill>
                  <w14:solidFill>
                    <w14:schemeClr w14:val="tx1"/>
                  </w14:solidFill>
                </w14:textFill>
              </w:rPr>
              <w:t>16/07/2024</w:t>
            </w:r>
          </w:p>
        </w:tc>
        <w:tc>
          <w:tcPr>
            <w:tcW w:w="2829" w:type="dxa"/>
            <w:shd w:val="clear" w:color="auto" w:fill="DDDDDD"/>
          </w:tcPr>
          <w:p w14:paraId="6B90F830">
            <w:pPr>
              <w:pStyle w:val="49"/>
              <w:widowControl/>
              <w:suppressAutoHyphens/>
              <w:spacing w:before="0" w:beforeAutospacing="0" w:after="0" w:afterAutospacing="0" w:line="240" w:lineRule="auto"/>
              <w:jc w:val="left"/>
              <w:textAlignment w:val="baseline"/>
              <w:rPr>
                <w:rStyle w:val="52"/>
                <w:rFonts w:hint="default"/>
                <w:color w:val="000000" w:themeColor="text1"/>
                <w:kern w:val="0"/>
                <w:sz w:val="21"/>
                <w:szCs w:val="21"/>
                <w:lang w:val="pt-BR" w:bidi="ar-SA"/>
                <w14:textFill>
                  <w14:solidFill>
                    <w14:schemeClr w14:val="tx1"/>
                  </w14:solidFill>
                </w14:textFill>
              </w:rPr>
            </w:pPr>
            <w:r>
              <w:rPr>
                <w:rStyle w:val="52"/>
                <w:color w:val="000000" w:themeColor="text1"/>
                <w:kern w:val="0"/>
                <w:sz w:val="21"/>
                <w:szCs w:val="21"/>
                <w:lang w:val="pt-BR" w:bidi="ar-SA"/>
                <w14:textFill>
                  <w14:solidFill>
                    <w14:schemeClr w14:val="tx1"/>
                  </w14:solidFill>
                </w14:textFill>
              </w:rPr>
              <w:t>Horário:</w:t>
            </w:r>
          </w:p>
          <w:p w14:paraId="3103B9C5">
            <w:pPr>
              <w:pStyle w:val="49"/>
              <w:widowControl/>
              <w:suppressAutoHyphens/>
              <w:spacing w:before="0" w:beforeAutospacing="0" w:after="0" w:afterAutospacing="0" w:line="240" w:lineRule="auto"/>
              <w:jc w:val="left"/>
              <w:textAlignment w:val="baseline"/>
              <w:rPr>
                <w:rFonts w:hint="default"/>
                <w:b/>
                <w:bCs/>
                <w:sz w:val="21"/>
                <w:szCs w:val="21"/>
                <w:lang w:val="pt-BR"/>
              </w:rPr>
            </w:pPr>
            <w:r>
              <w:rPr>
                <w:rStyle w:val="52"/>
                <w:rFonts w:hint="default"/>
                <w:b/>
                <w:bCs/>
                <w:color w:val="000000" w:themeColor="text1"/>
                <w:kern w:val="0"/>
                <w:sz w:val="21"/>
                <w:szCs w:val="21"/>
                <w:lang w:val="pt-BR" w:bidi="ar-SA"/>
                <w14:textFill>
                  <w14:solidFill>
                    <w14:schemeClr w14:val="tx1"/>
                  </w14:solidFill>
                </w14:textFill>
              </w:rPr>
              <w:t>09h00min</w:t>
            </w:r>
            <w:r>
              <w:rPr>
                <w:rStyle w:val="52"/>
                <w:rFonts w:hint="default"/>
                <w:b/>
                <w:bCs/>
                <w:color w:val="000000" w:themeColor="text1"/>
                <w:kern w:val="0"/>
                <w:sz w:val="21"/>
                <w:szCs w:val="21"/>
                <w:lang w:val="pt-BR" w:bidi="ar-SA"/>
                <w14:textFill>
                  <w14:solidFill>
                    <w14:schemeClr w14:val="tx1"/>
                  </w14:solidFill>
                </w14:textFill>
              </w:rPr>
              <w:br w:type="textWrapping"/>
            </w:r>
            <w:r>
              <w:rPr>
                <w:rStyle w:val="52"/>
                <w:rFonts w:hint="default"/>
                <w:b/>
                <w:bCs/>
                <w:color w:val="000000" w:themeColor="text1"/>
                <w:kern w:val="0"/>
                <w:sz w:val="21"/>
                <w:szCs w:val="21"/>
                <w:lang w:val="pt-BR" w:bidi="ar-SA"/>
                <w14:textFill>
                  <w14:solidFill>
                    <w14:schemeClr w14:val="tx1"/>
                  </w14:solidFill>
                </w14:textFill>
              </w:rPr>
              <w:t>(Horário de Brasília -DF)</w:t>
            </w:r>
          </w:p>
          <w:p w14:paraId="7AECBBC8">
            <w:pPr>
              <w:pStyle w:val="49"/>
              <w:widowControl/>
              <w:suppressAutoHyphens/>
              <w:spacing w:before="0" w:beforeAutospacing="0" w:after="0" w:afterAutospacing="0" w:line="240" w:lineRule="auto"/>
              <w:jc w:val="left"/>
              <w:textAlignment w:val="baseline"/>
              <w:rPr>
                <w:sz w:val="21"/>
                <w:szCs w:val="21"/>
              </w:rPr>
            </w:pPr>
          </w:p>
        </w:tc>
        <w:tc>
          <w:tcPr>
            <w:tcW w:w="4037" w:type="dxa"/>
            <w:gridSpan w:val="4"/>
            <w:shd w:val="clear" w:color="auto" w:fill="DDDDDD"/>
          </w:tcPr>
          <w:p w14:paraId="6822B1E7">
            <w:pPr>
              <w:pStyle w:val="49"/>
              <w:widowControl/>
              <w:suppressAutoHyphens/>
              <w:spacing w:before="0" w:beforeAutospacing="0" w:after="0" w:afterAutospacing="0" w:line="240" w:lineRule="auto"/>
              <w:jc w:val="left"/>
              <w:textAlignment w:val="baseline"/>
              <w:rPr>
                <w:sz w:val="21"/>
                <w:szCs w:val="21"/>
              </w:rPr>
            </w:pPr>
            <w:r>
              <w:rPr>
                <w:rStyle w:val="52"/>
                <w:color w:val="000000" w:themeColor="text1"/>
                <w:kern w:val="0"/>
                <w:sz w:val="21"/>
                <w:szCs w:val="21"/>
                <w:lang w:val="pt-BR" w:bidi="ar-SA"/>
                <w14:textFill>
                  <w14:solidFill>
                    <w14:schemeClr w14:val="tx1"/>
                  </w14:solidFill>
                </w14:textFill>
              </w:rPr>
              <w:t>Plataforma:</w:t>
            </w:r>
          </w:p>
          <w:p w14:paraId="30FE22CD">
            <w:pPr>
              <w:pStyle w:val="49"/>
              <w:widowControl/>
              <w:suppressAutoHyphens/>
              <w:spacing w:before="0" w:beforeAutospacing="0" w:after="0" w:afterAutospacing="0" w:line="240" w:lineRule="auto"/>
              <w:jc w:val="left"/>
              <w:textAlignment w:val="baseline"/>
              <w:rPr>
                <w:rFonts w:ascii="Times New Roman" w:hAnsi="Times New Roman"/>
                <w:sz w:val="21"/>
                <w:szCs w:val="21"/>
              </w:rPr>
            </w:pPr>
            <w:r>
              <w:rPr>
                <w:b/>
                <w:bCs/>
                <w:color w:val="auto"/>
                <w:kern w:val="0"/>
                <w:sz w:val="21"/>
                <w:szCs w:val="21"/>
                <w:u w:val="none"/>
                <w:lang w:val="pt-BR" w:bidi="ar-SA"/>
              </w:rPr>
              <w:t>https://www.licitanet.com.br</w:t>
            </w:r>
          </w:p>
        </w:tc>
      </w:tr>
      <w:tr w14:paraId="3E090417">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14:paraId="411789D3">
            <w:pPr>
              <w:pStyle w:val="49"/>
              <w:widowControl/>
              <w:suppressAutoHyphens/>
              <w:spacing w:before="0" w:beforeAutospacing="0" w:after="0" w:afterAutospacing="0" w:line="240" w:lineRule="auto"/>
              <w:jc w:val="left"/>
              <w:textAlignment w:val="baseline"/>
              <w:rPr>
                <w:b/>
                <w:bCs/>
                <w:sz w:val="21"/>
                <w:szCs w:val="21"/>
              </w:rPr>
            </w:pPr>
            <w:r>
              <w:rPr>
                <w:rStyle w:val="52"/>
                <w:b w:val="0"/>
                <w:bCs w:val="0"/>
                <w:color w:val="000000" w:themeColor="text1"/>
                <w:kern w:val="0"/>
                <w:sz w:val="21"/>
                <w:szCs w:val="21"/>
                <w:lang w:val="pt-BR" w:bidi="ar-SA"/>
                <w14:textFill>
                  <w14:solidFill>
                    <w14:schemeClr w14:val="tx1"/>
                  </w14:solidFill>
                </w14:textFill>
              </w:rPr>
              <w:t>Exige Amostra?</w:t>
            </w:r>
          </w:p>
          <w:p w14:paraId="3BF0B1C5">
            <w:pPr>
              <w:pStyle w:val="49"/>
              <w:widowControl/>
              <w:suppressAutoHyphens/>
              <w:spacing w:before="0" w:beforeAutospacing="0" w:after="0" w:afterAutospacing="0" w:line="240" w:lineRule="auto"/>
              <w:jc w:val="left"/>
              <w:textAlignment w:val="baseline"/>
              <w:rPr>
                <w:b/>
                <w:bCs/>
                <w:sz w:val="21"/>
                <w:szCs w:val="21"/>
              </w:rPr>
            </w:pPr>
            <w:r>
              <w:rPr>
                <w:rStyle w:val="52"/>
                <w:b/>
                <w:bCs/>
                <w:color w:val="000000" w:themeColor="text1"/>
                <w:kern w:val="0"/>
                <w:sz w:val="21"/>
                <w:szCs w:val="21"/>
                <w:lang w:val="pt-BR" w:bidi="ar-SA"/>
                <w14:textFill>
                  <w14:solidFill>
                    <w14:schemeClr w14:val="tx1"/>
                  </w14:solidFill>
                </w14:textFill>
              </w:rPr>
              <w:t>Não</w:t>
            </w:r>
          </w:p>
        </w:tc>
        <w:tc>
          <w:tcPr>
            <w:tcW w:w="2829" w:type="dxa"/>
          </w:tcPr>
          <w:p w14:paraId="5DCF3598">
            <w:pPr>
              <w:pStyle w:val="49"/>
              <w:widowControl/>
              <w:suppressAutoHyphens/>
              <w:spacing w:before="0" w:beforeAutospacing="0" w:after="0" w:afterAutospacing="0" w:line="240" w:lineRule="auto"/>
              <w:jc w:val="left"/>
              <w:textAlignment w:val="baseline"/>
              <w:rPr>
                <w:rFonts w:hint="default"/>
                <w:b/>
                <w:bCs/>
                <w:sz w:val="21"/>
                <w:szCs w:val="21"/>
                <w:lang w:val="pt-BR"/>
              </w:rPr>
            </w:pPr>
            <w:r>
              <w:rPr>
                <w:rStyle w:val="52"/>
                <w:color w:val="000000" w:themeColor="text1"/>
                <w:kern w:val="0"/>
                <w:sz w:val="21"/>
                <w:szCs w:val="21"/>
                <w:lang w:val="pt-BR" w:bidi="ar-SA"/>
                <w14:textFill>
                  <w14:solidFill>
                    <w14:schemeClr w14:val="tx1"/>
                  </w14:solidFill>
                </w14:textFill>
              </w:rPr>
              <w:t>Participação:</w:t>
            </w:r>
            <w:r>
              <w:rPr>
                <w:rFonts w:hint="default"/>
                <w:b/>
                <w:bCs/>
                <w:sz w:val="21"/>
                <w:szCs w:val="21"/>
                <w:lang w:val="pt-BR"/>
              </w:rPr>
              <w:t xml:space="preserve"> </w:t>
            </w:r>
          </w:p>
          <w:p w14:paraId="3A26E0ED">
            <w:pPr>
              <w:pStyle w:val="49"/>
              <w:widowControl/>
              <w:suppressAutoHyphens/>
              <w:spacing w:before="0" w:beforeAutospacing="0" w:after="0" w:afterAutospacing="0" w:line="240" w:lineRule="auto"/>
              <w:jc w:val="left"/>
              <w:textAlignment w:val="baseline"/>
              <w:rPr>
                <w:rFonts w:hint="default"/>
                <w:sz w:val="21"/>
                <w:szCs w:val="21"/>
                <w:lang w:val="pt-BR"/>
              </w:rPr>
            </w:pPr>
            <w:r>
              <w:rPr>
                <w:rFonts w:hint="default"/>
                <w:b/>
                <w:bCs/>
                <w:sz w:val="21"/>
                <w:szCs w:val="21"/>
                <w:lang w:val="pt-BR"/>
              </w:rPr>
              <w:t>I</w:t>
            </w:r>
            <w:r>
              <w:rPr>
                <w:rFonts w:hint="default"/>
                <w:b/>
                <w:bCs/>
                <w:sz w:val="22"/>
                <w:szCs w:val="22"/>
                <w:lang w:val="pt-BR"/>
              </w:rPr>
              <w:t>tens Exclusivos e de Ampla Participação.</w:t>
            </w:r>
          </w:p>
        </w:tc>
        <w:tc>
          <w:tcPr>
            <w:tcW w:w="1617" w:type="dxa"/>
          </w:tcPr>
          <w:p w14:paraId="77E434F7">
            <w:pPr>
              <w:pStyle w:val="49"/>
              <w:widowControl/>
              <w:suppressAutoHyphens/>
              <w:spacing w:before="0" w:beforeAutospacing="0" w:after="0" w:afterAutospacing="0" w:line="240" w:lineRule="auto"/>
              <w:jc w:val="left"/>
              <w:textAlignment w:val="baseline"/>
              <w:rPr>
                <w:sz w:val="21"/>
                <w:szCs w:val="21"/>
              </w:rPr>
            </w:pPr>
            <w:r>
              <w:rPr>
                <w:rStyle w:val="52"/>
                <w:color w:val="000000" w:themeColor="text1"/>
                <w:kern w:val="0"/>
                <w:sz w:val="21"/>
                <w:szCs w:val="21"/>
                <w:lang w:val="pt-BR" w:bidi="ar-SA"/>
                <w14:textFill>
                  <w14:solidFill>
                    <w14:schemeClr w14:val="tx1"/>
                  </w14:solidFill>
                </w14:textFill>
              </w:rPr>
              <w:t>Reserva de Cota ME/EPP?</w:t>
            </w:r>
          </w:p>
          <w:p w14:paraId="49B71FCC">
            <w:pPr>
              <w:pStyle w:val="49"/>
              <w:widowControl/>
              <w:suppressAutoHyphens/>
              <w:spacing w:before="0" w:beforeAutospacing="0" w:after="0" w:afterAutospacing="0" w:line="240" w:lineRule="auto"/>
              <w:jc w:val="left"/>
              <w:textAlignment w:val="baseline"/>
              <w:rPr>
                <w:sz w:val="21"/>
                <w:szCs w:val="21"/>
              </w:rPr>
            </w:pPr>
            <w:r>
              <w:rPr>
                <w:rStyle w:val="52"/>
                <w:b/>
                <w:bCs/>
                <w:color w:val="000000" w:themeColor="text1"/>
                <w:kern w:val="0"/>
                <w:sz w:val="21"/>
                <w:szCs w:val="21"/>
                <w:lang w:val="pt-BR" w:bidi="ar-SA"/>
                <w14:textFill>
                  <w14:solidFill>
                    <w14:schemeClr w14:val="tx1"/>
                  </w14:solidFill>
                </w14:textFill>
              </w:rPr>
              <w:t>Não</w:t>
            </w:r>
          </w:p>
        </w:tc>
        <w:tc>
          <w:tcPr>
            <w:tcW w:w="2367" w:type="dxa"/>
            <w:gridSpan w:val="2"/>
          </w:tcPr>
          <w:p w14:paraId="77807368">
            <w:pPr>
              <w:pStyle w:val="49"/>
              <w:widowControl/>
              <w:suppressAutoHyphens/>
              <w:spacing w:before="0" w:beforeAutospacing="0" w:after="0" w:afterAutospacing="0" w:line="240" w:lineRule="auto"/>
              <w:jc w:val="left"/>
              <w:textAlignment w:val="baseline"/>
              <w:rPr>
                <w:sz w:val="21"/>
                <w:szCs w:val="21"/>
              </w:rPr>
            </w:pPr>
            <w:r>
              <w:rPr>
                <w:rStyle w:val="52"/>
                <w:color w:val="000000" w:themeColor="text1"/>
                <w:kern w:val="0"/>
                <w:sz w:val="21"/>
                <w:szCs w:val="21"/>
                <w:lang w:val="pt-BR" w:bidi="ar-SA"/>
                <w14:textFill>
                  <w14:solidFill>
                    <w14:schemeClr w14:val="tx1"/>
                  </w14:solidFill>
                </w14:textFill>
              </w:rPr>
              <w:t>Decreto Federal nº 7.174/2010?</w:t>
            </w:r>
          </w:p>
          <w:p w14:paraId="1D94929C">
            <w:pPr>
              <w:pStyle w:val="49"/>
              <w:widowControl/>
              <w:suppressAutoHyphens/>
              <w:spacing w:before="0" w:beforeAutospacing="0" w:after="0" w:afterAutospacing="0" w:line="240" w:lineRule="auto"/>
              <w:jc w:val="left"/>
              <w:textAlignment w:val="baseline"/>
              <w:rPr>
                <w:sz w:val="21"/>
                <w:szCs w:val="21"/>
              </w:rPr>
            </w:pPr>
            <w:r>
              <w:rPr>
                <w:rStyle w:val="52"/>
                <w:b/>
                <w:bCs/>
                <w:color w:val="000000" w:themeColor="text1"/>
                <w:kern w:val="0"/>
                <w:sz w:val="21"/>
                <w:szCs w:val="21"/>
                <w:lang w:val="pt-BR" w:bidi="ar-SA"/>
                <w14:textFill>
                  <w14:solidFill>
                    <w14:schemeClr w14:val="tx1"/>
                  </w14:solidFill>
                </w14:textFill>
              </w:rPr>
              <w:t>Não</w:t>
            </w:r>
          </w:p>
        </w:tc>
        <w:tc>
          <w:tcPr>
            <w:tcW w:w="53" w:type="dxa"/>
            <w:tcBorders>
              <w:top w:val="nil"/>
              <w:bottom w:val="nil"/>
            </w:tcBorders>
          </w:tcPr>
          <w:p w14:paraId="5ABB2AC9">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F092C2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14:paraId="052E9C62">
            <w:pPr>
              <w:pStyle w:val="49"/>
              <w:widowControl/>
              <w:suppressAutoHyphens/>
              <w:spacing w:before="0" w:beforeAutospacing="0" w:after="0" w:afterAutospacing="0" w:line="240" w:lineRule="auto"/>
              <w:jc w:val="left"/>
              <w:textAlignment w:val="baseline"/>
              <w:rPr>
                <w:b/>
                <w:bCs/>
                <w:sz w:val="21"/>
                <w:szCs w:val="21"/>
              </w:rPr>
            </w:pPr>
            <w:r>
              <w:rPr>
                <w:rStyle w:val="52"/>
                <w:b w:val="0"/>
                <w:bCs w:val="0"/>
                <w:color w:val="000000" w:themeColor="text1"/>
                <w:kern w:val="0"/>
                <w:sz w:val="21"/>
                <w:szCs w:val="21"/>
                <w:lang w:val="pt-BR" w:bidi="ar-SA"/>
                <w14:textFill>
                  <w14:solidFill>
                    <w14:schemeClr w14:val="tx1"/>
                  </w14:solidFill>
                </w14:textFill>
              </w:rPr>
              <w:t>Registro de Preços?</w:t>
            </w:r>
          </w:p>
          <w:p w14:paraId="55B320DB">
            <w:pPr>
              <w:pStyle w:val="49"/>
              <w:widowControl/>
              <w:suppressAutoHyphens/>
              <w:spacing w:before="0" w:beforeAutospacing="0" w:after="0" w:afterAutospacing="0" w:line="240" w:lineRule="auto"/>
              <w:jc w:val="left"/>
              <w:textAlignment w:val="baseline"/>
              <w:rPr>
                <w:b/>
                <w:bCs/>
                <w:sz w:val="21"/>
                <w:szCs w:val="21"/>
              </w:rPr>
            </w:pPr>
            <w:r>
              <w:rPr>
                <w:rStyle w:val="52"/>
                <w:b/>
                <w:bCs/>
                <w:color w:val="000000" w:themeColor="text1"/>
                <w:kern w:val="0"/>
                <w:sz w:val="21"/>
                <w:szCs w:val="21"/>
                <w:lang w:val="pt-BR" w:bidi="ar-SA"/>
                <w14:textFill>
                  <w14:solidFill>
                    <w14:schemeClr w14:val="tx1"/>
                  </w14:solidFill>
                </w14:textFill>
              </w:rPr>
              <w:t>Sim</w:t>
            </w:r>
          </w:p>
        </w:tc>
        <w:tc>
          <w:tcPr>
            <w:tcW w:w="2829" w:type="dxa"/>
            <w:shd w:val="clear" w:color="auto" w:fill="DDDDDD"/>
          </w:tcPr>
          <w:p w14:paraId="275E346B">
            <w:pPr>
              <w:pStyle w:val="49"/>
              <w:widowControl/>
              <w:suppressAutoHyphens/>
              <w:spacing w:before="0" w:beforeAutospacing="0" w:after="0" w:afterAutospacing="0" w:line="240" w:lineRule="auto"/>
              <w:jc w:val="left"/>
              <w:textAlignment w:val="baseline"/>
              <w:rPr>
                <w:sz w:val="21"/>
                <w:szCs w:val="21"/>
              </w:rPr>
            </w:pPr>
            <w:r>
              <w:rPr>
                <w:rStyle w:val="52"/>
                <w:color w:val="000000" w:themeColor="text1"/>
                <w:kern w:val="0"/>
                <w:sz w:val="21"/>
                <w:szCs w:val="21"/>
                <w:lang w:val="pt-BR" w:bidi="ar-SA"/>
                <w14:textFill>
                  <w14:solidFill>
                    <w14:schemeClr w14:val="tx1"/>
                  </w14:solidFill>
                </w14:textFill>
              </w:rPr>
              <w:t>Vistoria?</w:t>
            </w:r>
          </w:p>
          <w:p w14:paraId="1C58CE9F">
            <w:pPr>
              <w:pStyle w:val="49"/>
              <w:widowControl/>
              <w:suppressAutoHyphens/>
              <w:spacing w:before="0" w:beforeAutospacing="0" w:after="0" w:afterAutospacing="0" w:line="240" w:lineRule="auto"/>
              <w:jc w:val="left"/>
              <w:textAlignment w:val="baseline"/>
              <w:rPr>
                <w:sz w:val="21"/>
                <w:szCs w:val="21"/>
              </w:rPr>
            </w:pPr>
            <w:r>
              <w:rPr>
                <w:rStyle w:val="52"/>
                <w:b/>
                <w:bCs/>
                <w:color w:val="000000" w:themeColor="text1"/>
                <w:kern w:val="0"/>
                <w:sz w:val="21"/>
                <w:szCs w:val="21"/>
                <w:lang w:val="pt-BR" w:bidi="ar-SA"/>
                <w14:textFill>
                  <w14:solidFill>
                    <w14:schemeClr w14:val="tx1"/>
                  </w14:solidFill>
                </w14:textFill>
              </w:rPr>
              <w:t>Não</w:t>
            </w:r>
          </w:p>
        </w:tc>
        <w:tc>
          <w:tcPr>
            <w:tcW w:w="1617" w:type="dxa"/>
            <w:shd w:val="clear" w:color="auto" w:fill="DDDDDD"/>
          </w:tcPr>
          <w:p w14:paraId="073D4087">
            <w:pPr>
              <w:pStyle w:val="49"/>
              <w:widowControl/>
              <w:suppressAutoHyphens/>
              <w:spacing w:before="0" w:beforeAutospacing="0" w:after="0" w:afterAutospacing="0" w:line="240" w:lineRule="auto"/>
              <w:jc w:val="left"/>
              <w:textAlignment w:val="baseline"/>
              <w:rPr>
                <w:sz w:val="21"/>
                <w:szCs w:val="21"/>
              </w:rPr>
            </w:pPr>
            <w:r>
              <w:rPr>
                <w:rStyle w:val="52"/>
                <w:color w:val="000000" w:themeColor="text1"/>
                <w:kern w:val="0"/>
                <w:sz w:val="21"/>
                <w:szCs w:val="21"/>
                <w:lang w:val="pt-BR" w:bidi="ar-SA"/>
                <w14:textFill>
                  <w14:solidFill>
                    <w14:schemeClr w14:val="tx1"/>
                  </w14:solidFill>
                </w14:textFill>
              </w:rPr>
              <w:t>Amostra?</w:t>
            </w:r>
          </w:p>
          <w:p w14:paraId="5163E200">
            <w:pPr>
              <w:pStyle w:val="49"/>
              <w:widowControl/>
              <w:suppressAutoHyphens/>
              <w:spacing w:before="0" w:beforeAutospacing="0" w:after="0" w:afterAutospacing="0" w:line="240" w:lineRule="auto"/>
              <w:jc w:val="left"/>
              <w:textAlignment w:val="baseline"/>
              <w:rPr>
                <w:sz w:val="21"/>
                <w:szCs w:val="21"/>
              </w:rPr>
            </w:pPr>
            <w:r>
              <w:rPr>
                <w:rStyle w:val="52"/>
                <w:b/>
                <w:bCs/>
                <w:color w:val="000000" w:themeColor="text1"/>
                <w:kern w:val="0"/>
                <w:sz w:val="21"/>
                <w:szCs w:val="21"/>
                <w:lang w:val="pt-BR" w:bidi="ar-SA"/>
                <w14:textFill>
                  <w14:solidFill>
                    <w14:schemeClr w14:val="tx1"/>
                  </w14:solidFill>
                </w14:textFill>
              </w:rPr>
              <w:t>Não</w:t>
            </w:r>
          </w:p>
        </w:tc>
        <w:tc>
          <w:tcPr>
            <w:tcW w:w="2367" w:type="dxa"/>
            <w:gridSpan w:val="2"/>
            <w:shd w:val="clear" w:color="auto" w:fill="DDDDDD"/>
          </w:tcPr>
          <w:p w14:paraId="4DBA40D8">
            <w:pPr>
              <w:pStyle w:val="49"/>
              <w:widowControl/>
              <w:suppressAutoHyphens/>
              <w:spacing w:before="0" w:beforeAutospacing="0" w:after="0" w:afterAutospacing="0" w:line="240" w:lineRule="auto"/>
              <w:jc w:val="left"/>
              <w:textAlignment w:val="baseline"/>
              <w:rPr>
                <w:sz w:val="21"/>
                <w:szCs w:val="21"/>
              </w:rPr>
            </w:pPr>
            <w:r>
              <w:rPr>
                <w:rStyle w:val="52"/>
                <w:color w:val="000000" w:themeColor="text1"/>
                <w:kern w:val="0"/>
                <w:sz w:val="21"/>
                <w:szCs w:val="21"/>
                <w:lang w:val="pt-BR" w:bidi="ar-SA"/>
                <w14:textFill>
                  <w14:solidFill>
                    <w14:schemeClr w14:val="tx1"/>
                  </w14:solidFill>
                </w14:textFill>
              </w:rPr>
              <w:t>Instrumento Contratual?</w:t>
            </w:r>
          </w:p>
          <w:p w14:paraId="49DC53B7">
            <w:pPr>
              <w:pStyle w:val="49"/>
              <w:widowControl/>
              <w:suppressAutoHyphens/>
              <w:spacing w:before="0" w:beforeAutospacing="0" w:after="0" w:afterAutospacing="0" w:line="240" w:lineRule="auto"/>
              <w:jc w:val="left"/>
              <w:textAlignment w:val="baseline"/>
              <w:rPr>
                <w:sz w:val="21"/>
                <w:szCs w:val="21"/>
              </w:rPr>
            </w:pPr>
            <w:r>
              <w:rPr>
                <w:rStyle w:val="52"/>
                <w:b/>
                <w:bCs/>
                <w:color w:val="000000" w:themeColor="text1"/>
                <w:kern w:val="0"/>
                <w:sz w:val="21"/>
                <w:szCs w:val="21"/>
                <w:lang w:val="pt-BR" w:bidi="ar-SA"/>
                <w14:textFill>
                  <w14:solidFill>
                    <w14:schemeClr w14:val="tx1"/>
                  </w14:solidFill>
                </w14:textFill>
              </w:rPr>
              <w:t>Sim</w:t>
            </w:r>
          </w:p>
        </w:tc>
        <w:tc>
          <w:tcPr>
            <w:tcW w:w="53" w:type="dxa"/>
            <w:tcBorders>
              <w:top w:val="nil"/>
              <w:bottom w:val="nil"/>
            </w:tcBorders>
            <w:shd w:val="clear" w:color="auto" w:fill="CCCCCC" w:themeFill="text1" w:themeFillTint="33"/>
          </w:tcPr>
          <w:p w14:paraId="52C28714">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24748B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5"/>
          </w:tcPr>
          <w:p w14:paraId="5DD72C5F">
            <w:pPr>
              <w:pStyle w:val="32"/>
              <w:keepNext w:val="0"/>
              <w:keepLines w:val="0"/>
              <w:widowControl/>
              <w:suppressLineNumbers w:val="0"/>
              <w:spacing w:after="0" w:afterAutospacing="0" w:line="240" w:lineRule="auto"/>
              <w:jc w:val="both"/>
              <w:rPr>
                <w:rFonts w:hint="default" w:ascii="Times New Roman" w:hAnsi="Times New Roman"/>
                <w:b/>
                <w:bCs/>
                <w:sz w:val="21"/>
                <w:szCs w:val="21"/>
                <w:lang w:val="pt-BR"/>
              </w:rPr>
            </w:pPr>
            <w:r>
              <w:rPr>
                <w:rStyle w:val="52"/>
                <w:b w:val="0"/>
                <w:bCs w:val="0"/>
                <w:color w:val="000000" w:themeColor="text1"/>
                <w:kern w:val="0"/>
                <w:sz w:val="21"/>
                <w:szCs w:val="21"/>
                <w:lang w:val="pt-BR" w:bidi="ar-SA"/>
                <w14:textFill>
                  <w14:solidFill>
                    <w14:schemeClr w14:val="tx1"/>
                  </w14:solidFill>
                </w14:textFill>
              </w:rPr>
              <w:t>Objeto:</w:t>
            </w:r>
            <w:r>
              <w:rPr>
                <w:rStyle w:val="52"/>
                <w:rFonts w:hint="default"/>
                <w:b w:val="0"/>
                <w:bCs w:val="0"/>
                <w:color w:val="000000" w:themeColor="text1"/>
                <w:kern w:val="0"/>
                <w:sz w:val="21"/>
                <w:szCs w:val="21"/>
                <w:lang w:val="pt-BR" w:bidi="ar-SA"/>
                <w14:textFill>
                  <w14:solidFill>
                    <w14:schemeClr w14:val="tx1"/>
                  </w14:solidFill>
                </w14:textFill>
              </w:rPr>
              <w:t xml:space="preserve"> </w:t>
            </w:r>
            <w:r>
              <w:rPr>
                <w:rStyle w:val="52"/>
                <w:rFonts w:hint="default"/>
                <w:b/>
                <w:bCs/>
                <w:color w:val="000000" w:themeColor="text1"/>
                <w:kern w:val="0"/>
                <w:sz w:val="21"/>
                <w:szCs w:val="21"/>
                <w:lang w:val="pt-BR"/>
                <w14:textFill>
                  <w14:solidFill>
                    <w14:schemeClr w14:val="tx1"/>
                  </w14:solidFill>
                </w14:textFill>
              </w:rPr>
              <w:t>Registro de Preços para futura e eventual contratação Empresa Especializada em Confecção, Montagem e Instalação de Móveis Planejados, bem como Aquisição de Cadeiras, Poltronas e Eletrodomésticos para o Anexo da Câmara Municipal de Primavera do Leste - MT, conforme Padrão estabelecido em Projeto.</w:t>
            </w:r>
          </w:p>
        </w:tc>
        <w:tc>
          <w:tcPr>
            <w:tcW w:w="53" w:type="dxa"/>
            <w:tcBorders>
              <w:top w:val="nil"/>
              <w:bottom w:val="nil"/>
            </w:tcBorders>
          </w:tcPr>
          <w:p w14:paraId="48E0C2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24CA8576">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5"/>
            <w:shd w:val="clear" w:color="auto" w:fill="DDDDDD"/>
          </w:tcPr>
          <w:p w14:paraId="065B3D1F">
            <w:pPr>
              <w:pStyle w:val="49"/>
              <w:widowControl/>
              <w:suppressAutoHyphens/>
              <w:spacing w:before="0" w:beforeAutospacing="0" w:after="0" w:afterAutospacing="0" w:line="240" w:lineRule="auto"/>
              <w:jc w:val="both"/>
              <w:textAlignment w:val="baseline"/>
              <w:rPr>
                <w:rFonts w:hint="default"/>
                <w:b/>
                <w:bCs/>
                <w:sz w:val="21"/>
                <w:szCs w:val="21"/>
                <w:lang w:val="pt-BR"/>
              </w:rPr>
            </w:pPr>
            <w:r>
              <w:rPr>
                <w:rStyle w:val="52"/>
                <w:b w:val="0"/>
                <w:bCs w:val="0"/>
                <w:color w:val="000000" w:themeColor="text1"/>
                <w:kern w:val="0"/>
                <w:sz w:val="21"/>
                <w:szCs w:val="21"/>
                <w:lang w:val="pt-BR" w:bidi="ar-SA"/>
                <w14:textFill>
                  <w14:solidFill>
                    <w14:schemeClr w14:val="tx1"/>
                  </w14:solidFill>
                </w14:textFill>
              </w:rPr>
              <w:t>Valor Estimado:</w:t>
            </w:r>
            <w:r>
              <w:rPr>
                <w:rStyle w:val="52"/>
                <w:rFonts w:hint="default"/>
                <w:b w:val="0"/>
                <w:bCs w:val="0"/>
                <w:color w:val="000000" w:themeColor="text1"/>
                <w:kern w:val="0"/>
                <w:sz w:val="21"/>
                <w:szCs w:val="21"/>
                <w:lang w:val="pt-BR" w:bidi="ar-SA"/>
                <w14:textFill>
                  <w14:solidFill>
                    <w14:schemeClr w14:val="tx1"/>
                  </w14:solidFill>
                </w14:textFill>
              </w:rPr>
              <w:t xml:space="preserve"> </w:t>
            </w:r>
          </w:p>
          <w:p w14:paraId="29A97641">
            <w:pPr>
              <w:tabs>
                <w:tab w:val="left" w:pos="284"/>
              </w:tabs>
              <w:spacing w:line="240" w:lineRule="auto"/>
              <w:jc w:val="both"/>
              <w:rPr>
                <w:rFonts w:hint="default"/>
                <w:b/>
                <w:bCs/>
                <w:sz w:val="21"/>
                <w:szCs w:val="21"/>
                <w:lang w:val="pt-BR"/>
              </w:rPr>
            </w:pPr>
            <w:r>
              <w:rPr>
                <w:rStyle w:val="48"/>
                <w:rFonts w:eastAsia="Times New Roman"/>
                <w:b/>
                <w:bCs/>
                <w:sz w:val="21"/>
                <w:szCs w:val="21"/>
                <w:highlight w:val="none"/>
                <w:lang w:eastAsia="en-US"/>
              </w:rPr>
              <w:t xml:space="preserve"> </w:t>
            </w:r>
            <w:r>
              <w:rPr>
                <w:rFonts w:eastAsia="Liberation Sans" w:cs="Times New Roman"/>
                <w:b/>
                <w:bCs/>
                <w:color w:val="000000"/>
                <w:sz w:val="21"/>
                <w:szCs w:val="21"/>
                <w:highlight w:val="none"/>
              </w:rPr>
              <w:t>R</w:t>
            </w:r>
            <w:r>
              <w:rPr>
                <w:rFonts w:eastAsia="Times New Roman" w:cs="Times New Roman"/>
                <w:b/>
                <w:bCs/>
                <w:color w:val="000000"/>
                <w:sz w:val="21"/>
                <w:szCs w:val="21"/>
                <w:highlight w:val="none"/>
              </w:rPr>
              <w:t>$ 3.633.165,59  (três milhões seiscentos e trinta e três mil cento e sessenta e cinco reais e cinquenta e nove centavos).</w:t>
            </w:r>
          </w:p>
        </w:tc>
        <w:tc>
          <w:tcPr>
            <w:tcW w:w="53" w:type="dxa"/>
            <w:tcBorders>
              <w:top w:val="nil"/>
              <w:bottom w:val="nil"/>
            </w:tcBorders>
            <w:shd w:val="clear" w:color="auto" w:fill="CCCCCC" w:themeFill="text1" w:themeFillTint="33"/>
          </w:tcPr>
          <w:p w14:paraId="3401198C">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328333A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5088" w:type="dxa"/>
            <w:gridSpan w:val="2"/>
          </w:tcPr>
          <w:p w14:paraId="78BB0CDF">
            <w:pPr>
              <w:pStyle w:val="49"/>
              <w:widowControl/>
              <w:suppressAutoHyphens/>
              <w:spacing w:before="0" w:beforeAutospacing="0" w:after="0" w:afterAutospacing="0" w:line="240" w:lineRule="auto"/>
              <w:jc w:val="left"/>
              <w:textAlignment w:val="baseline"/>
              <w:rPr>
                <w:b/>
                <w:bCs/>
                <w:sz w:val="21"/>
                <w:szCs w:val="21"/>
              </w:rPr>
            </w:pPr>
            <w:r>
              <w:rPr>
                <w:rStyle w:val="52"/>
                <w:b w:val="0"/>
                <w:bCs w:val="0"/>
                <w:color w:val="000000" w:themeColor="text1"/>
                <w:kern w:val="0"/>
                <w:sz w:val="21"/>
                <w:szCs w:val="21"/>
                <w:shd w:val="clear" w:fill="auto"/>
                <w:lang w:val="pt-BR" w:bidi="ar-SA"/>
                <w14:textFill>
                  <w14:solidFill>
                    <w14:schemeClr w14:val="tx1"/>
                  </w14:solidFill>
                </w14:textFill>
              </w:rPr>
              <w:t>Pregoeiro:</w:t>
            </w:r>
          </w:p>
          <w:p w14:paraId="0CBC70BE">
            <w:pPr>
              <w:pStyle w:val="49"/>
              <w:widowControl/>
              <w:suppressAutoHyphens/>
              <w:spacing w:before="0" w:beforeAutospacing="0" w:after="0" w:afterAutospacing="0" w:line="240" w:lineRule="auto"/>
              <w:ind w:left="0" w:leftChars="0" w:firstLine="0" w:firstLineChars="0"/>
              <w:jc w:val="left"/>
              <w:textAlignment w:val="baseline"/>
              <w:rPr>
                <w:b/>
                <w:bCs/>
                <w:sz w:val="21"/>
                <w:szCs w:val="21"/>
              </w:rPr>
            </w:pPr>
            <w:r>
              <w:rPr>
                <w:rStyle w:val="52"/>
                <w:b/>
                <w:bCs/>
                <w:color w:val="000000" w:themeColor="text1"/>
                <w:kern w:val="0"/>
                <w:sz w:val="21"/>
                <w:szCs w:val="21"/>
                <w:shd w:val="clear" w:fill="auto"/>
                <w:lang w:val="pt-BR" w:bidi="ar-SA"/>
                <w14:textFill>
                  <w14:solidFill>
                    <w14:schemeClr w14:val="tx1"/>
                  </w14:solidFill>
                </w14:textFill>
              </w:rPr>
              <w:t>Wender de Souza Barros</w:t>
            </w:r>
          </w:p>
        </w:tc>
        <w:tc>
          <w:tcPr>
            <w:tcW w:w="3984" w:type="dxa"/>
            <w:gridSpan w:val="3"/>
          </w:tcPr>
          <w:p w14:paraId="64A9E4E9">
            <w:pPr>
              <w:pStyle w:val="49"/>
              <w:widowControl/>
              <w:suppressAutoHyphens/>
              <w:spacing w:before="0" w:beforeAutospacing="0" w:after="0" w:afterAutospacing="0" w:line="240" w:lineRule="auto"/>
              <w:jc w:val="left"/>
              <w:textAlignment w:val="baseline"/>
              <w:rPr>
                <w:sz w:val="21"/>
                <w:szCs w:val="21"/>
              </w:rPr>
            </w:pPr>
            <w:r>
              <w:rPr>
                <w:rStyle w:val="52"/>
                <w:color w:val="000000" w:themeColor="text1"/>
                <w:kern w:val="0"/>
                <w:sz w:val="21"/>
                <w:szCs w:val="21"/>
                <w:shd w:val="clear" w:fill="auto"/>
                <w:lang w:val="pt-BR" w:bidi="ar-SA"/>
                <w14:textFill>
                  <w14:solidFill>
                    <w14:schemeClr w14:val="tx1"/>
                  </w14:solidFill>
                </w14:textFill>
              </w:rPr>
              <w:t>Ato de Designação:</w:t>
            </w:r>
          </w:p>
          <w:p w14:paraId="02EE39EC">
            <w:pPr>
              <w:pStyle w:val="49"/>
              <w:widowControl/>
              <w:suppressAutoHyphens/>
              <w:spacing w:before="0" w:beforeAutospacing="0" w:after="0" w:afterAutospacing="0" w:line="240" w:lineRule="auto"/>
              <w:jc w:val="left"/>
              <w:textAlignment w:val="baseline"/>
              <w:rPr>
                <w:rFonts w:hint="default"/>
                <w:sz w:val="21"/>
                <w:szCs w:val="21"/>
                <w:lang w:val="pt-BR"/>
              </w:rPr>
            </w:pPr>
            <w:r>
              <w:rPr>
                <w:rStyle w:val="52"/>
                <w:rFonts w:cs="Times New Roman"/>
                <w:b/>
                <w:bCs/>
                <w:color w:val="000000" w:themeColor="text1"/>
                <w:sz w:val="21"/>
                <w:szCs w:val="21"/>
                <w:shd w:val="clear" w:fill="auto"/>
                <w:lang w:val="pt-BR"/>
                <w14:textFill>
                  <w14:solidFill>
                    <w14:schemeClr w14:val="tx1"/>
                  </w14:solidFill>
                </w14:textFill>
              </w:rPr>
              <w:t>Portaria nº 085/2024</w:t>
            </w:r>
          </w:p>
        </w:tc>
        <w:tc>
          <w:tcPr>
            <w:tcW w:w="53" w:type="dxa"/>
            <w:tcBorders>
              <w:top w:val="nil"/>
              <w:bottom w:val="nil"/>
            </w:tcBorders>
          </w:tcPr>
          <w:p w14:paraId="713F26B0">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4412C98F">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5088" w:type="dxa"/>
            <w:gridSpan w:val="2"/>
            <w:shd w:val="clear" w:color="auto" w:fill="D7D7D7" w:themeFill="background1" w:themeFillShade="D8"/>
          </w:tcPr>
          <w:p w14:paraId="7553198C">
            <w:pPr>
              <w:pStyle w:val="49"/>
              <w:widowControl/>
              <w:suppressAutoHyphens/>
              <w:spacing w:before="0" w:beforeAutospacing="0" w:after="0" w:afterAutospacing="0" w:line="240" w:lineRule="auto"/>
              <w:jc w:val="left"/>
              <w:textAlignment w:val="baseline"/>
              <w:rPr>
                <w:b/>
                <w:bCs/>
                <w:sz w:val="21"/>
                <w:szCs w:val="21"/>
              </w:rPr>
            </w:pPr>
            <w:r>
              <w:rPr>
                <w:rStyle w:val="52"/>
                <w:b w:val="0"/>
                <w:bCs w:val="0"/>
                <w:color w:val="000000" w:themeColor="text1"/>
                <w:kern w:val="0"/>
                <w:sz w:val="21"/>
                <w:szCs w:val="21"/>
                <w:lang w:val="pt-BR" w:bidi="ar-SA"/>
                <w14:textFill>
                  <w14:solidFill>
                    <w14:schemeClr w14:val="tx1"/>
                  </w14:solidFill>
                </w14:textFill>
              </w:rPr>
              <w:t>Lei de Regência:</w:t>
            </w:r>
          </w:p>
          <w:p w14:paraId="38EA71E4">
            <w:pPr>
              <w:pStyle w:val="49"/>
              <w:widowControl/>
              <w:suppressAutoHyphens/>
              <w:spacing w:before="0" w:beforeAutospacing="0" w:after="0" w:afterAutospacing="0" w:line="240" w:lineRule="auto"/>
              <w:ind w:left="0" w:leftChars="0" w:firstLine="0" w:firstLineChars="0"/>
              <w:jc w:val="left"/>
              <w:textAlignment w:val="baseline"/>
              <w:rPr>
                <w:b/>
                <w:bCs/>
                <w:sz w:val="21"/>
                <w:szCs w:val="21"/>
              </w:rPr>
            </w:pPr>
            <w:r>
              <w:rPr>
                <w:rStyle w:val="52"/>
                <w:b/>
                <w:bCs/>
                <w:color w:val="000000" w:themeColor="text1"/>
                <w:kern w:val="0"/>
                <w:sz w:val="21"/>
                <w:szCs w:val="21"/>
                <w:lang w:val="pt-BR" w:bidi="ar-SA"/>
                <w14:textFill>
                  <w14:solidFill>
                    <w14:schemeClr w14:val="tx1"/>
                  </w14:solidFill>
                </w14:textFill>
              </w:rPr>
              <w:t>Lei Federal nº 14.133, de 2021</w:t>
            </w:r>
          </w:p>
        </w:tc>
        <w:tc>
          <w:tcPr>
            <w:tcW w:w="3984" w:type="dxa"/>
            <w:gridSpan w:val="3"/>
            <w:shd w:val="clear" w:color="auto" w:fill="D7D7D7" w:themeFill="background1" w:themeFillShade="D8"/>
          </w:tcPr>
          <w:p w14:paraId="771436C1">
            <w:pPr>
              <w:pStyle w:val="49"/>
              <w:widowControl/>
              <w:suppressAutoHyphens/>
              <w:spacing w:before="0" w:beforeAutospacing="0" w:after="0" w:afterAutospacing="0" w:line="240" w:lineRule="auto"/>
              <w:jc w:val="left"/>
              <w:textAlignment w:val="baseline"/>
              <w:rPr>
                <w:sz w:val="21"/>
                <w:szCs w:val="21"/>
              </w:rPr>
            </w:pPr>
            <w:r>
              <w:rPr>
                <w:rStyle w:val="52"/>
                <w:color w:val="000000" w:themeColor="text1"/>
                <w:kern w:val="0"/>
                <w:sz w:val="21"/>
                <w:szCs w:val="21"/>
                <w:lang w:val="pt-BR" w:bidi="ar-SA"/>
                <w14:textFill>
                  <w14:solidFill>
                    <w14:schemeClr w14:val="tx1"/>
                  </w14:solidFill>
                </w14:textFill>
              </w:rPr>
              <w:t>Lei Complementar:</w:t>
            </w:r>
          </w:p>
          <w:p w14:paraId="54FEBCBD">
            <w:pPr>
              <w:pStyle w:val="49"/>
              <w:widowControl/>
              <w:suppressAutoHyphens/>
              <w:spacing w:before="0" w:beforeAutospacing="0" w:after="0" w:afterAutospacing="0" w:line="240" w:lineRule="auto"/>
              <w:ind w:left="0" w:leftChars="0" w:firstLine="0" w:firstLineChars="0"/>
              <w:jc w:val="left"/>
              <w:textAlignment w:val="baseline"/>
              <w:rPr>
                <w:sz w:val="21"/>
                <w:szCs w:val="21"/>
              </w:rPr>
            </w:pPr>
            <w:r>
              <w:rPr>
                <w:rStyle w:val="52"/>
                <w:b/>
                <w:bCs/>
                <w:color w:val="000000" w:themeColor="text1"/>
                <w:kern w:val="0"/>
                <w:sz w:val="21"/>
                <w:szCs w:val="21"/>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tcPr>
          <w:p w14:paraId="5E28192A">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14:paraId="3C47F48E">
      <w:pPr>
        <w:pStyle w:val="49"/>
        <w:spacing w:before="360" w:beforeAutospacing="0" w:after="120" w:afterAutospacing="0"/>
        <w:ind w:firstLine="0"/>
        <w:jc w:val="both"/>
        <w:textAlignment w:val="baseline"/>
        <w:rPr>
          <w:rStyle w:val="52"/>
          <w:color w:val="000000" w:themeColor="text1"/>
          <w:sz w:val="23"/>
          <w:szCs w:val="23"/>
          <w14:textFill>
            <w14:solidFill>
              <w14:schemeClr w14:val="tx1"/>
            </w14:solidFill>
          </w14:textFill>
        </w:rPr>
      </w:pPr>
      <w:r>
        <w:rPr>
          <w:rStyle w:val="52"/>
          <w:color w:val="000000" w:themeColor="text1"/>
          <w:sz w:val="23"/>
          <w:szCs w:val="23"/>
          <w14:textFill>
            <w14:solidFill>
              <w14:schemeClr w14:val="tx1"/>
            </w14:solidFill>
          </w14:textFill>
        </w:rPr>
        <w:tab/>
      </w:r>
      <w:r>
        <w:rPr>
          <w:rStyle w:val="52"/>
          <w:color w:val="000000" w:themeColor="text1"/>
          <w:sz w:val="23"/>
          <w:szCs w:val="23"/>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2"/>
          <w:color w:val="auto"/>
          <w:sz w:val="23"/>
          <w:szCs w:val="23"/>
        </w:rPr>
        <w:t>com participação</w:t>
      </w:r>
      <w:r>
        <w:rPr>
          <w:rStyle w:val="52"/>
          <w:rFonts w:hint="default"/>
          <w:color w:val="auto"/>
          <w:sz w:val="23"/>
          <w:szCs w:val="23"/>
          <w:lang w:val="pt-BR"/>
        </w:rPr>
        <w:t xml:space="preserve"> Ampla,</w:t>
      </w:r>
      <w:r>
        <w:rPr>
          <w:rStyle w:val="52"/>
          <w:rFonts w:hint="default"/>
          <w:color w:val="000000" w:themeColor="text1"/>
          <w:sz w:val="23"/>
          <w:szCs w:val="23"/>
          <w:lang w:val="pt-BR"/>
          <w14:textFill>
            <w14:solidFill>
              <w14:schemeClr w14:val="tx1"/>
            </w14:solidFill>
          </w14:textFill>
        </w:rPr>
        <w:t xml:space="preserve"> </w:t>
      </w:r>
      <w:r>
        <w:rPr>
          <w:rStyle w:val="52"/>
          <w:color w:val="000000" w:themeColor="text1"/>
          <w:sz w:val="23"/>
          <w:szCs w:val="23"/>
          <w14:textFill>
            <w14:solidFill>
              <w14:schemeClr w14:val="tx1"/>
            </w14:solidFill>
          </w14:textFill>
        </w:rPr>
        <w:t>para</w:t>
      </w:r>
      <w:r>
        <w:rPr>
          <w:rStyle w:val="52"/>
          <w:rFonts w:hint="default"/>
          <w:color w:val="000000" w:themeColor="text1"/>
          <w:sz w:val="23"/>
          <w:szCs w:val="23"/>
          <w:lang w:val="pt-BR"/>
          <w14:textFill>
            <w14:solidFill>
              <w14:schemeClr w14:val="tx1"/>
            </w14:solidFill>
          </w14:textFill>
        </w:rPr>
        <w:t xml:space="preserve"> </w:t>
      </w:r>
      <w:r>
        <w:rPr>
          <w:rStyle w:val="52"/>
          <w:rFonts w:hint="default"/>
          <w:b/>
          <w:bCs/>
          <w:color w:val="000000" w:themeColor="text1"/>
          <w:kern w:val="0"/>
          <w:sz w:val="22"/>
          <w:szCs w:val="22"/>
          <w:lang w:val="pt-BR"/>
          <w14:textFill>
            <w14:solidFill>
              <w14:schemeClr w14:val="tx1"/>
            </w14:solidFill>
          </w14:textFill>
        </w:rPr>
        <w:t>Registro de preços para futura e eventual contratação empresa especializada em confecção, montagem e instalação de móveis planejados, bem como aquisição de cadeiras, poltronas e eletrodomésticos para o anexo da Câmara Municipal de Primavera do Leste - MT, conforme padrão estabelecido em projeto</w:t>
      </w:r>
      <w:r>
        <w:rPr>
          <w:b/>
          <w:bCs/>
          <w:color w:val="000000"/>
          <w:kern w:val="0"/>
          <w:sz w:val="23"/>
          <w:szCs w:val="23"/>
          <w:lang w:val="pt-BR" w:bidi="ar-SA"/>
        </w:rPr>
        <w:t xml:space="preserve">, </w:t>
      </w:r>
      <w:r>
        <w:rPr>
          <w:color w:val="000000"/>
          <w:sz w:val="23"/>
          <w:szCs w:val="23"/>
        </w:rPr>
        <w:t xml:space="preserve"> </w:t>
      </w:r>
      <w:r>
        <w:rPr>
          <w:rStyle w:val="52"/>
          <w:color w:val="000000" w:themeColor="text1"/>
          <w:sz w:val="23"/>
          <w:szCs w:val="23"/>
          <w14:textFill>
            <w14:solidFill>
              <w14:schemeClr w14:val="tx1"/>
            </w14:solidFill>
          </w14:textFill>
        </w:rPr>
        <w:t xml:space="preserve">conforme especificações, condições, quantidades e prazos constantes do </w:t>
      </w:r>
      <w:r>
        <w:rPr>
          <w:sz w:val="23"/>
          <w:szCs w:val="23"/>
        </w:rPr>
        <w:fldChar w:fldCharType="begin"/>
      </w:r>
      <w:r>
        <w:rPr>
          <w:sz w:val="23"/>
          <w:szCs w:val="23"/>
        </w:rPr>
        <w:instrText xml:space="preserve"> HYPERLINK \l "_ANEXO_I_-_1" \h </w:instrText>
      </w:r>
      <w:r>
        <w:rPr>
          <w:sz w:val="23"/>
          <w:szCs w:val="23"/>
        </w:rPr>
        <w:fldChar w:fldCharType="separate"/>
      </w:r>
      <w:r>
        <w:rPr>
          <w:rStyle w:val="61"/>
          <w:sz w:val="23"/>
          <w:szCs w:val="23"/>
        </w:rPr>
        <w:t>Termo de Referência - Anexo I deste Edital</w:t>
      </w:r>
      <w:r>
        <w:rPr>
          <w:rStyle w:val="61"/>
          <w:sz w:val="23"/>
          <w:szCs w:val="23"/>
        </w:rPr>
        <w:fldChar w:fldCharType="end"/>
      </w:r>
      <w:r>
        <w:rPr>
          <w:rStyle w:val="52"/>
          <w:color w:val="000000" w:themeColor="text1"/>
          <w:sz w:val="23"/>
          <w:szCs w:val="23"/>
          <w14:textFill>
            <w14:solidFill>
              <w14:schemeClr w14:val="tx1"/>
            </w14:solidFill>
          </w14:textFill>
        </w:rPr>
        <w:t xml:space="preserve">. </w:t>
      </w:r>
    </w:p>
    <w:p w14:paraId="13F15929">
      <w:pPr>
        <w:pStyle w:val="49"/>
        <w:spacing w:before="120" w:beforeAutospacing="0" w:after="120" w:afterAutospacing="0"/>
        <w:ind w:firstLine="567"/>
        <w:jc w:val="both"/>
        <w:textAlignment w:val="baseline"/>
        <w:rPr>
          <w:sz w:val="23"/>
          <w:szCs w:val="23"/>
        </w:rPr>
        <w:sectPr>
          <w:headerReference r:id="rId5" w:type="default"/>
          <w:footerReference r:id="rId6" w:type="default"/>
          <w:pgSz w:w="11906" w:h="16838"/>
          <w:pgMar w:top="2658" w:right="1274" w:bottom="1134" w:left="1701" w:header="709" w:footer="709" w:gutter="0"/>
          <w:pgBorders>
            <w:top w:val="none" w:sz="0" w:space="0"/>
            <w:left w:val="none" w:sz="0" w:space="0"/>
            <w:bottom w:val="none" w:sz="0" w:space="0"/>
            <w:right w:val="none" w:sz="0" w:space="0"/>
          </w:pgBorders>
          <w:pgNumType w:fmt="decimal"/>
          <w:cols w:space="720" w:num="1"/>
          <w:formProt w:val="0"/>
          <w:docGrid w:linePitch="360" w:charSpace="4096"/>
        </w:sectPr>
      </w:pPr>
      <w:r>
        <w:rPr>
          <w:rStyle w:val="52"/>
          <w:color w:val="000000" w:themeColor="text1"/>
          <w:sz w:val="23"/>
          <w:szCs w:val="23"/>
          <w14:textFill>
            <w14:solidFill>
              <w14:schemeClr w14:val="tx1"/>
            </w14:solidFill>
          </w14:textFill>
        </w:rPr>
        <w:t xml:space="preserve">A licitação será regida pela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1"/>
          <w:sz w:val="23"/>
          <w:szCs w:val="23"/>
        </w:rPr>
        <w:t>Lei Federal nº 14.133, de 2021</w:t>
      </w:r>
      <w:r>
        <w:rPr>
          <w:rStyle w:val="61"/>
          <w:sz w:val="23"/>
          <w:szCs w:val="23"/>
        </w:rPr>
        <w:fldChar w:fldCharType="end"/>
      </w:r>
      <w:r>
        <w:rPr>
          <w:rStyle w:val="52"/>
          <w:color w:val="000000" w:themeColor="text1"/>
          <w:sz w:val="23"/>
          <w:szCs w:val="23"/>
          <w14:textFill>
            <w14:solidFill>
              <w14:schemeClr w14:val="tx1"/>
            </w14:solidFill>
          </w14:textFill>
        </w:rPr>
        <w:t xml:space="preserve"> e, complementarmente, pela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1"/>
          <w:sz w:val="23"/>
          <w:szCs w:val="23"/>
        </w:rPr>
        <w:t>Lei Complementar Federal nº 123, de 2006</w:t>
      </w:r>
      <w:r>
        <w:rPr>
          <w:rStyle w:val="61"/>
          <w:sz w:val="23"/>
          <w:szCs w:val="23"/>
        </w:rPr>
        <w:fldChar w:fldCharType="end"/>
      </w:r>
      <w:r>
        <w:rPr>
          <w:rStyle w:val="52"/>
          <w:color w:val="000000" w:themeColor="text1"/>
          <w:sz w:val="23"/>
          <w:szCs w:val="23"/>
          <w:shd w:val="clear" w:fill="auto"/>
          <w14:textFill>
            <w14:solidFill>
              <w14:schemeClr w14:val="tx1"/>
            </w14:solidFill>
          </w14:textFill>
        </w:rPr>
        <w:t>, pelas Resoluções 042/</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043/</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044/</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046/</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048/</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049/</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050/</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051/</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052/</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053/</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055/</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055/</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056/</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057/</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058/</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059/</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06</w:t>
      </w:r>
      <w:r>
        <w:rPr>
          <w:rStyle w:val="52"/>
          <w:color w:val="000000" w:themeColor="text1"/>
          <w:sz w:val="23"/>
          <w:szCs w:val="23"/>
          <w:shd w:val="clear" w:fill="auto"/>
          <w:lang w:val="pt-BR"/>
          <w14:textFill>
            <w14:solidFill>
              <w14:schemeClr w14:val="tx1"/>
            </w14:solidFill>
          </w14:textFill>
        </w:rPr>
        <w:t>2</w:t>
      </w:r>
      <w:r>
        <w:rPr>
          <w:rStyle w:val="52"/>
          <w:color w:val="000000" w:themeColor="text1"/>
          <w:sz w:val="23"/>
          <w:szCs w:val="23"/>
          <w:shd w:val="clear" w:fill="auto"/>
          <w14:textFill>
            <w14:solidFill>
              <w14:schemeClr w14:val="tx1"/>
            </w14:solidFill>
          </w14:textFill>
        </w:rPr>
        <w:t>/</w:t>
      </w:r>
      <w:r>
        <w:rPr>
          <w:rStyle w:val="52"/>
          <w:color w:val="000000" w:themeColor="text1"/>
          <w:sz w:val="23"/>
          <w:szCs w:val="23"/>
          <w:shd w:val="clear" w:fill="auto"/>
          <w:lang w:val="pt-BR"/>
          <w14:textFill>
            <w14:solidFill>
              <w14:schemeClr w14:val="tx1"/>
            </w14:solidFill>
          </w14:textFill>
        </w:rPr>
        <w:t xml:space="preserve">2023 </w:t>
      </w:r>
      <w:r>
        <w:rPr>
          <w:rStyle w:val="52"/>
          <w:color w:val="000000" w:themeColor="text1"/>
          <w:sz w:val="23"/>
          <w:szCs w:val="23"/>
          <w:shd w:val="clear" w:fill="auto"/>
          <w14:textFill>
            <w14:solidFill>
              <w14:schemeClr w14:val="tx1"/>
            </w14:solidFill>
          </w14:textFill>
        </w:rPr>
        <w:t>e 06</w:t>
      </w:r>
      <w:r>
        <w:rPr>
          <w:rStyle w:val="52"/>
          <w:color w:val="000000" w:themeColor="text1"/>
          <w:sz w:val="23"/>
          <w:szCs w:val="23"/>
          <w:shd w:val="clear" w:fill="auto"/>
          <w:lang w:val="pt-BR"/>
          <w14:textFill>
            <w14:solidFill>
              <w14:schemeClr w14:val="tx1"/>
            </w14:solidFill>
          </w14:textFill>
        </w:rPr>
        <w:t>4</w:t>
      </w:r>
      <w:r>
        <w:rPr>
          <w:rStyle w:val="52"/>
          <w:color w:val="000000" w:themeColor="text1"/>
          <w:sz w:val="23"/>
          <w:szCs w:val="23"/>
          <w:shd w:val="clear" w:fill="auto"/>
          <w14:textFill>
            <w14:solidFill>
              <w14:schemeClr w14:val="tx1"/>
            </w14:solidFill>
          </w14:textFill>
        </w:rPr>
        <w:t>/2024.</w:t>
      </w:r>
    </w:p>
    <w:p w14:paraId="398E82DE">
      <w:pPr>
        <w:pStyle w:val="49"/>
        <w:spacing w:before="120" w:beforeAutospacing="0" w:after="120" w:afterAutospacing="0"/>
        <w:ind w:firstLine="567"/>
        <w:jc w:val="both"/>
        <w:textAlignment w:val="baseline"/>
        <w:rPr>
          <w:rFonts w:ascii="Times New Roman" w:hAnsi="Times New Roman"/>
          <w:color w:val="000000" w:themeColor="text1"/>
          <w:sz w:val="22"/>
          <w:szCs w:val="22"/>
          <w:highlight w:val="none"/>
          <w:shd w:val="clear" w:fill="FFE994"/>
          <w14:textFill>
            <w14:solidFill>
              <w14:schemeClr w14:val="tx1"/>
            </w14:solidFill>
          </w14:textFill>
        </w:rPr>
      </w:pPr>
    </w:p>
    <w:p w14:paraId="17F82307">
      <w:pPr>
        <w:pStyle w:val="49"/>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2"/>
          <w:b/>
          <w:bCs/>
          <w:sz w:val="22"/>
          <w:szCs w:val="22"/>
        </w:rPr>
        <w:t>SUMÁRIO</w:t>
      </w:r>
    </w:p>
    <w:p w14:paraId="248A463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4A8C6B6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78E0ECD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6D55BDD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.........................................................................................................3</w:t>
      </w:r>
    </w:p>
    <w:p w14:paraId="132DC53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..3</w:t>
      </w:r>
    </w:p>
    <w:p w14:paraId="2FB1AB7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14:paraId="53325B8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14:paraId="329EE19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2D6F960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0B76D59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b/>
          <w:bCs/>
          <w:color w:val="000000" w:themeColor="text1"/>
          <w:sz w:val="22"/>
          <w:szCs w:val="22"/>
          <w:highlight w:val="none"/>
          <w:shd w:val="clear" w:color="auto" w:fill="auto"/>
          <w:lang w:val="pt-BR"/>
          <w14:textFill>
            <w14:solidFill>
              <w14:schemeClr w14:val="tx1"/>
            </w14:solidFill>
          </w14:textFill>
        </w:rPr>
        <w:t>11</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...................................................................................................................6</w:t>
      </w:r>
    </w:p>
    <w:p w14:paraId="4414C17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......................................................................................7</w:t>
      </w:r>
    </w:p>
    <w:p w14:paraId="0E688B0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br w:type="textWrapping"/>
      </w:r>
      <w:r>
        <w:rPr>
          <w:rFonts w:hint="default"/>
          <w:b/>
          <w:bCs/>
          <w:color w:val="000000" w:themeColor="text1"/>
          <w:sz w:val="22"/>
          <w:szCs w:val="22"/>
          <w:highlight w:val="none"/>
          <w:shd w:val="clear" w:color="auto" w:fill="auto"/>
          <w:lang w:val="pt-BR"/>
          <w14:textFill>
            <w14:solidFill>
              <w14:schemeClr w14:val="tx1"/>
            </w14:solidFill>
          </w14:textFill>
        </w:rPr>
        <w:t>14. ABERTURA DA SESSÃO............................................................................................................9</w:t>
      </w:r>
    </w:p>
    <w:p w14:paraId="7BBCB5DA">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p>
    <w:p w14:paraId="1A9CA14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14:paraId="2C59C47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0</w:t>
      </w:r>
    </w:p>
    <w:p w14:paraId="27C5F2B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p>
    <w:p w14:paraId="1AAA088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1FE01F1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088673C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386783E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3CB2910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6E47249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18EE2C3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5BADE33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.15</w:t>
      </w:r>
    </w:p>
    <w:p w14:paraId="0BFA6C0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.17</w:t>
      </w:r>
    </w:p>
    <w:p w14:paraId="04B1949F">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18</w:t>
      </w:r>
    </w:p>
    <w:p w14:paraId="7CEC554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....................................................18</w:t>
      </w:r>
    </w:p>
    <w:p w14:paraId="57951BE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.....................................................................18</w:t>
      </w:r>
    </w:p>
    <w:p w14:paraId="34A0D6A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S.........................................................................................................19</w:t>
      </w:r>
    </w:p>
    <w:p w14:paraId="2E19129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.......................................................19</w:t>
      </w:r>
    </w:p>
    <w:p w14:paraId="13AA26E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.....................................................................................20</w:t>
      </w:r>
    </w:p>
    <w:p w14:paraId="31703673">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..................................................................................21</w:t>
      </w:r>
    </w:p>
    <w:p w14:paraId="0863171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......................................................................................22</w:t>
      </w:r>
    </w:p>
    <w:p w14:paraId="36F58CE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...........................................................................................................22</w:t>
      </w:r>
    </w:p>
    <w:p w14:paraId="54C4B69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A.......................................................................23</w:t>
      </w:r>
    </w:p>
    <w:p w14:paraId="5C73920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3</w:t>
      </w:r>
    </w:p>
    <w:p w14:paraId="4DFF1BA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31B284D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p>
    <w:p w14:paraId="7888BC6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w:t>
      </w:r>
      <w:r>
        <w:rPr>
          <w:rFonts w:hint="default"/>
          <w:b/>
          <w:bCs/>
          <w:color w:val="000000" w:themeColor="text1"/>
          <w:sz w:val="22"/>
          <w:szCs w:val="22"/>
          <w:highlight w:val="none"/>
          <w:shd w:val="clear" w:color="auto" w:fill="auto"/>
          <w:lang w:val="pt-BR"/>
          <w14:textFill>
            <w14:solidFill>
              <w14:schemeClr w14:val="tx1"/>
            </w14:solidFill>
          </w14:textFill>
        </w:rPr>
        <w:t>6</w:t>
      </w:r>
    </w:p>
    <w:p w14:paraId="705D0A8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28</w:t>
      </w:r>
    </w:p>
    <w:p w14:paraId="284F14DF">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29</w:t>
      </w:r>
    </w:p>
    <w:p w14:paraId="7BDCFA1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...............................................................................93</w:t>
      </w:r>
    </w:p>
    <w:p w14:paraId="26EE03A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.......................................................................................94</w:t>
      </w:r>
    </w:p>
    <w:p w14:paraId="268E5C8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IV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.................................................95</w:t>
      </w:r>
    </w:p>
    <w:p w14:paraId="5BF003EA">
      <w:pPr>
        <w:pStyle w:val="27"/>
        <w:bidi w:val="0"/>
        <w:rPr>
          <w:rFonts w:hint="default"/>
          <w:lang w:val="pt-BR"/>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O................................................106</w:t>
      </w:r>
    </w:p>
    <w:p w14:paraId="21813A40">
      <w:pPr>
        <w:pStyle w:val="2"/>
        <w:spacing w:before="360" w:after="0"/>
        <w:rPr>
          <w:sz w:val="22"/>
          <w:szCs w:val="22"/>
        </w:rPr>
      </w:pPr>
      <w:bookmarkStart w:id="0" w:name="_Toc149517427"/>
      <w:r>
        <w:rPr>
          <w:rStyle w:val="52"/>
          <w:sz w:val="22"/>
          <w:szCs w:val="22"/>
        </w:rPr>
        <w:t>PUBLICIDADE</w:t>
      </w:r>
      <w:bookmarkEnd w:id="0"/>
    </w:p>
    <w:p w14:paraId="7ADE3DA3">
      <w:pPr>
        <w:pStyle w:val="49"/>
        <w:numPr>
          <w:ilvl w:val="1"/>
          <w:numId w:val="1"/>
        </w:numPr>
        <w:tabs>
          <w:tab w:val="left" w:pos="1134"/>
        </w:tabs>
        <w:spacing w:before="120" w:beforeAutospacing="0" w:after="0" w:afterAutospacing="0" w:line="240" w:lineRule="auto"/>
        <w:ind w:left="-87" w:leftChars="0" w:firstLine="567" w:firstLineChars="0"/>
        <w:jc w:val="both"/>
        <w:textAlignment w:val="baseline"/>
        <w:rPr>
          <w:sz w:val="22"/>
          <w:szCs w:val="22"/>
        </w:rPr>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xml:space="preserve">, nos termos fixados nos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da Lei Federal nº 14.133, de 2021</w:t>
      </w:r>
      <w:r>
        <w:rPr>
          <w:rStyle w:val="61"/>
          <w:sz w:val="22"/>
          <w:szCs w:val="22"/>
        </w:rPr>
        <w:fldChar w:fldCharType="end"/>
      </w:r>
      <w:r>
        <w:rPr>
          <w:sz w:val="22"/>
          <w:szCs w:val="22"/>
        </w:rPr>
        <w:t>.</w:t>
      </w:r>
    </w:p>
    <w:p w14:paraId="3CEBFB3F">
      <w:pPr>
        <w:pStyle w:val="49"/>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O presente Edital também será publicado, em forma de AVISO, no </w:t>
      </w:r>
      <w:r>
        <w:rPr>
          <w:sz w:val="22"/>
          <w:szCs w:val="22"/>
        </w:rPr>
        <w:fldChar w:fldCharType="begin"/>
      </w:r>
      <w:r>
        <w:rPr>
          <w:sz w:val="22"/>
          <w:szCs w:val="22"/>
        </w:rPr>
        <w:instrText xml:space="preserve"> HYPERLINK "https://www.in.gov.br/servicos/diario-oficial-da-uniao" \h </w:instrText>
      </w:r>
      <w:r>
        <w:rPr>
          <w:sz w:val="22"/>
          <w:szCs w:val="22"/>
        </w:rPr>
        <w:fldChar w:fldCharType="separate"/>
      </w:r>
      <w:r>
        <w:rPr>
          <w:rStyle w:val="61"/>
          <w:sz w:val="22"/>
          <w:szCs w:val="22"/>
        </w:rPr>
        <w:t>Diário Oficial</w:t>
      </w:r>
      <w:r>
        <w:rPr>
          <w:rStyle w:val="61"/>
          <w:sz w:val="22"/>
          <w:szCs w:val="22"/>
        </w:rPr>
        <w:fldChar w:fldCharType="end"/>
      </w:r>
      <w:r>
        <w:rPr>
          <w:sz w:val="22"/>
          <w:szCs w:val="22"/>
        </w:rPr>
        <w:t>, bem como em jornal diário de grande circulação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 1º, da Lei Federal nº 14.133, de 2021</w:t>
      </w:r>
      <w:r>
        <w:rPr>
          <w:rStyle w:val="61"/>
          <w:sz w:val="22"/>
          <w:szCs w:val="22"/>
        </w:rPr>
        <w:fldChar w:fldCharType="end"/>
      </w:r>
      <w:r>
        <w:rPr>
          <w:sz w:val="22"/>
          <w:szCs w:val="22"/>
        </w:rPr>
        <w:t>).</w:t>
      </w:r>
    </w:p>
    <w:p w14:paraId="70FA88B0">
      <w:pPr>
        <w:pStyle w:val="49"/>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e no sítio internet da Câmara Municipal de Primavera do Leste - MT,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w:t>
      </w:r>
    </w:p>
    <w:p w14:paraId="79B61347">
      <w:pPr>
        <w:pStyle w:val="2"/>
        <w:spacing w:before="360" w:after="0"/>
        <w:rPr>
          <w:sz w:val="22"/>
          <w:szCs w:val="22"/>
        </w:rPr>
      </w:pPr>
      <w:bookmarkStart w:id="1" w:name="_Toc149517428"/>
      <w:r>
        <w:rPr>
          <w:rStyle w:val="52"/>
          <w:sz w:val="22"/>
          <w:szCs w:val="22"/>
        </w:rPr>
        <w:t>PLATAFORMA ELETRÔNICA</w:t>
      </w:r>
      <w:bookmarkEnd w:id="1"/>
    </w:p>
    <w:p w14:paraId="2D5F3920">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O Pregão</w:t>
      </w:r>
      <w:r>
        <w:rPr>
          <w:rStyle w:val="52"/>
          <w:color w:val="000000"/>
          <w:sz w:val="22"/>
          <w:szCs w:val="22"/>
        </w:rPr>
        <w:t>, em sua forma eletrônica (</w:t>
      </w:r>
      <w:r>
        <w:rPr>
          <w:sz w:val="22"/>
          <w:szCs w:val="22"/>
        </w:rPr>
        <w:fldChar w:fldCharType="begin"/>
      </w:r>
      <w:r>
        <w:rPr>
          <w:rStyle w:val="61"/>
          <w:sz w:val="22"/>
          <w:szCs w:val="22"/>
        </w:rPr>
        <w:instrText xml:space="preserve"> HYPERLINK "http://www.planalto.gov.br/ccivil_03/_ato2019-2022/2021/lei/L14133.htm"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24D7D0ED">
      <w:pPr>
        <w:pStyle w:val="2"/>
        <w:spacing w:before="360" w:after="0"/>
        <w:rPr>
          <w:sz w:val="22"/>
          <w:szCs w:val="22"/>
        </w:rPr>
      </w:pPr>
      <w:bookmarkStart w:id="2" w:name="_DATA_E_HORÁRIO"/>
      <w:bookmarkEnd w:id="2"/>
      <w:bookmarkStart w:id="3" w:name="_Toc149517429"/>
      <w:r>
        <w:rPr>
          <w:rStyle w:val="52"/>
          <w:sz w:val="22"/>
          <w:szCs w:val="22"/>
        </w:rPr>
        <w:t>DATA E HORÁRIO</w:t>
      </w:r>
      <w:bookmarkEnd w:id="3"/>
    </w:p>
    <w:p w14:paraId="1CD532B7">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A(s) proposta(s) de preços e os documentos de habilitação deverão ser cadastrados no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r>
        <w:rPr>
          <w:sz w:val="22"/>
          <w:szCs w:val="22"/>
          <w:highlight w:val="none"/>
        </w:rPr>
        <w:t xml:space="preserve"> até às </w:t>
      </w:r>
      <w:r>
        <w:rPr>
          <w:rFonts w:hint="default"/>
          <w:sz w:val="22"/>
          <w:szCs w:val="22"/>
          <w:highlight w:val="none"/>
          <w:lang w:val="pt-BR"/>
        </w:rPr>
        <w:t>09:00</w:t>
      </w:r>
      <w:r>
        <w:rPr>
          <w:sz w:val="22"/>
          <w:szCs w:val="22"/>
          <w:highlight w:val="none"/>
        </w:rPr>
        <w:t xml:space="preserve"> horas (horário oficial de Brasília/DF) do dia </w:t>
      </w:r>
      <w:r>
        <w:rPr>
          <w:rFonts w:hint="default"/>
          <w:sz w:val="22"/>
          <w:szCs w:val="22"/>
          <w:highlight w:val="none"/>
          <w:lang w:val="pt-BR"/>
        </w:rPr>
        <w:t>16</w:t>
      </w:r>
      <w:r>
        <w:rPr>
          <w:sz w:val="22"/>
          <w:szCs w:val="22"/>
          <w:highlight w:val="none"/>
        </w:rPr>
        <w:t xml:space="preserve"> de </w:t>
      </w:r>
      <w:r>
        <w:rPr>
          <w:rFonts w:hint="default"/>
          <w:sz w:val="22"/>
          <w:szCs w:val="22"/>
          <w:highlight w:val="none"/>
          <w:lang w:val="pt-BR"/>
        </w:rPr>
        <w:t>julho</w:t>
      </w:r>
      <w:r>
        <w:rPr>
          <w:sz w:val="22"/>
          <w:szCs w:val="22"/>
          <w:highlight w:val="none"/>
        </w:rPr>
        <w:t xml:space="preserve"> de 2024 (</w:t>
      </w:r>
      <w:r>
        <w:rPr>
          <w:rFonts w:hint="default"/>
          <w:sz w:val="22"/>
          <w:szCs w:val="22"/>
          <w:highlight w:val="none"/>
          <w:lang w:val="pt-BR"/>
        </w:rPr>
        <w:t xml:space="preserve">Terça </w:t>
      </w:r>
      <w:r>
        <w:rPr>
          <w:sz w:val="22"/>
          <w:szCs w:val="22"/>
          <w:highlight w:val="none"/>
        </w:rPr>
        <w:t>-</w:t>
      </w:r>
      <w:r>
        <w:rPr>
          <w:rFonts w:hint="default"/>
          <w:sz w:val="22"/>
          <w:szCs w:val="22"/>
          <w:highlight w:val="none"/>
          <w:lang w:val="pt-BR"/>
        </w:rPr>
        <w:t xml:space="preserve"> </w:t>
      </w:r>
      <w:r>
        <w:rPr>
          <w:sz w:val="22"/>
          <w:szCs w:val="22"/>
          <w:highlight w:val="none"/>
        </w:rPr>
        <w:t>feira), quando se dará a abertura da sessão pública.</w:t>
      </w:r>
    </w:p>
    <w:p w14:paraId="57F0F20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14:paraId="750FBEF7">
      <w:pPr>
        <w:pStyle w:val="2"/>
        <w:spacing w:before="360" w:after="0"/>
        <w:rPr>
          <w:sz w:val="22"/>
          <w:szCs w:val="22"/>
        </w:rPr>
      </w:pPr>
      <w:bookmarkStart w:id="4" w:name="_Toc149517430"/>
      <w:r>
        <w:rPr>
          <w:rStyle w:val="52"/>
          <w:sz w:val="22"/>
          <w:szCs w:val="22"/>
        </w:rPr>
        <w:t>AGENTE DE CONTRAÇÃO</w:t>
      </w:r>
      <w:bookmarkEnd w:id="4"/>
    </w:p>
    <w:p w14:paraId="59BB7E89">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Os trabalhos do certame licitatório serão conduzidos pelo  servidor </w:t>
      </w:r>
      <w:r>
        <w:rPr>
          <w:rStyle w:val="52"/>
          <w:b/>
          <w:bCs/>
          <w:color w:val="000000" w:themeColor="text1"/>
          <w:sz w:val="22"/>
          <w:szCs w:val="22"/>
          <w:shd w:val="clear" w:fill="auto"/>
          <w14:textFill>
            <w14:solidFill>
              <w14:schemeClr w14:val="tx1"/>
            </w14:solidFill>
          </w14:textFill>
        </w:rPr>
        <w:t>Wender de Souza Barros</w:t>
      </w:r>
      <w:r>
        <w:rPr>
          <w:b/>
          <w:bCs/>
          <w:sz w:val="22"/>
          <w:szCs w:val="22"/>
          <w:shd w:val="clear" w:fill="auto"/>
        </w:rPr>
        <w:t>,</w:t>
      </w:r>
      <w:r>
        <w:rPr>
          <w:sz w:val="22"/>
          <w:szCs w:val="22"/>
        </w:rPr>
        <w:t xml:space="preserve"> designado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da Lei Federal nº 14.133, de 2021</w:t>
      </w:r>
      <w:r>
        <w:rPr>
          <w:rStyle w:val="61"/>
          <w:sz w:val="22"/>
          <w:szCs w:val="22"/>
        </w:rPr>
        <w:fldChar w:fldCharType="end"/>
      </w:r>
      <w:r>
        <w:rPr>
          <w:sz w:val="22"/>
          <w:szCs w:val="22"/>
        </w:rPr>
        <w:t>) por intermédio da Portaria nº 0</w:t>
      </w:r>
      <w:r>
        <w:rPr>
          <w:rFonts w:hint="default"/>
          <w:sz w:val="22"/>
          <w:szCs w:val="22"/>
          <w:lang w:val="pt-BR"/>
        </w:rPr>
        <w:t>85</w:t>
      </w:r>
      <w:r>
        <w:rPr>
          <w:sz w:val="22"/>
          <w:szCs w:val="22"/>
        </w:rPr>
        <w:t xml:space="preserve"> de 2024, e que nesta licitação será denominado(a)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§5º, da Lei Federal nº 14.133, de 2021</w:t>
      </w:r>
      <w:r>
        <w:rPr>
          <w:rStyle w:val="61"/>
          <w:sz w:val="22"/>
          <w:szCs w:val="22"/>
        </w:rPr>
        <w:fldChar w:fldCharType="end"/>
      </w:r>
      <w:r>
        <w:rPr>
          <w:sz w:val="22"/>
          <w:szCs w:val="22"/>
        </w:rPr>
        <w:t>).</w:t>
      </w:r>
    </w:p>
    <w:p w14:paraId="24064E6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O(A) Pregoeiro será auxiliada por equipe de ap</w:t>
      </w:r>
      <w:r>
        <w:rPr>
          <w:sz w:val="22"/>
          <w:szCs w:val="22"/>
          <w:shd w:val="clear" w:fill="auto"/>
        </w:rPr>
        <w:t>oio (</w:t>
      </w:r>
      <w:r>
        <w:rPr>
          <w:sz w:val="22"/>
          <w:szCs w:val="22"/>
        </w:rPr>
        <w:fldChar w:fldCharType="begin"/>
      </w:r>
      <w:r>
        <w:rPr>
          <w:rStyle w:val="61"/>
          <w:sz w:val="22"/>
          <w:szCs w:val="22"/>
          <w:shd w:val="clear" w:fill="auto"/>
        </w:rPr>
        <w:instrText xml:space="preserve"> HYPERLINK "https://www.planalto.gov.br/ccivil_03/_ato2019-2022/2021/lei/l14133.htm" \l "art8"</w:instrText>
      </w:r>
      <w:r>
        <w:rPr>
          <w:rStyle w:val="61"/>
          <w:sz w:val="22"/>
          <w:szCs w:val="22"/>
          <w:shd w:val="clear" w:fill="auto"/>
        </w:rPr>
        <w:fldChar w:fldCharType="separate"/>
      </w:r>
      <w:r>
        <w:rPr>
          <w:rStyle w:val="61"/>
          <w:sz w:val="22"/>
          <w:szCs w:val="22"/>
          <w:shd w:val="clear" w:fill="auto"/>
        </w:rPr>
        <w:t>art. 8º, §1º, da Lei Federal nº 14.133, de 2021</w:t>
      </w:r>
      <w:r>
        <w:rPr>
          <w:rStyle w:val="61"/>
          <w:sz w:val="22"/>
          <w:szCs w:val="22"/>
          <w:shd w:val="clear" w:fill="auto"/>
        </w:rPr>
        <w:fldChar w:fldCharType="end"/>
      </w:r>
      <w:r>
        <w:rPr>
          <w:sz w:val="22"/>
          <w:szCs w:val="22"/>
          <w:shd w:val="clear" w:fill="auto"/>
        </w:rPr>
        <w:t>) designada pela Portaria nº 0</w:t>
      </w:r>
      <w:r>
        <w:rPr>
          <w:rFonts w:hint="default"/>
          <w:sz w:val="22"/>
          <w:szCs w:val="22"/>
          <w:shd w:val="clear" w:fill="auto"/>
          <w:lang w:val="pt-BR"/>
        </w:rPr>
        <w:t>85</w:t>
      </w:r>
      <w:r>
        <w:rPr>
          <w:sz w:val="22"/>
          <w:szCs w:val="22"/>
          <w:shd w:val="clear" w:fill="auto"/>
        </w:rPr>
        <w:t xml:space="preserve"> de 2024, </w:t>
      </w:r>
      <w:r>
        <w:rPr>
          <w:sz w:val="22"/>
          <w:szCs w:val="22"/>
        </w:rPr>
        <w:t>e responderá individualmente pelos atos que praticar.</w:t>
      </w:r>
    </w:p>
    <w:p w14:paraId="58E8B96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Em caso de impedimento na condução do certame licitatório, o Pregoeiro será substituído automaticamente por outro Pregoeiro designado pela Portaria nº 0</w:t>
      </w:r>
      <w:r>
        <w:rPr>
          <w:rFonts w:hint="default"/>
          <w:sz w:val="22"/>
          <w:szCs w:val="22"/>
          <w:lang w:val="pt-BR"/>
        </w:rPr>
        <w:t>85</w:t>
      </w:r>
      <w:r>
        <w:rPr>
          <w:sz w:val="22"/>
          <w:szCs w:val="22"/>
        </w:rPr>
        <w:t>, de 2024, seguindo a ordem de substituição definida na referida portaria.</w:t>
      </w:r>
    </w:p>
    <w:p w14:paraId="721613B8">
      <w:pPr>
        <w:pStyle w:val="2"/>
        <w:spacing w:before="360" w:after="0"/>
        <w:rPr>
          <w:sz w:val="22"/>
          <w:szCs w:val="22"/>
        </w:rPr>
      </w:pPr>
      <w:bookmarkStart w:id="5" w:name="_Toc149517431"/>
      <w:r>
        <w:rPr>
          <w:rStyle w:val="52"/>
          <w:sz w:val="22"/>
          <w:szCs w:val="22"/>
        </w:rPr>
        <w:t>OBJETO</w:t>
      </w:r>
      <w:bookmarkEnd w:id="5"/>
      <w:r>
        <w:rPr>
          <w:rStyle w:val="52"/>
          <w:sz w:val="22"/>
          <w:szCs w:val="22"/>
        </w:rPr>
        <w:t> </w:t>
      </w:r>
    </w:p>
    <w:p w14:paraId="1583DD30">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A presente licitação, </w:t>
      </w:r>
      <w:r>
        <w:rPr>
          <w:rStyle w:val="52"/>
          <w:rFonts w:hint="default"/>
          <w:color w:val="000000"/>
          <w:sz w:val="22"/>
          <w:szCs w:val="22"/>
          <w:lang w:val="pt-BR"/>
        </w:rPr>
        <w:t>de menor preço por lote</w:t>
      </w:r>
      <w:r>
        <w:rPr>
          <w:rStyle w:val="52"/>
          <w:color w:val="000000"/>
          <w:sz w:val="22"/>
          <w:szCs w:val="22"/>
        </w:rPr>
        <w:t xml:space="preserve">, tem por objeto </w:t>
      </w:r>
      <w:r>
        <w:rPr>
          <w:rStyle w:val="52"/>
          <w:rFonts w:hint="default"/>
          <w:color w:val="000000"/>
          <w:sz w:val="22"/>
          <w:szCs w:val="22"/>
          <w:lang w:val="pt-BR"/>
        </w:rPr>
        <w:t xml:space="preserve">o </w:t>
      </w:r>
      <w:r>
        <w:rPr>
          <w:rStyle w:val="52"/>
          <w:rFonts w:hint="default"/>
          <w:b/>
          <w:bCs/>
          <w:color w:val="000000" w:themeColor="text1"/>
          <w:kern w:val="0"/>
          <w:sz w:val="22"/>
          <w:szCs w:val="22"/>
          <w:lang w:val="pt-BR"/>
          <w14:textFill>
            <w14:solidFill>
              <w14:schemeClr w14:val="tx1"/>
            </w14:solidFill>
          </w14:textFill>
        </w:rPr>
        <w:t>Registro de preços para futura e eventual contratação empresa especializada em confecção, montagem e instalação de móveis planejados, bem como aquisição de cadeiras, poltronas e eletrodomésticos para o anexo da Câmara Municipal de Primavera do Leste - MT, conforme padrão estabelecido em projeto</w:t>
      </w:r>
      <w:r>
        <w:rPr>
          <w:rFonts w:cs="Times New Roman"/>
          <w:b/>
          <w:bCs/>
          <w:color w:val="000000"/>
          <w:kern w:val="0"/>
          <w:sz w:val="22"/>
          <w:szCs w:val="22"/>
          <w:shd w:val="clear" w:fill="auto"/>
          <w:lang w:val="pt-BR" w:bidi="ar-SA"/>
        </w:rPr>
        <w:t xml:space="preserve">, </w:t>
      </w:r>
      <w:r>
        <w:rPr>
          <w:rStyle w:val="52"/>
          <w:color w:val="000000"/>
          <w:sz w:val="22"/>
          <w:szCs w:val="22"/>
        </w:rPr>
        <w:t>conforme especificações, condições, quantidades e prazos constantes do</w:t>
      </w:r>
      <w:r>
        <w:rPr>
          <w:rStyle w:val="52"/>
          <w:b/>
          <w:bCs/>
          <w:color w:val="000000"/>
          <w:sz w:val="22"/>
          <w:szCs w:val="22"/>
        </w:rPr>
        <w:t xml:space="preserve"> </w:t>
      </w:r>
      <w:r>
        <w:rPr>
          <w:sz w:val="22"/>
          <w:szCs w:val="22"/>
        </w:rPr>
        <w:fldChar w:fldCharType="begin"/>
      </w:r>
      <w:r>
        <w:rPr>
          <w:sz w:val="22"/>
          <w:szCs w:val="22"/>
        </w:rPr>
        <w:instrText xml:space="preserve"> HYPERLINK \l "_ANEXO_I_-_1" \h </w:instrText>
      </w:r>
      <w:r>
        <w:rPr>
          <w:sz w:val="22"/>
          <w:szCs w:val="22"/>
        </w:rPr>
        <w:fldChar w:fldCharType="separate"/>
      </w:r>
      <w:r>
        <w:rPr>
          <w:rStyle w:val="61"/>
          <w:b/>
          <w:bCs/>
          <w:sz w:val="22"/>
          <w:szCs w:val="22"/>
        </w:rPr>
        <w:t>Termo de Referência - Anexo I deste Edital</w:t>
      </w:r>
      <w:r>
        <w:rPr>
          <w:rStyle w:val="61"/>
          <w:b/>
          <w:bCs/>
          <w:sz w:val="22"/>
          <w:szCs w:val="22"/>
        </w:rPr>
        <w:fldChar w:fldCharType="end"/>
      </w:r>
      <w:r>
        <w:rPr>
          <w:rStyle w:val="52"/>
          <w:b/>
          <w:bCs/>
          <w:color w:val="000000"/>
          <w:sz w:val="22"/>
          <w:szCs w:val="22"/>
        </w:rPr>
        <w:t>.</w:t>
      </w:r>
    </w:p>
    <w:p w14:paraId="7CF512C4">
      <w:pPr>
        <w:pStyle w:val="49"/>
        <w:numPr>
          <w:ilvl w:val="0"/>
          <w:numId w:val="0"/>
        </w:numPr>
        <w:tabs>
          <w:tab w:val="left" w:pos="1134"/>
        </w:tabs>
        <w:spacing w:before="120" w:beforeAutospacing="0" w:after="0" w:afterAutospacing="0"/>
        <w:ind w:left="567" w:leftChars="0"/>
        <w:jc w:val="both"/>
        <w:textAlignment w:val="baseline"/>
        <w:rPr>
          <w:sz w:val="22"/>
          <w:szCs w:val="22"/>
        </w:rPr>
      </w:pPr>
    </w:p>
    <w:p w14:paraId="4153969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Fazem parte do presente Edital os anexos abaixo relacionados: </w:t>
      </w:r>
    </w:p>
    <w:p w14:paraId="14A4C4F1">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 - Termo de Referência;</w:t>
      </w:r>
    </w:p>
    <w:p w14:paraId="7D3A373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 - Modelo de Declarações;</w:t>
      </w:r>
    </w:p>
    <w:p w14:paraId="2E2C7F6A">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III - Modelo de Proposta;</w:t>
      </w:r>
    </w:p>
    <w:p w14:paraId="2767DF7B">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IV - Minuta da Ata de Registro de Preços;</w:t>
      </w:r>
    </w:p>
    <w:p w14:paraId="4D1A10A1">
      <w:pPr>
        <w:pStyle w:val="49"/>
        <w:numPr>
          <w:ilvl w:val="2"/>
          <w:numId w:val="1"/>
        </w:numPr>
        <w:tabs>
          <w:tab w:val="left" w:pos="1134"/>
        </w:tabs>
        <w:spacing w:before="0" w:beforeAutospacing="0" w:after="0" w:afterAutospacing="0"/>
        <w:jc w:val="both"/>
        <w:textAlignment w:val="baseline"/>
        <w:rPr>
          <w:rStyle w:val="52"/>
          <w:color w:val="000000"/>
          <w:sz w:val="22"/>
          <w:szCs w:val="22"/>
        </w:rPr>
      </w:pPr>
      <w:r>
        <w:rPr>
          <w:rStyle w:val="52"/>
          <w:color w:val="000000"/>
          <w:sz w:val="22"/>
          <w:szCs w:val="22"/>
        </w:rPr>
        <w:t>Anexo V - Minuta do Instrumento de Contrato.</w:t>
      </w:r>
    </w:p>
    <w:p w14:paraId="6C7CBF3A">
      <w:pPr>
        <w:pStyle w:val="2"/>
        <w:spacing w:before="360" w:after="0"/>
        <w:rPr>
          <w:sz w:val="22"/>
          <w:szCs w:val="22"/>
        </w:rPr>
      </w:pPr>
      <w:bookmarkStart w:id="6" w:name="_Toc149517432"/>
      <w:r>
        <w:rPr>
          <w:rStyle w:val="52"/>
          <w:sz w:val="22"/>
          <w:szCs w:val="22"/>
        </w:rPr>
        <w:t>CONDIÇÕES PARA PARTICIPAÇÃO</w:t>
      </w:r>
      <w:bookmarkEnd w:id="6"/>
      <w:r>
        <w:rPr>
          <w:rStyle w:val="52"/>
          <w:sz w:val="22"/>
          <w:szCs w:val="22"/>
        </w:rPr>
        <w:t> </w:t>
      </w:r>
    </w:p>
    <w:p w14:paraId="20BFABC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Para </w:t>
      </w:r>
      <w:r>
        <w:rPr>
          <w:sz w:val="22"/>
          <w:szCs w:val="22"/>
        </w:rPr>
        <w:t>participar</w:t>
      </w:r>
      <w:r>
        <w:rPr>
          <w:rStyle w:val="52"/>
          <w:color w:val="000000"/>
          <w:sz w:val="22"/>
          <w:szCs w:val="22"/>
        </w:rPr>
        <w:t xml:space="preserve"> deste Pregão, em sua forma eletrônica (</w:t>
      </w:r>
      <w:r>
        <w:rPr>
          <w:sz w:val="22"/>
          <w:szCs w:val="22"/>
        </w:rPr>
        <w:fldChar w:fldCharType="begin"/>
      </w:r>
      <w:r>
        <w:rPr>
          <w:rStyle w:val="61"/>
          <w:sz w:val="22"/>
          <w:szCs w:val="22"/>
        </w:rPr>
        <w:instrText xml:space="preserve"> HYPERLINK "https://www.planalto.gov.br/ccivil_03/_ato2019-2022/2021/lei/l14133.htm"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 a licitante deverá preencher os seguintes requisitos:</w:t>
      </w:r>
      <w:r>
        <w:rPr>
          <w:rStyle w:val="54"/>
          <w:color w:val="000000"/>
          <w:sz w:val="22"/>
          <w:szCs w:val="22"/>
        </w:rPr>
        <w:t xml:space="preserve"> </w:t>
      </w:r>
    </w:p>
    <w:p w14:paraId="100FC32E">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cujo ramo de atividade seja compatível com o objeto desta licitação;</w:t>
      </w:r>
    </w:p>
    <w:p w14:paraId="491B52DE">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Ser credenciada junto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que atuará como órgão provedor do sistema eletrônico;</w:t>
      </w:r>
    </w:p>
    <w:p w14:paraId="4D3A2BA6">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Enviar em campo próprio do sistema eletrônico a</w:t>
      </w:r>
      <w:r>
        <w:rPr>
          <w:rStyle w:val="52"/>
          <w:sz w:val="22"/>
          <w:szCs w:val="22"/>
        </w:rPr>
        <w:t>s</w:t>
      </w:r>
      <w:r>
        <w:rPr>
          <w:rStyle w:val="52"/>
          <w:color w:val="000000"/>
          <w:sz w:val="22"/>
          <w:szCs w:val="22"/>
        </w:rPr>
        <w:t xml:space="preserve"> seguintes declarações virtuais de que:</w:t>
      </w:r>
    </w:p>
    <w:p w14:paraId="2AAE861F">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cumpre plenamente os requisitos de habilitação e que sua proposta está em conformidade com as exigências do instrumento convocatório;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 da Lei Federal nº 14.133, de 2021</w:t>
      </w:r>
      <w:r>
        <w:rPr>
          <w:rStyle w:val="61"/>
          <w:sz w:val="22"/>
          <w:szCs w:val="22"/>
        </w:rPr>
        <w:fldChar w:fldCharType="end"/>
      </w:r>
      <w:r>
        <w:rPr>
          <w:rStyle w:val="52"/>
          <w:color w:val="000000"/>
          <w:sz w:val="22"/>
          <w:szCs w:val="22"/>
        </w:rPr>
        <w:t>).</w:t>
      </w:r>
    </w:p>
    <w:p w14:paraId="0BAB5B99">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atende aos requisitos do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 xml:space="preserve"> para fazer jus aos benefícios previstos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rStyle w:val="52"/>
          <w:color w:val="000000"/>
          <w:sz w:val="22"/>
          <w:szCs w:val="22"/>
        </w:rPr>
        <w:t>;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w:t>
      </w:r>
    </w:p>
    <w:p w14:paraId="232E562C">
      <w:pPr>
        <w:pStyle w:val="49"/>
        <w:numPr>
          <w:ilvl w:val="3"/>
          <w:numId w:val="1"/>
        </w:numPr>
        <w:tabs>
          <w:tab w:val="left" w:pos="1134"/>
        </w:tabs>
        <w:spacing w:before="0" w:beforeAutospacing="0" w:after="0" w:afterAutospacing="0"/>
        <w:jc w:val="both"/>
        <w:textAlignment w:val="baseline"/>
        <w:rPr>
          <w:sz w:val="22"/>
          <w:szCs w:val="22"/>
        </w:rPr>
      </w:pPr>
      <w:r>
        <w:rPr>
          <w:rStyle w:val="52"/>
          <w:sz w:val="22"/>
          <w:szCs w:val="22"/>
        </w:rPr>
        <w:t xml:space="preserve">cumpre as exigências de reserva de cargos para pessoa com deficiência e para reabilitado da Previdência Social, previstas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rStyle w:val="52"/>
          <w:sz w:val="22"/>
          <w:szCs w:val="22"/>
        </w:rPr>
        <w:t xml:space="preserve"> e em outras normas específicas;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rStyle w:val="52"/>
          <w:sz w:val="22"/>
          <w:szCs w:val="22"/>
        </w:rPr>
        <w:t>)</w:t>
      </w:r>
    </w:p>
    <w:p w14:paraId="4CB08D48">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inexiste fato impeditivo para licitar ou contratar com a União Federal.</w:t>
      </w:r>
    </w:p>
    <w:p w14:paraId="00C3351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declaração falsa sujeitará a licitante à inabilitação e ao enquadramento na infração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w:t>
      </w:r>
    </w:p>
    <w:p w14:paraId="0EF4DF6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14:paraId="3BDD5AF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Não poderão participar deste Pregão:</w:t>
      </w:r>
    </w:p>
    <w:p w14:paraId="7F35CF5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não atenda às condições deste Edital e seu(s) anexo(s);</w:t>
      </w:r>
    </w:p>
    <w:p w14:paraId="63EC1374">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físicas;</w:t>
      </w:r>
    </w:p>
    <w:p w14:paraId="693BA406">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Microempreendedores Individuais (MEI’s);</w:t>
      </w:r>
    </w:p>
    <w:p w14:paraId="0C2B1B0F">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jurídicas que não possuam Inscrição Municipal ou que não possuam autorização legal para a prestação dos serviços que são objeto do presente Pregão;</w:t>
      </w:r>
    </w:p>
    <w:p w14:paraId="71A146AB">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 que possua entre seus sócios </w:t>
      </w:r>
      <w:r>
        <w:rPr>
          <w:rStyle w:val="52"/>
          <w:sz w:val="22"/>
          <w:szCs w:val="22"/>
        </w:rPr>
        <w:t xml:space="preserve">agente público vinculado à </w:t>
      </w:r>
      <w:r>
        <w:rPr>
          <w:rStyle w:val="52"/>
          <w:color w:val="000000"/>
          <w:sz w:val="22"/>
          <w:szCs w:val="22"/>
        </w:rPr>
        <w:t>Câmara Municipal de Primavera do Leste - MT</w:t>
      </w:r>
      <w:r>
        <w:rPr>
          <w:rStyle w:val="52"/>
          <w:sz w:val="22"/>
          <w:szCs w:val="22"/>
        </w:rPr>
        <w:t>;</w:t>
      </w:r>
    </w:p>
    <w:p w14:paraId="054A53F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quem não cumprir os requisitos formais para participação neste </w:t>
      </w:r>
      <w:r>
        <w:rPr>
          <w:rStyle w:val="52"/>
          <w:color w:val="000000" w:themeColor="text1"/>
          <w:sz w:val="22"/>
          <w:szCs w:val="22"/>
          <w14:textFill>
            <w14:solidFill>
              <w14:schemeClr w14:val="tx1"/>
            </w14:solidFill>
          </w14:textFill>
        </w:rPr>
        <w:t>Pregão</w:t>
      </w:r>
      <w:r>
        <w:rPr>
          <w:rStyle w:val="52"/>
          <w:color w:val="000000"/>
          <w:sz w:val="22"/>
          <w:szCs w:val="22"/>
        </w:rPr>
        <w:t>;</w:t>
      </w:r>
    </w:p>
    <w:p w14:paraId="6C6E8B0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agentes públicos ou terceiros que se enquadrem em situações que possam configurar conflito de interesses no exercício ou após o exercício do cargo ou emprego, nos termos da legislação que disciplina a matéria;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§1º, da Lei Federal nº 14.133, de 2021</w:t>
      </w:r>
      <w:r>
        <w:rPr>
          <w:rStyle w:val="61"/>
          <w:sz w:val="22"/>
          <w:szCs w:val="22"/>
        </w:rPr>
        <w:fldChar w:fldCharType="end"/>
      </w:r>
      <w:r>
        <w:rPr>
          <w:rStyle w:val="52"/>
          <w:color w:val="000000"/>
          <w:sz w:val="22"/>
          <w:szCs w:val="22"/>
        </w:rPr>
        <w:t>);</w:t>
      </w:r>
    </w:p>
    <w:p w14:paraId="48AF0CFC">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terceiro que auxilie a condução da contratação na qualidade de integrante de equipe de apoio, profissional especializado ou funcionário ou representante de empresa que preste assessoria técnica;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§2º, da Lei Federal nº 14.133, de 2021</w:t>
      </w:r>
      <w:r>
        <w:rPr>
          <w:rStyle w:val="61"/>
          <w:sz w:val="22"/>
          <w:szCs w:val="22"/>
        </w:rPr>
        <w:fldChar w:fldCharType="end"/>
      </w:r>
      <w:r>
        <w:rPr>
          <w:rStyle w:val="52"/>
          <w:color w:val="000000"/>
          <w:sz w:val="22"/>
          <w:szCs w:val="22"/>
        </w:rPr>
        <w:t>);</w:t>
      </w:r>
    </w:p>
    <w:p w14:paraId="4300A6B0">
      <w:pPr>
        <w:pStyle w:val="49"/>
        <w:numPr>
          <w:ilvl w:val="2"/>
          <w:numId w:val="1"/>
        </w:numPr>
        <w:tabs>
          <w:tab w:val="left" w:pos="1134"/>
        </w:tabs>
        <w:spacing w:before="0" w:beforeAutospacing="0" w:after="0" w:afterAutospacing="0"/>
        <w:jc w:val="both"/>
        <w:textAlignment w:val="baseline"/>
        <w:rPr>
          <w:sz w:val="22"/>
          <w:szCs w:val="22"/>
        </w:rPr>
      </w:pPr>
      <w:r>
        <w:rPr>
          <w:rStyle w:val="52"/>
          <w:sz w:val="22"/>
          <w:szCs w:val="22"/>
        </w:rPr>
        <w:t xml:space="preserve">autor do anteprojeto, do projeto básico ou do projeto executivo; </w:t>
      </w:r>
      <w:r>
        <w:rPr>
          <w:rStyle w:val="52"/>
          <w:color w:val="000000"/>
          <w:sz w:val="22"/>
          <w:szCs w:val="22"/>
        </w:rPr>
        <w:t>(</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 e II e §§ 2º e 3º, da Lei Federal nº 14.133, de 2021</w:t>
      </w:r>
      <w:r>
        <w:rPr>
          <w:rStyle w:val="61"/>
          <w:sz w:val="22"/>
          <w:szCs w:val="22"/>
        </w:rPr>
        <w:fldChar w:fldCharType="end"/>
      </w:r>
      <w:r>
        <w:rPr>
          <w:rStyle w:val="52"/>
          <w:color w:val="000000"/>
          <w:sz w:val="22"/>
          <w:szCs w:val="22"/>
        </w:rPr>
        <w:t>).</w:t>
      </w:r>
    </w:p>
    <w:p w14:paraId="78D1B99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III e §1º da Lei Federal nº 14.133, de 2021</w:t>
      </w:r>
      <w:r>
        <w:rPr>
          <w:rStyle w:val="61"/>
          <w:sz w:val="22"/>
          <w:szCs w:val="22"/>
        </w:rPr>
        <w:fldChar w:fldCharType="end"/>
      </w:r>
      <w:r>
        <w:rPr>
          <w:rStyle w:val="52"/>
          <w:color w:val="000000"/>
          <w:sz w:val="22"/>
          <w:szCs w:val="22"/>
        </w:rPr>
        <w:t>);</w:t>
      </w:r>
    </w:p>
    <w:p w14:paraId="6C205EF5">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52"/>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rStyle w:val="52"/>
          <w:color w:val="000000"/>
          <w:sz w:val="22"/>
          <w:szCs w:val="22"/>
        </w:rPr>
        <w:t>);</w:t>
      </w:r>
    </w:p>
    <w:p w14:paraId="407BC01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empresas controladoras, controladas ou coligadas, nos termos da </w:t>
      </w:r>
      <w:r>
        <w:rPr>
          <w:sz w:val="22"/>
          <w:szCs w:val="22"/>
        </w:rPr>
        <w:fldChar w:fldCharType="begin"/>
      </w:r>
      <w:r>
        <w:rPr>
          <w:sz w:val="22"/>
          <w:szCs w:val="22"/>
        </w:rPr>
        <w:instrText xml:space="preserve"> HYPERLINK "https://www.planalto.gov.br/ccivil_03/leis/l6404consol.htm" \h </w:instrText>
      </w:r>
      <w:r>
        <w:rPr>
          <w:sz w:val="22"/>
          <w:szCs w:val="22"/>
        </w:rPr>
        <w:fldChar w:fldCharType="separate"/>
      </w:r>
      <w:r>
        <w:rPr>
          <w:rStyle w:val="61"/>
          <w:sz w:val="22"/>
          <w:szCs w:val="22"/>
        </w:rPr>
        <w:t>Lei Federal nº 6.404, de 1976</w:t>
      </w:r>
      <w:r>
        <w:rPr>
          <w:rStyle w:val="61"/>
          <w:sz w:val="22"/>
          <w:szCs w:val="22"/>
        </w:rPr>
        <w:fldChar w:fldCharType="end"/>
      </w:r>
      <w:r>
        <w:rPr>
          <w:rStyle w:val="52"/>
          <w:color w:val="000000"/>
          <w:sz w:val="22"/>
          <w:szCs w:val="22"/>
        </w:rPr>
        <w:t>, concorrendo entre si;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 da Lei Federal nº 14.133, de 2021</w:t>
      </w:r>
      <w:r>
        <w:rPr>
          <w:rStyle w:val="61"/>
          <w:sz w:val="22"/>
          <w:szCs w:val="22"/>
        </w:rPr>
        <w:fldChar w:fldCharType="end"/>
      </w:r>
      <w:r>
        <w:rPr>
          <w:rStyle w:val="52"/>
          <w:color w:val="000000"/>
          <w:sz w:val="22"/>
          <w:szCs w:val="22"/>
        </w:rPr>
        <w:t>);</w:t>
      </w:r>
    </w:p>
    <w:p w14:paraId="43C70F5C">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VI, da Lei Federal nº 14.133, de 2021</w:t>
      </w:r>
      <w:r>
        <w:rPr>
          <w:rStyle w:val="61"/>
          <w:sz w:val="22"/>
          <w:szCs w:val="22"/>
        </w:rPr>
        <w:fldChar w:fldCharType="end"/>
      </w:r>
      <w:r>
        <w:rPr>
          <w:rStyle w:val="52"/>
          <w:color w:val="000000"/>
          <w:sz w:val="22"/>
          <w:szCs w:val="22"/>
        </w:rPr>
        <w:t>);</w:t>
      </w:r>
    </w:p>
    <w:p w14:paraId="59325211">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Organizações da Sociedade Civil de Interesse Público - OSCIP, atuando nessa condição (</w:t>
      </w:r>
      <w:r>
        <w:rPr>
          <w:sz w:val="22"/>
          <w:szCs w:val="22"/>
        </w:rPr>
        <w:fldChar w:fldCharType="begin"/>
      </w:r>
      <w:r>
        <w:rPr>
          <w:sz w:val="22"/>
          <w:szCs w:val="22"/>
        </w:rPr>
        <w:instrText xml:space="preserve"> HYPERLINK "https://pesquisa.apps.tcu.gov.br/documento/acordao-completo/*/KEY%253AACORDAO-COMPLETO-1302349/DTRELEVANCIA%2520desc/0/sinonimos%253Dfalse" \h </w:instrText>
      </w:r>
      <w:r>
        <w:rPr>
          <w:sz w:val="22"/>
          <w:szCs w:val="22"/>
        </w:rPr>
        <w:fldChar w:fldCharType="separate"/>
      </w:r>
      <w:r>
        <w:rPr>
          <w:rStyle w:val="61"/>
          <w:sz w:val="22"/>
          <w:szCs w:val="22"/>
        </w:rPr>
        <w:t>Acórdão nº 746/2014-TCU-Plenário</w:t>
      </w:r>
      <w:r>
        <w:rPr>
          <w:rStyle w:val="61"/>
          <w:sz w:val="22"/>
          <w:szCs w:val="22"/>
        </w:rPr>
        <w:fldChar w:fldCharType="end"/>
      </w:r>
      <w:r>
        <w:rPr>
          <w:rStyle w:val="52"/>
          <w:color w:val="000000"/>
          <w:sz w:val="22"/>
          <w:szCs w:val="22"/>
        </w:rPr>
        <w:t>);</w:t>
      </w:r>
    </w:p>
    <w:p w14:paraId="289260F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aqueles que se enquadrem nas demais vedações do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 xml:space="preserve">art. 14 da Lei Federal nº 14.133, de </w:t>
      </w:r>
      <w:r>
        <w:rPr>
          <w:rStyle w:val="61"/>
          <w:sz w:val="22"/>
          <w:szCs w:val="22"/>
        </w:rPr>
        <w:fldChar w:fldCharType="end"/>
      </w:r>
      <w:r>
        <w:rPr>
          <w:rStyle w:val="61"/>
          <w:sz w:val="22"/>
          <w:szCs w:val="22"/>
        </w:rPr>
        <w:t>2021</w:t>
      </w:r>
      <w:r>
        <w:rPr>
          <w:rStyle w:val="52"/>
          <w:color w:val="000000"/>
          <w:sz w:val="22"/>
          <w:szCs w:val="22"/>
        </w:rPr>
        <w:t>.</w:t>
      </w:r>
    </w:p>
    <w:p w14:paraId="615D3AB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verificação dos impedimentos e condições de participação ocorrerá somente após a fase competitiva do certame, momento no qual 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permite a identificação dos participantes do certame licitatório.</w:t>
      </w:r>
    </w:p>
    <w:p w14:paraId="37D06BF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Encerrada a fase de lances, o  </w:t>
      </w:r>
      <w:r>
        <w:rPr>
          <w:sz w:val="22"/>
          <w:szCs w:val="22"/>
        </w:rPr>
        <w:t>Pregoeiro</w:t>
      </w:r>
      <w:r>
        <w:rPr>
          <w:rStyle w:val="52"/>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2"/>
          <w:sz w:val="22"/>
          <w:szCs w:val="22"/>
        </w:rPr>
        <w:t>cadastro unificado de licitantes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rStyle w:val="52"/>
          <w:sz w:val="22"/>
          <w:szCs w:val="22"/>
        </w:rPr>
        <w:t>)</w:t>
      </w:r>
      <w:r>
        <w:rPr>
          <w:rStyle w:val="52"/>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14:paraId="163D5FA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Havendo qualquer impedimento, a licitante será, automaticamente, excluída da licitação, sem prejuízo das sanções previstas neste edital e em lei.</w:t>
      </w:r>
    </w:p>
    <w:p w14:paraId="349974C2">
      <w:pPr>
        <w:pStyle w:val="2"/>
        <w:spacing w:before="360" w:after="0"/>
        <w:rPr>
          <w:sz w:val="22"/>
          <w:szCs w:val="22"/>
        </w:rPr>
      </w:pPr>
      <w:bookmarkStart w:id="7" w:name="_CONSÓRCIO"/>
      <w:bookmarkEnd w:id="7"/>
      <w:bookmarkStart w:id="8" w:name="_Toc149517433"/>
      <w:r>
        <w:rPr>
          <w:rStyle w:val="52"/>
          <w:sz w:val="22"/>
          <w:szCs w:val="22"/>
        </w:rPr>
        <w:t>CONSÓRCIO</w:t>
      </w:r>
      <w:bookmarkEnd w:id="8"/>
    </w:p>
    <w:p w14:paraId="44FF91B7">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da Lei Federal nº 14.133, de 2021</w:t>
      </w:r>
      <w:r>
        <w:rPr>
          <w:rStyle w:val="61"/>
          <w:sz w:val="22"/>
          <w:szCs w:val="22"/>
        </w:rPr>
        <w:fldChar w:fldCharType="end"/>
      </w:r>
      <w:r>
        <w:rPr>
          <w:sz w:val="22"/>
          <w:szCs w:val="22"/>
        </w:rPr>
        <w:t>, pessoa jurídica poderá participar de licitação em consórcio, observadas as seguintes normas:</w:t>
      </w:r>
    </w:p>
    <w:p w14:paraId="73936FF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Comprovação de compromisso público ou particular de constituição de consórcio, subscrito pelos consorciados;</w:t>
      </w:r>
    </w:p>
    <w:p w14:paraId="67CB6DC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Indicação da empresa líder do consórcio, que será responsável por sua representação perante a Administração;</w:t>
      </w:r>
    </w:p>
    <w:p w14:paraId="221A3D20">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Admissão, para efeito de habilitação técnica, do somatório dos quantitativos de cada consorciado e, para efeito de habilitação econômico-financeira, do somatório dos valores de cada consorciado;</w:t>
      </w:r>
    </w:p>
    <w:p w14:paraId="78A70E30">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Impedimento de a empresa consorciada participar, na mesma licitação, de mais de um consórcio ou de forma isolada;</w:t>
      </w:r>
    </w:p>
    <w:p w14:paraId="5250743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Responsabilidade solidária dos integrantes pelos atos praticados em consórcio, tanto na fase de licitação quanto na de execução do contrato.</w:t>
      </w:r>
    </w:p>
    <w:p w14:paraId="74D36E7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vencedor é obrigado a promover, antes da celebração da ata de registro de preços, a constituição e o registro do consórcio, nos termos do compromisso referido no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I, da Lei Federal nº 14.133, de 2021</w:t>
      </w:r>
      <w:r>
        <w:rPr>
          <w:rStyle w:val="61"/>
          <w:sz w:val="22"/>
          <w:szCs w:val="22"/>
        </w:rPr>
        <w:fldChar w:fldCharType="end"/>
      </w:r>
      <w:r>
        <w:rPr>
          <w:sz w:val="22"/>
          <w:szCs w:val="22"/>
        </w:rPr>
        <w:t>.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§3º, da Lei Federal nº 14.133, de 2021</w:t>
      </w:r>
      <w:r>
        <w:rPr>
          <w:rStyle w:val="61"/>
          <w:sz w:val="22"/>
          <w:szCs w:val="22"/>
        </w:rPr>
        <w:fldChar w:fldCharType="end"/>
      </w:r>
      <w:r>
        <w:rPr>
          <w:sz w:val="22"/>
          <w:szCs w:val="22"/>
        </w:rPr>
        <w:t>)</w:t>
      </w:r>
    </w:p>
    <w:p w14:paraId="1877BDE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substituição de consorciado deverá ser expressamente autorizada pela </w:t>
      </w:r>
      <w:r>
        <w:rPr>
          <w:rStyle w:val="52"/>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§5º, da Lei Federal nº 14.133, de 2021</w:t>
      </w:r>
      <w:r>
        <w:rPr>
          <w:rStyle w:val="61"/>
          <w:sz w:val="22"/>
          <w:szCs w:val="22"/>
        </w:rPr>
        <w:fldChar w:fldCharType="end"/>
      </w:r>
      <w:r>
        <w:rPr>
          <w:sz w:val="22"/>
          <w:szCs w:val="22"/>
        </w:rPr>
        <w:t>).</w:t>
      </w:r>
    </w:p>
    <w:p w14:paraId="4951A9ED">
      <w:pPr>
        <w:pStyle w:val="49"/>
        <w:numPr>
          <w:ilvl w:val="0"/>
          <w:numId w:val="0"/>
        </w:numPr>
        <w:tabs>
          <w:tab w:val="left" w:pos="1134"/>
        </w:tabs>
        <w:spacing w:before="0" w:beforeAutospacing="0" w:after="0" w:afterAutospacing="0"/>
        <w:ind w:left="0" w:firstLine="0"/>
        <w:jc w:val="both"/>
        <w:textAlignment w:val="baseline"/>
        <w:rPr>
          <w:sz w:val="22"/>
          <w:szCs w:val="22"/>
        </w:rPr>
      </w:pPr>
    </w:p>
    <w:p w14:paraId="31C5719F">
      <w:pPr>
        <w:pStyle w:val="2"/>
        <w:spacing w:before="360" w:after="0"/>
        <w:rPr>
          <w:sz w:val="22"/>
          <w:szCs w:val="22"/>
        </w:rPr>
      </w:pPr>
      <w:bookmarkStart w:id="9" w:name="_Toc149517434"/>
      <w:r>
        <w:rPr>
          <w:rStyle w:val="52"/>
          <w:sz w:val="22"/>
          <w:szCs w:val="22"/>
        </w:rPr>
        <w:t>COOPERATIVA</w:t>
      </w:r>
      <w:bookmarkEnd w:id="9"/>
    </w:p>
    <w:p w14:paraId="40A7C3DF">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 pessoa jurídica organizada em forma de cooperativa poderá participar da licitação quando:</w:t>
      </w:r>
    </w:p>
    <w:p w14:paraId="03E6D7A1">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a constituição e o funcionamento da cooperativa observarem as regras estabelecidas na legislação aplicável, em especial a </w:t>
      </w:r>
      <w:r>
        <w:rPr>
          <w:sz w:val="22"/>
          <w:szCs w:val="22"/>
        </w:rPr>
        <w:fldChar w:fldCharType="begin"/>
      </w:r>
      <w:r>
        <w:rPr>
          <w:sz w:val="22"/>
          <w:szCs w:val="22"/>
        </w:rPr>
        <w:instrText xml:space="preserve"> HYPERLINK "https://www.planalto.gov.br/ccivil_03/LEIS/L5764.HTM" \h </w:instrText>
      </w:r>
      <w:r>
        <w:rPr>
          <w:sz w:val="22"/>
          <w:szCs w:val="22"/>
        </w:rPr>
        <w:fldChar w:fldCharType="separate"/>
      </w:r>
      <w:r>
        <w:rPr>
          <w:rStyle w:val="61"/>
          <w:sz w:val="22"/>
          <w:szCs w:val="22"/>
        </w:rPr>
        <w:t>Lei Federal nº 5.764, de 1971</w:t>
      </w:r>
      <w:r>
        <w:rPr>
          <w:rStyle w:val="61"/>
          <w:sz w:val="22"/>
          <w:szCs w:val="22"/>
        </w:rPr>
        <w:fldChar w:fldCharType="end"/>
      </w:r>
      <w:r>
        <w:rPr>
          <w:color w:val="000000"/>
          <w:sz w:val="22"/>
          <w:szCs w:val="22"/>
        </w:rPr>
        <w:t xml:space="preserve">, 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xml:space="preserve">, e a </w:t>
      </w:r>
      <w:r>
        <w:rPr>
          <w:sz w:val="22"/>
          <w:szCs w:val="22"/>
        </w:rPr>
        <w:fldChar w:fldCharType="begin"/>
      </w:r>
      <w:r>
        <w:rPr>
          <w:sz w:val="22"/>
          <w:szCs w:val="22"/>
        </w:rPr>
        <w:instrText xml:space="preserve"> HYPERLINK "https://www.planalto.gov.br/ccivil_03/LEIS/LCP/Lcp130.htm" \h </w:instrText>
      </w:r>
      <w:r>
        <w:rPr>
          <w:sz w:val="22"/>
          <w:szCs w:val="22"/>
        </w:rPr>
        <w:fldChar w:fldCharType="separate"/>
      </w:r>
      <w:r>
        <w:rPr>
          <w:rStyle w:val="61"/>
          <w:sz w:val="22"/>
          <w:szCs w:val="22"/>
        </w:rPr>
        <w:t>Lei Complementar Federal nº 130, de 2009;</w:t>
      </w:r>
      <w:r>
        <w:rPr>
          <w:rStyle w:val="61"/>
          <w:sz w:val="22"/>
          <w:szCs w:val="22"/>
        </w:rPr>
        <w:fldChar w:fldCharType="end"/>
      </w:r>
    </w:p>
    <w:p w14:paraId="531AD36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cooperativa apresentar demonstrativo de atuação em regime cooperado, com repartição de receitas e despesas entre os cooperados;</w:t>
      </w:r>
    </w:p>
    <w:p w14:paraId="1F93DF3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qualquer cooperado, com igual qualificação, for capaz de executar o objeto contratado, vedado à Administração indicar nominalmente pessoas;</w:t>
      </w:r>
    </w:p>
    <w:p w14:paraId="7E845467">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objeto da licitação referir-se, em se tratando de cooperativas enquadradas na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a serviços especializados constantes do objeto social da cooperativa, a serem executados de forma complementar à sua atuação.</w:t>
      </w:r>
    </w:p>
    <w:p w14:paraId="1D83458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organizado em cooperativa deverá declarar, ainda, em campo próprio do sistema eletrônico, que cumpre os requisitos estabelecidos no </w:t>
      </w:r>
      <w:r>
        <w:rPr>
          <w:sz w:val="22"/>
          <w:szCs w:val="22"/>
        </w:rPr>
        <w:fldChar w:fldCharType="begin"/>
      </w:r>
      <w:r>
        <w:rPr>
          <w:rStyle w:val="61"/>
          <w:sz w:val="22"/>
          <w:szCs w:val="22"/>
        </w:rPr>
        <w:instrText xml:space="preserve"> HYPERLINK "http://www.planalto.gov.br/ccivil_03/_ato2019-2022/2021/lei/L14133.htm"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w:t>
      </w:r>
    </w:p>
    <w:p w14:paraId="2D902D6D">
      <w:pPr>
        <w:pStyle w:val="2"/>
        <w:spacing w:before="360" w:after="0"/>
        <w:rPr>
          <w:sz w:val="22"/>
          <w:szCs w:val="22"/>
        </w:rPr>
      </w:pPr>
      <w:bookmarkStart w:id="10" w:name="_Toc149517435"/>
      <w:r>
        <w:rPr>
          <w:rStyle w:val="52"/>
          <w:sz w:val="22"/>
          <w:szCs w:val="22"/>
        </w:rPr>
        <w:t>IMPUGNAÇÃO E ESCLARECIMENTOS</w:t>
      </w:r>
      <w:bookmarkEnd w:id="10"/>
    </w:p>
    <w:p w14:paraId="3E57C3D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 xml:space="preserve">art. 164, </w:t>
      </w:r>
      <w:r>
        <w:rPr>
          <w:rStyle w:val="61"/>
          <w:sz w:val="22"/>
          <w:szCs w:val="22"/>
        </w:rPr>
        <w:fldChar w:fldCharType="end"/>
      </w:r>
      <w:r>
        <w:rPr>
          <w:rStyle w:val="61"/>
          <w:i/>
          <w:iCs/>
          <w:sz w:val="22"/>
          <w:szCs w:val="22"/>
        </w:rPr>
        <w:t>caput</w:t>
      </w:r>
      <w:r>
        <w:rPr>
          <w:rStyle w:val="61"/>
          <w:sz w:val="22"/>
          <w:szCs w:val="22"/>
        </w:rPr>
        <w:t>, da Lei Federal nº 14.133, de 2021</w:t>
      </w:r>
      <w:r>
        <w:rPr>
          <w:color w:val="000000"/>
          <w:sz w:val="22"/>
          <w:szCs w:val="22"/>
        </w:rPr>
        <w:t>).</w:t>
      </w:r>
    </w:p>
    <w:p w14:paraId="22E064A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os esclarecimentos deverão ser encaminhados exclusivamente de forma eletrônica pelo envio de mensagem eletrônica para o endereço: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w:t>
      </w:r>
    </w:p>
    <w:p w14:paraId="5856CBC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pedidos de esclarecimentos não suspendem e nem interrompem os prazos previstos no certame licitatório.</w:t>
      </w:r>
    </w:p>
    <w:p w14:paraId="40CAC7D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concessão de efeito suspensivo à impugnação é medida excepcional e deverá ser motivada pelo(a) Pregoeiro, nos autos do processo de licitação.</w:t>
      </w:r>
    </w:p>
    <w:p w14:paraId="3962D64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52"/>
          <w:color w:val="000000" w:themeColor="text1"/>
          <w:sz w:val="22"/>
          <w:szCs w:val="22"/>
          <w14:textFill>
            <w14:solidFill>
              <w14:schemeClr w14:val="tx1"/>
            </w14:solidFill>
          </w14:textFill>
        </w:rPr>
        <w:t>oficial</w:t>
      </w:r>
      <w:r>
        <w:rPr>
          <w:color w:val="000000"/>
          <w:sz w:val="22"/>
          <w:szCs w:val="22"/>
        </w:rPr>
        <w:t xml:space="preserve"> da </w:t>
      </w:r>
      <w:r>
        <w:rPr>
          <w:rStyle w:val="52"/>
          <w:color w:val="000000"/>
          <w:sz w:val="22"/>
          <w:szCs w:val="22"/>
        </w:rPr>
        <w:t>Câmara Municipal de Primavera do Leste – MT</w:t>
      </w:r>
      <w:r>
        <w:rPr>
          <w:sz w:val="22"/>
          <w:szCs w:val="22"/>
        </w:rPr>
        <w:t xml:space="preserve">,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 xml:space="preserve"> </w:t>
      </w:r>
      <w:r>
        <w:rPr>
          <w:color w:val="000000"/>
          <w:sz w:val="22"/>
          <w:szCs w:val="22"/>
        </w:rPr>
        <w:t>(</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art. 164, parágrafo único, da Lei Federal nº 14.133, de 2021</w:t>
      </w:r>
      <w:r>
        <w:rPr>
          <w:rStyle w:val="61"/>
          <w:sz w:val="22"/>
          <w:szCs w:val="22"/>
        </w:rPr>
        <w:fldChar w:fldCharType="end"/>
      </w:r>
      <w:r>
        <w:rPr>
          <w:color w:val="000000"/>
          <w:sz w:val="22"/>
          <w:szCs w:val="22"/>
        </w:rPr>
        <w:t>).</w:t>
      </w:r>
    </w:p>
    <w:p w14:paraId="5C9855C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2"/>
          <w:szCs w:val="22"/>
        </w:rPr>
        <w:fldChar w:fldCharType="begin"/>
      </w:r>
      <w:r>
        <w:rPr>
          <w:rStyle w:val="61"/>
          <w:sz w:val="22"/>
          <w:szCs w:val="22"/>
        </w:rPr>
        <w:instrText xml:space="preserve"> HYPERLINK "https://www.planalto.gov.br/ccivil_03/_ato2019-2022/2021/lei/l14133.htm" \l "art55"</w:instrText>
      </w:r>
      <w:r>
        <w:rPr>
          <w:rStyle w:val="61"/>
          <w:sz w:val="22"/>
          <w:szCs w:val="22"/>
        </w:rPr>
        <w:fldChar w:fldCharType="separate"/>
      </w:r>
      <w:r>
        <w:rPr>
          <w:rStyle w:val="61"/>
          <w:sz w:val="22"/>
          <w:szCs w:val="22"/>
        </w:rPr>
        <w:t>art. 55, § 1º, da Lei Federal nº 14.133, de 2021</w:t>
      </w:r>
      <w:r>
        <w:rPr>
          <w:rStyle w:val="61"/>
          <w:sz w:val="22"/>
          <w:szCs w:val="22"/>
        </w:rPr>
        <w:fldChar w:fldCharType="end"/>
      </w:r>
      <w:r>
        <w:rPr>
          <w:color w:val="000000"/>
          <w:sz w:val="22"/>
          <w:szCs w:val="22"/>
        </w:rPr>
        <w:t>).</w:t>
      </w:r>
    </w:p>
    <w:p w14:paraId="48C3F97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14:paraId="5AF8F8B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14:paraId="0B310467">
      <w:pPr>
        <w:pStyle w:val="2"/>
        <w:spacing w:before="360" w:after="0"/>
        <w:rPr>
          <w:sz w:val="22"/>
          <w:szCs w:val="22"/>
        </w:rPr>
      </w:pPr>
      <w:bookmarkStart w:id="11" w:name="_CREDENCIAMENTO"/>
      <w:bookmarkEnd w:id="11"/>
      <w:bookmarkStart w:id="12" w:name="_Toc149517436"/>
      <w:r>
        <w:rPr>
          <w:rStyle w:val="52"/>
          <w:sz w:val="22"/>
          <w:szCs w:val="22"/>
        </w:rPr>
        <w:t>CREDENCIAMENTO</w:t>
      </w:r>
      <w:bookmarkEnd w:id="12"/>
      <w:r>
        <w:rPr>
          <w:rStyle w:val="52"/>
          <w:sz w:val="22"/>
          <w:szCs w:val="22"/>
        </w:rPr>
        <w:t> </w:t>
      </w:r>
    </w:p>
    <w:p w14:paraId="58B3EA68">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As empresas licitantes interessadas deverão proceder ao credenciamento antes da data marcada para início da Sessão Pública via internet.</w:t>
      </w:r>
    </w:p>
    <w:p w14:paraId="4E5C5CE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9DA1B9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participação do licitante no </w:t>
      </w:r>
      <w:r>
        <w:rPr>
          <w:rStyle w:val="52"/>
          <w:color w:val="000000" w:themeColor="text1"/>
          <w:sz w:val="22"/>
          <w:szCs w:val="22"/>
          <w14:textFill>
            <w14:solidFill>
              <w14:schemeClr w14:val="tx1"/>
            </w14:solidFill>
          </w14:textFill>
        </w:rPr>
        <w:t>Pregão</w:t>
      </w:r>
      <w:r>
        <w:rPr>
          <w:rStyle w:val="52"/>
          <w:color w:val="000000"/>
          <w:sz w:val="22"/>
          <w:szCs w:val="22"/>
        </w:rPr>
        <w:t xml:space="preserve"> se dará exclusivamente através de </w:t>
      </w:r>
      <w:r>
        <w:rPr>
          <w:rStyle w:val="52"/>
          <w:i/>
          <w:iCs/>
          <w:color w:val="000000"/>
          <w:sz w:val="22"/>
          <w:szCs w:val="22"/>
        </w:rPr>
        <w:t>Home Broker</w:t>
      </w:r>
      <w:r>
        <w:rPr>
          <w:rStyle w:val="52"/>
          <w:color w:val="000000"/>
          <w:sz w:val="22"/>
          <w:szCs w:val="22"/>
        </w:rPr>
        <w:t>, o qual deverá manifestar em campo próprio da plataforma Eletrônica, pleno conhecimento, aceitação e atendimento às exigências de habilitação previstas no Edital.</w:t>
      </w:r>
    </w:p>
    <w:p w14:paraId="3D0E60B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credenciamento dar-se-á pela atribuição de chave de identificação e de senha, pessoal e intransferível, para acesso ao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w:t>
      </w:r>
      <w:r>
        <w:rPr>
          <w:rStyle w:val="52"/>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14:paraId="6054ECD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O acesso do licitante ao </w:t>
      </w:r>
      <w:r>
        <w:rPr>
          <w:rStyle w:val="52"/>
          <w:color w:val="000000" w:themeColor="text1"/>
          <w:sz w:val="22"/>
          <w:szCs w:val="22"/>
          <w14:textFill>
            <w14:solidFill>
              <w14:schemeClr w14:val="tx1"/>
            </w14:solidFill>
          </w14:textFill>
        </w:rPr>
        <w:t>Pregão</w:t>
      </w:r>
      <w:r>
        <w:rPr>
          <w:rStyle w:val="52"/>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6D8B1F4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É de exclusiva responsabilidade do licitante o sigilo da senha, bem como seu uso em qualquer transação efetuada, não cabendo ao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xml:space="preserve">) e à </w:t>
      </w:r>
      <w:r>
        <w:rPr>
          <w:rStyle w:val="52"/>
          <w:color w:val="000000" w:themeColor="text1"/>
          <w:sz w:val="22"/>
          <w:szCs w:val="22"/>
          <w14:textFill>
            <w14:solidFill>
              <w14:schemeClr w14:val="tx1"/>
            </w14:solidFill>
          </w14:textFill>
        </w:rPr>
        <w:t>Câmara Municipal de Primavera do Leste - MT</w:t>
      </w:r>
      <w:r>
        <w:rPr>
          <w:rStyle w:val="52"/>
          <w:color w:val="000000"/>
          <w:sz w:val="22"/>
          <w:szCs w:val="22"/>
        </w:rPr>
        <w:t xml:space="preserve"> a responsabilidade por eventuais danos decorrentes de uso indevido da senha, ainda que por terceiros.</w:t>
      </w:r>
    </w:p>
    <w:p w14:paraId="76EE1A9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do licitante junto a plataforma onde ocorrerá a disputa no presente </w:t>
      </w:r>
      <w:r>
        <w:rPr>
          <w:rStyle w:val="52"/>
          <w:color w:val="000000" w:themeColor="text1"/>
          <w:sz w:val="22"/>
          <w:szCs w:val="22"/>
          <w14:textFill>
            <w14:solidFill>
              <w14:schemeClr w14:val="tx1"/>
            </w14:solidFill>
          </w14:textFill>
        </w:rPr>
        <w:t>Pregão</w:t>
      </w:r>
      <w:r>
        <w:rPr>
          <w:rStyle w:val="52"/>
          <w:color w:val="000000"/>
          <w:sz w:val="22"/>
          <w:szCs w:val="22"/>
        </w:rPr>
        <w:t xml:space="preserve"> implica a responsabilidade legal pelos atos praticados e a presunção de capacidade técnica para realização das transações inerentes ao certame. </w:t>
      </w:r>
    </w:p>
    <w:p w14:paraId="6528485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As microempresas ou as empresas de pequeno porte no momento de seu cadastro deverão manifestar em campo próprio do Sistema Eletrônico o estabelecido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w:t>
      </w:r>
    </w:p>
    <w:p w14:paraId="7A21409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não declaração, no momento do credenciamento, da licitante em referência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 caso se enquadre, implicará o IMPEDIMENTO DA LICITANTE EM BENEFICIAR-SE DA CONDIÇÃO DE MICROEMPRESA (ME) OU EMPRESA DE PEQUENO PORTE (EPP).</w:t>
      </w:r>
    </w:p>
    <w:p w14:paraId="4EA30CE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declaração falsa dos requisitos do credenciamento sujeitará às sanções previstas neste Edital e nas demais cominações legais do certame, em especial quanto à tipificação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 xml:space="preserve">. </w:t>
      </w:r>
    </w:p>
    <w:p w14:paraId="2D92911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 perda da senha ou a quebra de sigilo deverá ser comunicada ao provedor do sistema para imediato bloqueio de acesso.</w:t>
      </w:r>
    </w:p>
    <w:p w14:paraId="1A843E42">
      <w:pPr>
        <w:pStyle w:val="2"/>
        <w:spacing w:before="360" w:after="0"/>
        <w:rPr>
          <w:sz w:val="22"/>
          <w:szCs w:val="22"/>
        </w:rPr>
      </w:pPr>
      <w:bookmarkStart w:id="13" w:name="_Toc149517437"/>
      <w:r>
        <w:rPr>
          <w:rStyle w:val="52"/>
          <w:sz w:val="22"/>
          <w:szCs w:val="22"/>
        </w:rPr>
        <w:t>CADASTRAMENTO DA PROPOSTA</w:t>
      </w:r>
      <w:bookmarkEnd w:id="13"/>
      <w:r>
        <w:rPr>
          <w:rStyle w:val="52"/>
          <w:sz w:val="22"/>
          <w:szCs w:val="22"/>
        </w:rPr>
        <w:t xml:space="preserve"> </w:t>
      </w:r>
    </w:p>
    <w:p w14:paraId="34122CEC">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de proposta(s)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14:paraId="3D46AD9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sz w:val="22"/>
          <w:szCs w:val="22"/>
        </w:rPr>
        <w:t>”</w:t>
      </w:r>
      <w:r>
        <w:rPr>
          <w:rStyle w:val="52"/>
          <w:color w:val="000000"/>
          <w:sz w:val="22"/>
          <w:szCs w:val="22"/>
        </w:rPr>
        <w:t>.</w:t>
      </w:r>
    </w:p>
    <w:p w14:paraId="058A8B7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O registro de proposta eletrônica vinculada ao presente certame implica, independente de expressa declaração, na(o):</w:t>
      </w:r>
    </w:p>
    <w:p w14:paraId="3031EE1D">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Aceitação de todas as condições estabelecidas neste Edital e seus Anexos;</w:t>
      </w:r>
    </w:p>
    <w:p w14:paraId="0686CC0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garantia do cumprimento da proposta por prazo mínimo de 90 (noventa) dias, contados da data de abertura da sessão pública;</w:t>
      </w:r>
    </w:p>
    <w:p w14:paraId="57537C30">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8" w:lineRule="auto"/>
        <w:jc w:val="both"/>
        <w:textAlignment w:val="baseline"/>
        <w:rPr>
          <w:sz w:val="22"/>
          <w:szCs w:val="22"/>
        </w:rPr>
      </w:pPr>
      <w:r>
        <w:rPr>
          <w:rStyle w:val="52"/>
          <w:color w:val="000000"/>
          <w:sz w:val="22"/>
          <w:szCs w:val="22"/>
        </w:rPr>
        <w:t>compromisso do licitante para com o rigoroso cumprimento das especificações técnicas, prazos e condições fixadas no Termo de Referência (Anexo I);</w:t>
      </w:r>
    </w:p>
    <w:p w14:paraId="0212F0F0">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8" w:lineRule="auto"/>
        <w:jc w:val="both"/>
        <w:textAlignment w:val="baseline"/>
        <w:rPr>
          <w:sz w:val="22"/>
          <w:szCs w:val="22"/>
        </w:rPr>
      </w:pPr>
      <w:r>
        <w:rPr>
          <w:rStyle w:val="52"/>
          <w:color w:val="000000"/>
          <w:sz w:val="22"/>
          <w:szCs w:val="22"/>
        </w:rPr>
        <w:t>Impossibilidade de posterior desistência ou declínio de proposta a partir da data da sessão eletrônica inicial, ou de requerer qualquer acréscimo de custos que deveria ter sido incluído na sua proposta;</w:t>
      </w:r>
    </w:p>
    <w:p w14:paraId="577E07EF">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8" w:lineRule="auto"/>
        <w:jc w:val="both"/>
        <w:textAlignment w:val="baseline"/>
        <w:rPr>
          <w:sz w:val="22"/>
          <w:szCs w:val="22"/>
        </w:rPr>
      </w:pPr>
      <w:r>
        <w:rPr>
          <w:rStyle w:val="52"/>
          <w:color w:val="000000"/>
          <w:sz w:val="22"/>
          <w:szCs w:val="22"/>
        </w:rPr>
        <w:t>Submissão às sanções administrativas previstas neste Edital e seus Anexos;</w:t>
      </w:r>
    </w:p>
    <w:p w14:paraId="5657C344">
      <w:pPr>
        <w:pStyle w:val="49"/>
        <w:keepNext w:val="0"/>
        <w:keepLines w:val="0"/>
        <w:pageBreakBefore w:val="0"/>
        <w:widowControl/>
        <w:numPr>
          <w:ilvl w:val="2"/>
          <w:numId w:val="1"/>
        </w:numPr>
        <w:tabs>
          <w:tab w:val="left" w:pos="1134"/>
        </w:tabs>
        <w:kinsoku/>
        <w:wordWrap/>
        <w:overflowPunct/>
        <w:topLinePunct w:val="0"/>
        <w:autoSpaceDE/>
        <w:autoSpaceDN/>
        <w:bidi w:val="0"/>
        <w:adjustRightInd/>
        <w:snapToGrid/>
        <w:spacing w:before="0" w:beforeAutospacing="0" w:after="0" w:afterAutospacing="0" w:line="228" w:lineRule="auto"/>
        <w:jc w:val="both"/>
        <w:textAlignment w:val="baseline"/>
        <w:rPr>
          <w:sz w:val="22"/>
          <w:szCs w:val="22"/>
        </w:rPr>
      </w:pPr>
      <w:r>
        <w:rPr>
          <w:rStyle w:val="52"/>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52"/>
          <w:color w:val="000000"/>
          <w:sz w:val="22"/>
          <w:szCs w:val="22"/>
        </w:rPr>
        <w:t>.</w:t>
      </w:r>
    </w:p>
    <w:p w14:paraId="6641533B">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As propostas registradas no “Sistema” NÃO DEVEM CONTER NENHUMA IDENTIFICAÇÃO DA EMPRESA PROPONENTE, visando atender o princípio da impessoalidade e preservar o sigilo das propostas, sob pena de desclassificação.</w:t>
      </w:r>
    </w:p>
    <w:p w14:paraId="33C5870A">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14:paraId="49D6CC95">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Os lances serão de envio automático pelo sistema, que respeitará o preço final mínimo, bem como o intervalo de que trata o item anterior.</w:t>
      </w:r>
    </w:p>
    <w:p w14:paraId="2271879A">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O preço final mínimo poderá ser alterado pela licitante durante a fase de lances, porém, não poderá ser superior a lance já registrado por ela no sistema.</w:t>
      </w:r>
    </w:p>
    <w:p w14:paraId="3247F7F0">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14:paraId="6EDC235F">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14:paraId="42434399">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 xml:space="preserve">Até a abertura da sessão, as licitantes poderão retirar ou substituir suas propostas anteriormente apresentadas. </w:t>
      </w:r>
    </w:p>
    <w:p w14:paraId="3A69DBFF">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14:paraId="0D5B4E96">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Todas as especificações do objeto contidas na proposta vinculam o fornecedor registrado.</w:t>
      </w:r>
    </w:p>
    <w:p w14:paraId="141B8691">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1"/>
          <w:sz w:val="22"/>
          <w:szCs w:val="22"/>
        </w:rPr>
        <w:t>Lei Federal nº 8.078, de 1990</w:t>
      </w:r>
      <w:r>
        <w:rPr>
          <w:rStyle w:val="61"/>
          <w:sz w:val="22"/>
          <w:szCs w:val="22"/>
        </w:rPr>
        <w:fldChar w:fldCharType="end"/>
      </w:r>
      <w:r>
        <w:rPr>
          <w:rStyle w:val="52"/>
          <w:color w:val="000000"/>
          <w:sz w:val="22"/>
          <w:szCs w:val="22"/>
        </w:rPr>
        <w:t>.</w:t>
      </w:r>
    </w:p>
    <w:p w14:paraId="3A8BC139">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Nenhuma indenização será devida aos licitantes pela elaboração ou apresentação de propostas relativas a presente licitação.</w:t>
      </w:r>
    </w:p>
    <w:p w14:paraId="43F1278C">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14:paraId="7E594FC0">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Após a abertura da sessão pública eletrônica do presente certame não cabe, em nenhuma hipótese, desistência de proposta.</w:t>
      </w:r>
    </w:p>
    <w:p w14:paraId="54617622">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 xml:space="preserve">Nenhuma proposta ou documentação de habilitação poderá ser encaminhada ao(à) </w:t>
      </w:r>
      <w:r>
        <w:rPr>
          <w:sz w:val="22"/>
          <w:szCs w:val="22"/>
        </w:rPr>
        <w:t>Pregoeiro</w:t>
      </w:r>
      <w:r>
        <w:rPr>
          <w:rStyle w:val="52"/>
          <w:color w:val="000000"/>
          <w:sz w:val="22"/>
          <w:szCs w:val="22"/>
        </w:rPr>
        <w:t xml:space="preserve"> por e-mail ou outro meio de comunicação antes do encerramento da etapa competitiva, sob pena de quebra do anonimato da competição e, consequentemente, desclassificação da proposta.</w:t>
      </w:r>
    </w:p>
    <w:p w14:paraId="455A96EF">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0" w:beforeAutospacing="0" w:after="0" w:afterAutospacing="0" w:line="228" w:lineRule="auto"/>
        <w:ind w:left="-87" w:leftChars="0" w:firstLine="567" w:firstLineChars="0"/>
        <w:jc w:val="both"/>
        <w:textAlignment w:val="baseline"/>
        <w:rPr>
          <w:rStyle w:val="52"/>
          <w:color w:val="000000"/>
          <w:sz w:val="22"/>
          <w:szCs w:val="22"/>
        </w:rPr>
      </w:pPr>
      <w:r>
        <w:rPr>
          <w:rStyle w:val="52"/>
          <w:rFonts w:hint="default"/>
          <w:color w:val="000000"/>
          <w:sz w:val="22"/>
          <w:szCs w:val="22"/>
          <w:u w:val="single"/>
          <w:lang w:val="en-US" w:eastAsia="pt-BR"/>
        </w:rPr>
        <w:t>Os Projetos e Arquivos de Mídia que justificam a Padronização  serão disponibilizados para download no Sítio Eletrônico (https://www.primaveradoleste.mt.leg.br) e Plataforma Eletrônica (https://portal.licitanet.com.br).</w:t>
      </w:r>
    </w:p>
    <w:p w14:paraId="6E935193">
      <w:pPr>
        <w:pStyle w:val="2"/>
        <w:keepNext w:val="0"/>
        <w:keepLines w:val="0"/>
        <w:pageBreakBefore w:val="0"/>
        <w:widowControl/>
        <w:kinsoku/>
        <w:wordWrap/>
        <w:overflowPunct/>
        <w:topLinePunct w:val="0"/>
        <w:autoSpaceDE/>
        <w:autoSpaceDN/>
        <w:bidi w:val="0"/>
        <w:adjustRightInd/>
        <w:snapToGrid/>
        <w:spacing w:before="360" w:after="0" w:line="228" w:lineRule="auto"/>
        <w:textAlignment w:val="baseline"/>
        <w:rPr>
          <w:sz w:val="22"/>
          <w:szCs w:val="22"/>
        </w:rPr>
      </w:pPr>
      <w:bookmarkStart w:id="14" w:name="_Toc149517438"/>
      <w:r>
        <w:rPr>
          <w:rStyle w:val="52"/>
          <w:sz w:val="22"/>
          <w:szCs w:val="22"/>
        </w:rPr>
        <w:t>CADASTRAMENTO DOS DOCUMENTOS DE HABILITAÇÃO</w:t>
      </w:r>
      <w:bookmarkEnd w:id="14"/>
      <w:r>
        <w:rPr>
          <w:rStyle w:val="52"/>
          <w:sz w:val="22"/>
          <w:szCs w:val="22"/>
        </w:rPr>
        <w:t xml:space="preserve"> </w:t>
      </w:r>
    </w:p>
    <w:p w14:paraId="3F0E28FE">
      <w:pPr>
        <w:pStyle w:val="49"/>
        <w:keepNext w:val="0"/>
        <w:keepLines w:val="0"/>
        <w:pageBreakBefore w:val="0"/>
        <w:widowControl/>
        <w:numPr>
          <w:ilvl w:val="1"/>
          <w:numId w:val="1"/>
        </w:numPr>
        <w:tabs>
          <w:tab w:val="left" w:pos="1134"/>
        </w:tabs>
        <w:kinsoku/>
        <w:wordWrap/>
        <w:overflowPunct/>
        <w:topLinePunct w:val="0"/>
        <w:autoSpaceDE/>
        <w:autoSpaceDN/>
        <w:bidi w:val="0"/>
        <w:adjustRightInd/>
        <w:snapToGrid/>
        <w:spacing w:before="120" w:beforeAutospacing="0" w:after="0" w:afterAutospacing="0" w:line="228" w:lineRule="auto"/>
        <w:ind w:left="-87" w:leftChars="0" w:firstLine="567" w:firstLineChars="0"/>
        <w:jc w:val="both"/>
        <w:textAlignment w:val="baseline"/>
        <w:rPr>
          <w:sz w:val="22"/>
          <w:szCs w:val="22"/>
        </w:rPr>
      </w:pPr>
      <w:r>
        <w:rPr>
          <w:rStyle w:val="52"/>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bookmarkStart w:id="87" w:name="_GoBack"/>
      <w:bookmarkEnd w:id="87"/>
    </w:p>
    <w:p w14:paraId="4A63938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rPr>
          <w:sz w:val="22"/>
          <w:szCs w:val="22"/>
        </w:rPr>
        <w:fldChar w:fldCharType="begin"/>
      </w:r>
      <w:r>
        <w:rPr>
          <w:rStyle w:val="61"/>
          <w:rFonts w:eastAsia="Calibri"/>
          <w:sz w:val="22"/>
          <w:szCs w:val="22"/>
          <w:lang w:eastAsia="en-US"/>
        </w:rPr>
        <w:instrText xml:space="preserve"> HYPERLINK "https://www.planalto.gov.br/ccivil_03/leis/lcp/lcp123.htm" \l "art43"</w:instrText>
      </w:r>
      <w:r>
        <w:rPr>
          <w:rStyle w:val="61"/>
          <w:rFonts w:eastAsia="Calibri"/>
          <w:sz w:val="22"/>
          <w:szCs w:val="22"/>
          <w:lang w:eastAsia="en-US"/>
        </w:rPr>
        <w:fldChar w:fldCharType="separate"/>
      </w:r>
      <w:r>
        <w:rPr>
          <w:rStyle w:val="61"/>
          <w:rFonts w:eastAsiaTheme="minorHAnsi"/>
          <w:sz w:val="22"/>
          <w:szCs w:val="22"/>
          <w:lang w:eastAsia="en-US"/>
        </w:rPr>
        <w:t>art. 43, § 1º, da Lei Complementar Federal nº 123, de 2006</w:t>
      </w:r>
      <w:r>
        <w:rPr>
          <w:rStyle w:val="61"/>
          <w:rFonts w:eastAsia="Calibri"/>
          <w:sz w:val="22"/>
          <w:szCs w:val="22"/>
          <w:lang w:eastAsia="en-US"/>
        </w:rPr>
        <w:fldChar w:fldCharType="end"/>
      </w:r>
      <w:r>
        <w:rPr>
          <w:rFonts w:eastAsiaTheme="minorHAnsi"/>
          <w:sz w:val="22"/>
          <w:szCs w:val="22"/>
          <w:lang w:eastAsia="en-US"/>
        </w:rPr>
        <w:t>.</w:t>
      </w:r>
    </w:p>
    <w:p w14:paraId="2A87322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Até a abertura da sessão pública, os licitantes poderão acrescentar ou substituir a documentos de habilitação anteriormente inseridos no sistema.</w:t>
      </w:r>
    </w:p>
    <w:p w14:paraId="5F04B65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14:paraId="18ABC282">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14:paraId="7148BB7F">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ABERTURA DA SESSÃO </w:t>
      </w:r>
    </w:p>
    <w:p w14:paraId="6AB4E91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data e horário previstos no item “</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color w:val="000000"/>
          <w:sz w:val="22"/>
          <w:szCs w:val="22"/>
        </w:rPr>
        <w:t>” deste Edital, a sessão pública na internet será aberta automaticamente pelo sistema.</w:t>
      </w:r>
    </w:p>
    <w:p w14:paraId="2637BEB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verificação da conformidade da proposta será feita exclusivamente na fase de julgamento das propostas e em relação à proposta mais bem classificada.</w:t>
      </w:r>
    </w:p>
    <w:p w14:paraId="743DF7F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14:paraId="3746A8DA">
      <w:pPr>
        <w:pStyle w:val="2"/>
        <w:spacing w:before="360" w:after="0"/>
        <w:rPr>
          <w:sz w:val="22"/>
          <w:szCs w:val="22"/>
        </w:rPr>
      </w:pPr>
      <w:bookmarkStart w:id="15" w:name="_Toc149517439"/>
      <w:r>
        <w:rPr>
          <w:rStyle w:val="52"/>
          <w:sz w:val="22"/>
          <w:szCs w:val="22"/>
        </w:rPr>
        <w:t>FORMULAÇÃO DE LANCES</w:t>
      </w:r>
      <w:bookmarkEnd w:id="15"/>
      <w:r>
        <w:rPr>
          <w:rStyle w:val="52"/>
          <w:sz w:val="22"/>
          <w:szCs w:val="22"/>
        </w:rPr>
        <w:t> </w:t>
      </w:r>
    </w:p>
    <w:p w14:paraId="15172895">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14:paraId="35F3CE7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lances serão ofertados pelo valor unitário/total do item/lote único.</w:t>
      </w:r>
    </w:p>
    <w:p w14:paraId="03A0431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licitantes poderão oferecer lances sucessivos, observados o horário fixado para a abertura da sessão pública e as regras estabelecidas neste Edital. </w:t>
      </w:r>
    </w:p>
    <w:p w14:paraId="7302260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o licitante não apresente lances, concorrerá com o valor de sua proposta.</w:t>
      </w:r>
    </w:p>
    <w:p w14:paraId="593E21B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Durante o transcurso da sessão pública, os licitantes serão informados, em tempo real, do valor do menor lance registrado, vedada a identificação do licitante.</w:t>
      </w:r>
    </w:p>
    <w:p w14:paraId="4178DB7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rPr>
          <w:sz w:val="22"/>
          <w:szCs w:val="22"/>
        </w:rPr>
        <w:fldChar w:fldCharType="begin"/>
      </w:r>
      <w:r>
        <w:rPr>
          <w:rStyle w:val="61"/>
          <w:sz w:val="22"/>
          <w:szCs w:val="22"/>
        </w:rPr>
        <w:instrText xml:space="preserve"> HYPERLINK "https://www.planalto.gov.br/ccivil_03/_ato2019-2022/2021/lei/l14133.htm" \l "art56"</w:instrText>
      </w:r>
      <w:r>
        <w:rPr>
          <w:rStyle w:val="61"/>
          <w:sz w:val="22"/>
          <w:szCs w:val="22"/>
        </w:rPr>
        <w:fldChar w:fldCharType="separate"/>
      </w:r>
      <w:r>
        <w:rPr>
          <w:rStyle w:val="61"/>
          <w:sz w:val="22"/>
          <w:szCs w:val="22"/>
        </w:rPr>
        <w:t>art. 56, §3º, II, da Lei Federal nº 14.133, de 2021</w:t>
      </w:r>
      <w:r>
        <w:rPr>
          <w:rStyle w:val="61"/>
          <w:sz w:val="22"/>
          <w:szCs w:val="22"/>
        </w:rPr>
        <w:fldChar w:fldCharType="end"/>
      </w:r>
      <w:r>
        <w:rPr>
          <w:color w:val="000000"/>
          <w:sz w:val="22"/>
          <w:szCs w:val="22"/>
        </w:rPr>
        <w:t>).</w:t>
      </w:r>
    </w:p>
    <w:p w14:paraId="1065BBA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14:paraId="184A5A4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14:paraId="703C1C6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14:paraId="3073EB5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b/>
          <w:bCs/>
          <w:color w:val="000000"/>
          <w:sz w:val="22"/>
          <w:szCs w:val="22"/>
        </w:rPr>
        <w:t xml:space="preserve">Será adotado para o envio de lances neste </w:t>
      </w:r>
      <w:r>
        <w:rPr>
          <w:rStyle w:val="52"/>
          <w:b/>
          <w:bCs/>
          <w:color w:val="000000" w:themeColor="text1"/>
          <w:sz w:val="22"/>
          <w:szCs w:val="22"/>
          <w14:textFill>
            <w14:solidFill>
              <w14:schemeClr w14:val="tx1"/>
            </w14:solidFill>
          </w14:textFill>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14:paraId="49D0B7D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14:paraId="11A90C2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14:paraId="7EA50CD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14:paraId="752B6C1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lang w:val="pt-BR"/>
        </w:rPr>
        <w:t>Na hipótese de não haver novos lances nos termos do subitem 15.12. a disputa será encerrada automaticamente.</w:t>
      </w:r>
    </w:p>
    <w:p w14:paraId="1F146AD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Os lances apresentados e levados em consideração para efeito de julgamento serão de exclusiva e total responsabilidade de cada licitante, não lhe cabendo o direito de pleitear qualquer alteração posterior.</w:t>
      </w:r>
    </w:p>
    <w:p w14:paraId="1C1F42D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14:paraId="116FF6A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Após o término dos prazos estabelecidos nos itens anteriores, o sistema ordenará os lances segundo a ordem crescente de valores.</w:t>
      </w:r>
    </w:p>
    <w:p w14:paraId="5389408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licitantes serão informadas, em tempo real, do valor do melhor lance registrado, durante a sessão pública do </w:t>
      </w:r>
      <w:r>
        <w:rPr>
          <w:rStyle w:val="52"/>
          <w:color w:val="000000" w:themeColor="text1"/>
          <w:sz w:val="22"/>
          <w:szCs w:val="22"/>
          <w14:textFill>
            <w14:solidFill>
              <w14:schemeClr w14:val="tx1"/>
            </w14:solidFill>
          </w14:textFill>
        </w:rPr>
        <w:t>Pregão</w:t>
      </w:r>
      <w:r>
        <w:rPr>
          <w:color w:val="000000"/>
          <w:sz w:val="22"/>
          <w:szCs w:val="22"/>
        </w:rPr>
        <w:t>, sendo vedada a identificação do seu detentor.</w:t>
      </w:r>
    </w:p>
    <w:p w14:paraId="73A7F2D8">
      <w:pPr>
        <w:pStyle w:val="2"/>
        <w:spacing w:before="360" w:after="0"/>
        <w:rPr>
          <w:sz w:val="22"/>
          <w:szCs w:val="22"/>
        </w:rPr>
      </w:pPr>
      <w:bookmarkStart w:id="16" w:name="_Toc149517440"/>
      <w:r>
        <w:rPr>
          <w:rStyle w:val="52"/>
          <w:sz w:val="22"/>
          <w:szCs w:val="22"/>
        </w:rPr>
        <w:t>DESCONEXÃO DO</w:t>
      </w:r>
      <w:bookmarkEnd w:id="16"/>
      <w:r>
        <w:rPr>
          <w:rStyle w:val="52"/>
          <w:sz w:val="22"/>
          <w:szCs w:val="22"/>
        </w:rPr>
        <w:t xml:space="preserve"> PREGOEIRO</w:t>
      </w:r>
    </w:p>
    <w:p w14:paraId="4DAF16B1">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52"/>
          <w:color w:val="000000" w:themeColor="text1"/>
          <w:sz w:val="22"/>
          <w:szCs w:val="22"/>
          <w14:textFill>
            <w14:solidFill>
              <w14:schemeClr w14:val="tx1"/>
            </w14:solidFill>
          </w14:textFill>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14:paraId="244DACA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52"/>
          <w:color w:val="000000" w:themeColor="text1"/>
          <w:sz w:val="22"/>
          <w:szCs w:val="22"/>
          <w14:textFill>
            <w14:solidFill>
              <w14:schemeClr w14:val="tx1"/>
            </w14:solidFill>
          </w14:textFill>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10F2CE3D">
      <w:pPr>
        <w:pStyle w:val="2"/>
        <w:spacing w:before="360" w:after="0"/>
        <w:rPr>
          <w:sz w:val="22"/>
          <w:szCs w:val="22"/>
        </w:rPr>
      </w:pPr>
      <w:bookmarkStart w:id="17" w:name="_Toc149517441"/>
      <w:r>
        <w:rPr>
          <w:rStyle w:val="52"/>
          <w:sz w:val="22"/>
          <w:szCs w:val="22"/>
        </w:rPr>
        <w:t>BENEFÍCIOS ÀS MICROEMPRESAS</w:t>
      </w:r>
      <w:r>
        <w:rPr>
          <w:rStyle w:val="52"/>
          <w:sz w:val="22"/>
          <w:szCs w:val="22"/>
          <w:lang w:val="pt-BR"/>
        </w:rPr>
        <w:t>,</w:t>
      </w:r>
      <w:r>
        <w:rPr>
          <w:rStyle w:val="52"/>
          <w:sz w:val="22"/>
          <w:szCs w:val="22"/>
        </w:rPr>
        <w:t xml:space="preserve"> EMPRESAS DE PEQUENO PORTE</w:t>
      </w:r>
      <w:bookmarkEnd w:id="17"/>
      <w:r>
        <w:rPr>
          <w:rStyle w:val="52"/>
          <w:sz w:val="22"/>
          <w:szCs w:val="22"/>
          <w:lang w:val="pt-BR"/>
        </w:rPr>
        <w:t xml:space="preserve"> E REGIONAIS</w:t>
      </w:r>
    </w:p>
    <w:p w14:paraId="4E3D3A44">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obtenção de benefícios previstos dos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artigos 42 a 49 da Lei Complementar Federal nº 123, de 2006</w:t>
      </w:r>
      <w:r>
        <w:rPr>
          <w:rStyle w:val="61"/>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1A0D8A3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art. 4º, §§ 1º ao 3º, da Lei Federal nº 14.133, de 2021.</w:t>
      </w:r>
      <w:r>
        <w:rPr>
          <w:rStyle w:val="61"/>
          <w:sz w:val="22"/>
          <w:szCs w:val="22"/>
        </w:rPr>
        <w:fldChar w:fldCharType="end"/>
      </w:r>
    </w:p>
    <w:p w14:paraId="512C21E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14:paraId="1BA54A7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automaticamente, procederá da seguinte forma:</w:t>
      </w:r>
    </w:p>
    <w:p w14:paraId="16B45E0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14:paraId="4950315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14:paraId="735358E1">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havendo empate de valor entre duas empresas beneficiárias do direito de preferência fixada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sz w:val="22"/>
          <w:szCs w:val="22"/>
        </w:rPr>
        <w:t>, exercerá tal direito prioritariamente aquela cuja proposta tenha sido recebida e registrada pelo sistema primeiramente;</w:t>
      </w:r>
    </w:p>
    <w:p w14:paraId="6FC61CF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o sistema encaminhará mensagem automática, por meio do “chat”, convocando a ME/EPP mais bem classificada a fazer sua última oferta no prazo de 5 (cinco) minutos, sob pena de decadência do direito concedido;</w:t>
      </w:r>
    </w:p>
    <w:p w14:paraId="4535590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 hipótese em que nenhuma dos licitantes exerça o direito de tratamento diferenciado, será mantida a ordem classificatória do certame.</w:t>
      </w:r>
    </w:p>
    <w:p w14:paraId="4E77218C">
      <w:pPr>
        <w:pStyle w:val="49"/>
        <w:numPr>
          <w:ilvl w:val="1"/>
          <w:numId w:val="1"/>
        </w:numPr>
        <w:tabs>
          <w:tab w:val="left" w:pos="1134"/>
        </w:tabs>
        <w:spacing w:before="0" w:beforeAutospacing="0" w:after="0" w:afterAutospacing="0"/>
        <w:ind w:left="705" w:leftChars="0" w:firstLineChars="0"/>
        <w:jc w:val="both"/>
        <w:textAlignment w:val="baseline"/>
        <w:rPr>
          <w:sz w:val="22"/>
          <w:szCs w:val="22"/>
        </w:rPr>
      </w:pPr>
      <w:r>
        <w:rPr>
          <w:sz w:val="22"/>
          <w:szCs w:val="22"/>
        </w:rPr>
        <w:t xml:space="preserve">Na fase de HABILITAÇÃO, será concedido TRATAMENTO DIFERENCIADO às ME's/EPP's que estejam com problemas de REGULARIDADE FISCAL, SOCIAL E TRABALHISTA, à luz do disposto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e 43 da Lei Complementar Federal nº 123, de 2006</w:t>
      </w:r>
      <w:r>
        <w:rPr>
          <w:rStyle w:val="61"/>
          <w:sz w:val="22"/>
          <w:szCs w:val="22"/>
        </w:rPr>
        <w:fldChar w:fldCharType="end"/>
      </w:r>
      <w:r>
        <w:rPr>
          <w:sz w:val="22"/>
          <w:szCs w:val="22"/>
        </w:rPr>
        <w:t>, conforme as seguintes regras:</w:t>
      </w:r>
    </w:p>
    <w:p w14:paraId="696BCA3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14:paraId="0DED44C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será assegurado o prazo de 5 (cinco) dias úteis, prorrogáveis por igual período, a critério da Administração, para a regularização da documentação, pagamento ou parcelamento do débito, e emissão de eventuais certidões;</w:t>
      </w:r>
    </w:p>
    <w:p w14:paraId="307276A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não regularização da documentação fiscal, social ou trabalhista, implicará na decadência do direito à contratação, sem prejuízo das sanções previstas neste Edital e seus Anexos;</w:t>
      </w:r>
    </w:p>
    <w:p w14:paraId="25A3383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decadência do direito por não regularização da situação, será facultada à Câmara Municipal de Primavera do Leste – MT a convocação dos licitantes remanescentes, na ordem de classificação.</w:t>
      </w:r>
    </w:p>
    <w:p w14:paraId="426251F5">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 xml:space="preserve">A fim de cumprir o disposto no </w:t>
      </w:r>
      <w:r>
        <w:rPr>
          <w:b/>
          <w:bCs/>
          <w:sz w:val="22"/>
          <w:szCs w:val="22"/>
          <w:lang w:val="pt-BR"/>
        </w:rPr>
        <w:t>Artigo 3º da Lei Municipal 1.953 de 27/05/2021</w:t>
      </w:r>
      <w:r>
        <w:rPr>
          <w:sz w:val="22"/>
          <w:szCs w:val="22"/>
          <w:lang w:val="pt-BR"/>
        </w:rPr>
        <w:t xml:space="preserve">, a prioridade de contratação com a microempresas e empresas de pequeno porte sediadas local ou regionalmente, até o limite de </w:t>
      </w:r>
      <w:r>
        <w:rPr>
          <w:b/>
          <w:bCs/>
          <w:sz w:val="22"/>
          <w:szCs w:val="22"/>
          <w:lang w:val="pt-BR"/>
        </w:rPr>
        <w:t>10% (dez por cento)</w:t>
      </w:r>
      <w:r>
        <w:rPr>
          <w:sz w:val="22"/>
          <w:szCs w:val="22"/>
          <w:lang w:val="pt-BR"/>
        </w:rPr>
        <w:t xml:space="preserve"> do melhor preço válido, proporciona a está o direito de ofertar um preço menor do que aquela classificada (empate Ficto).</w:t>
      </w:r>
    </w:p>
    <w:p w14:paraId="4B8649FE">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14:paraId="367777E2">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14:paraId="4A7D74A0">
      <w:pPr>
        <w:pStyle w:val="2"/>
        <w:spacing w:before="360" w:after="0"/>
        <w:rPr>
          <w:sz w:val="22"/>
          <w:szCs w:val="22"/>
        </w:rPr>
      </w:pPr>
      <w:bookmarkStart w:id="18" w:name="_Toc149517442"/>
      <w:r>
        <w:rPr>
          <w:rStyle w:val="52"/>
          <w:sz w:val="22"/>
          <w:szCs w:val="22"/>
        </w:rPr>
        <w:t>EMPATE FICTO</w:t>
      </w:r>
      <w:bookmarkEnd w:id="18"/>
    </w:p>
    <w:p w14:paraId="265D318B">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Se o melhor lance for ofertado por licitante que não se enquadre na condição de ME ou EPP, o sistema facultará a estas o exercício do direito de preferência para fins de desempate, conforme determina 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xml:space="preserve">, momento no qual a ME ou EPP mais bem classificada será convocada para apresentar nova proposta, no prazo máximo </w:t>
      </w:r>
      <w:r>
        <w:rPr>
          <w:color w:val="000000"/>
          <w:sz w:val="22"/>
          <w:szCs w:val="22"/>
          <w:shd w:val="clear" w:fill="auto"/>
        </w:rPr>
        <w:t>de 5 (cinco) mi</w:t>
      </w:r>
      <w:r>
        <w:rPr>
          <w:color w:val="000000"/>
          <w:sz w:val="22"/>
          <w:szCs w:val="22"/>
        </w:rPr>
        <w:t xml:space="preserve">nutos controlados pelo sistema, sob pena de preclusão, consoante determina o </w:t>
      </w:r>
      <w:r>
        <w:rPr>
          <w:sz w:val="22"/>
          <w:szCs w:val="22"/>
        </w:rPr>
        <w:fldChar w:fldCharType="begin"/>
      </w:r>
      <w:r>
        <w:rPr>
          <w:rStyle w:val="61"/>
          <w:sz w:val="22"/>
          <w:szCs w:val="22"/>
        </w:rPr>
        <w:instrText xml:space="preserve"> HYPERLINK "https://www.planalto.gov.br/ccivil_03/leis/lcp/lcp123.htm" \l "art45"</w:instrText>
      </w:r>
      <w:r>
        <w:rPr>
          <w:rStyle w:val="61"/>
          <w:sz w:val="22"/>
          <w:szCs w:val="22"/>
        </w:rPr>
        <w:fldChar w:fldCharType="separate"/>
      </w:r>
      <w:r>
        <w:rPr>
          <w:rStyle w:val="61"/>
          <w:sz w:val="22"/>
          <w:szCs w:val="22"/>
        </w:rPr>
        <w:t>art. 45, §3º, da Lei Complementar Federal nº 123, de 2006</w:t>
      </w:r>
      <w:r>
        <w:rPr>
          <w:rStyle w:val="61"/>
          <w:sz w:val="22"/>
          <w:szCs w:val="22"/>
        </w:rPr>
        <w:fldChar w:fldCharType="end"/>
      </w:r>
      <w:r>
        <w:rPr>
          <w:color w:val="000000"/>
          <w:sz w:val="22"/>
          <w:szCs w:val="22"/>
        </w:rPr>
        <w:t>.</w:t>
      </w:r>
    </w:p>
    <w:p w14:paraId="4DF8742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direito de preferência de que trata o item anterior será concedido da seguinte forma:</w:t>
      </w:r>
    </w:p>
    <w:p w14:paraId="550A749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Ocorrendo o empate, a microempresa ou a empresa de pequeno porte melhor classificada poderá apresentar proposta de preço inferior àquela considerada vencedora do certame, situação em que será adjudicado o objeto em seu favor; e</w:t>
      </w:r>
    </w:p>
    <w:p w14:paraId="3F5454B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não ocorrendo a contratação da microempresa ou empresa de pequeno porte, na forma da alínea anterior, serão convocadas as remanescentes que porventura se enquadrem na situação de empate, na ordem classificatória, para o exercício do mesmo direito; e</w:t>
      </w:r>
    </w:p>
    <w:p w14:paraId="4FD2E27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equivalência dos valores apresentados pelas microempresas e empresas de pequeno porte que se encontrem em situação de empate, será realizado sorteio entre elas para que se identifique aquela que primeiro poderá apresentar melhor oferta.</w:t>
      </w:r>
    </w:p>
    <w:p w14:paraId="291ACDE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 houver equivalência de valores apresentados pelas MEs ou EPPs, que se encontrem no intervalo estabelecido no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o sistema efetuará sorteio para identificar a empresa que primeiro poderá apresentar melhor oferta.</w:t>
      </w:r>
    </w:p>
    <w:p w14:paraId="5EF072A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ME ou EPP convocada decline de exercer o direito de preferência, o sistema convocará as remanescentes que porventura se enquadrem na hipótese do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na ordem de classificação. </w:t>
      </w:r>
    </w:p>
    <w:p w14:paraId="6D07C44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houver êxito no procedimento especificado acima, o sistema disponibilizará nova classificação dos fornecedores para fins de aceitação pelo(a) </w:t>
      </w:r>
      <w:r>
        <w:rPr>
          <w:sz w:val="22"/>
          <w:szCs w:val="22"/>
        </w:rPr>
        <w:t>Pregoeiro</w:t>
      </w:r>
      <w:r>
        <w:rPr>
          <w:color w:val="000000"/>
          <w:sz w:val="22"/>
          <w:szCs w:val="22"/>
        </w:rPr>
        <w:t>. Não havendo êxito ou não existindo ME ou EPP participante, prevalecerá a classificação inicial.</w:t>
      </w:r>
    </w:p>
    <w:p w14:paraId="32C07F6F">
      <w:pPr>
        <w:pStyle w:val="2"/>
        <w:spacing w:before="360" w:after="0"/>
        <w:rPr>
          <w:sz w:val="22"/>
          <w:szCs w:val="22"/>
        </w:rPr>
      </w:pPr>
      <w:bookmarkStart w:id="19" w:name="_Toc149517443"/>
      <w:r>
        <w:rPr>
          <w:rStyle w:val="52"/>
          <w:sz w:val="22"/>
          <w:szCs w:val="22"/>
        </w:rPr>
        <w:t>EMPATE REAL</w:t>
      </w:r>
      <w:bookmarkEnd w:id="19"/>
    </w:p>
    <w:p w14:paraId="79709A21">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caso de empate entre 2 (duas) ou mais propostas, desde que não se enquadre em situação prevista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xml:space="preserve">,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naquela ordem, mesmo não havendo envio de lances na fase competitiva.</w:t>
      </w:r>
    </w:p>
    <w:p w14:paraId="6A92138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Persistindo</w:t>
      </w:r>
      <w:r>
        <w:rPr>
          <w:sz w:val="22"/>
          <w:szCs w:val="22"/>
        </w:rPr>
        <w:t xml:space="preserve"> o empate, será assegurada preferência, sucessivamente, aos produtos produzidos por:</w:t>
      </w:r>
    </w:p>
    <w:p w14:paraId="178F1AF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brasileiras;</w:t>
      </w:r>
    </w:p>
    <w:p w14:paraId="15A79AB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estabelecidas no território de Mato Grosso;</w:t>
      </w:r>
    </w:p>
    <w:p w14:paraId="2E0B915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que invistam em pesquisa e no desenvolvimento de tecnologia no País;</w:t>
      </w:r>
    </w:p>
    <w:p w14:paraId="124900EC">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Empresas que comprovem a prática de mitigação, nos termos da </w:t>
      </w:r>
      <w:r>
        <w:rPr>
          <w:sz w:val="22"/>
          <w:szCs w:val="22"/>
        </w:rPr>
        <w:fldChar w:fldCharType="begin"/>
      </w:r>
      <w:r>
        <w:rPr>
          <w:sz w:val="22"/>
          <w:szCs w:val="22"/>
        </w:rPr>
        <w:instrText xml:space="preserve"> HYPERLINK "https://www.planalto.gov.br/ccivil_03/_ato2007-2010/2009/lei/l12187.htm" \h </w:instrText>
      </w:r>
      <w:r>
        <w:rPr>
          <w:sz w:val="22"/>
          <w:szCs w:val="22"/>
        </w:rPr>
        <w:fldChar w:fldCharType="separate"/>
      </w:r>
      <w:r>
        <w:rPr>
          <w:rStyle w:val="61"/>
          <w:sz w:val="22"/>
          <w:szCs w:val="22"/>
        </w:rPr>
        <w:t>Lei Federal nº 12.187, de 2009</w:t>
      </w:r>
      <w:r>
        <w:rPr>
          <w:rStyle w:val="61"/>
          <w:sz w:val="22"/>
          <w:szCs w:val="22"/>
        </w:rPr>
        <w:fldChar w:fldCharType="end"/>
      </w:r>
      <w:r>
        <w:rPr>
          <w:sz w:val="22"/>
          <w:szCs w:val="22"/>
        </w:rPr>
        <w:t>.</w:t>
      </w:r>
    </w:p>
    <w:p w14:paraId="55D58F80">
      <w:pPr>
        <w:pStyle w:val="49"/>
        <w:numPr>
          <w:ilvl w:val="0"/>
          <w:numId w:val="0"/>
        </w:numPr>
        <w:tabs>
          <w:tab w:val="left" w:pos="1134"/>
        </w:tabs>
        <w:spacing w:before="0" w:beforeAutospacing="0" w:after="0" w:afterAutospacing="0"/>
        <w:ind w:left="720" w:firstLine="0"/>
        <w:jc w:val="both"/>
        <w:textAlignment w:val="baseline"/>
        <w:rPr>
          <w:rFonts w:ascii="Times New Roman" w:hAnsi="Times New Roman"/>
          <w:sz w:val="22"/>
          <w:szCs w:val="22"/>
        </w:rPr>
      </w:pPr>
    </w:p>
    <w:p w14:paraId="7E75D62A">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CONFORMIDADE DA PROPOSTA CLASSIFICADA EM PRIMEIRO LUGAR </w:t>
      </w:r>
    </w:p>
    <w:p w14:paraId="55D91CD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Encerrada a etapa de lances, após observado o disposto no item “</w:t>
      </w:r>
      <w:r>
        <w:rPr>
          <w:sz w:val="22"/>
          <w:szCs w:val="22"/>
        </w:rPr>
        <w:fldChar w:fldCharType="begin"/>
      </w:r>
      <w:r>
        <w:rPr>
          <w:sz w:val="22"/>
          <w:szCs w:val="22"/>
        </w:rPr>
        <w:instrText xml:space="preserve"> HYPERLINK \l "_CONSÓRCIO" \h </w:instrText>
      </w:r>
      <w:r>
        <w:rPr>
          <w:sz w:val="22"/>
          <w:szCs w:val="22"/>
        </w:rPr>
        <w:fldChar w:fldCharType="separate"/>
      </w:r>
      <w:r>
        <w:rPr>
          <w:rStyle w:val="61"/>
          <w:sz w:val="22"/>
          <w:szCs w:val="22"/>
        </w:rPr>
        <w:t>8 - CONSÓRCIO</w:t>
      </w:r>
      <w:r>
        <w:rPr>
          <w:rStyle w:val="61"/>
          <w:sz w:val="22"/>
          <w:szCs w:val="22"/>
        </w:rPr>
        <w:fldChar w:fldCharType="end"/>
      </w:r>
      <w:r>
        <w:rPr>
          <w:color w:val="000000"/>
          <w:sz w:val="22"/>
          <w:szCs w:val="22"/>
        </w:rPr>
        <w:t xml:space="preserve">” deste Edital, o(a) </w:t>
      </w:r>
      <w:r>
        <w:rPr>
          <w:sz w:val="22"/>
          <w:szCs w:val="22"/>
        </w:rPr>
        <w:t>Pregoeiro</w:t>
      </w:r>
      <w:r>
        <w:rPr>
          <w:color w:val="000000"/>
          <w:sz w:val="22"/>
          <w:szCs w:val="22"/>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2"/>
          <w:szCs w:val="22"/>
          <w:lang w:val="pt-BR"/>
        </w:rPr>
        <w:t>por item</w:t>
      </w:r>
      <w:r>
        <w:rPr>
          <w:color w:val="000000"/>
          <w:sz w:val="22"/>
          <w:szCs w:val="22"/>
        </w:rPr>
        <w:t xml:space="preserve">/lote e realizará a verificação da conformidade da proposta em relação ao objeto e à compatibilidade do preço em relação ao máximo para a contratação, conforme definido neste edital. </w:t>
      </w:r>
    </w:p>
    <w:p w14:paraId="038FA22C">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2"/>
          <w:szCs w:val="22"/>
        </w:rPr>
      </w:pPr>
    </w:p>
    <w:p w14:paraId="55312B51">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NEGOCIAÇÃO</w:t>
      </w:r>
    </w:p>
    <w:p w14:paraId="5885CBC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Definido o resultado do julgamento, o(a) </w:t>
      </w:r>
      <w:r>
        <w:rPr>
          <w:sz w:val="22"/>
          <w:szCs w:val="22"/>
        </w:rPr>
        <w:t>Pregoeiro</w:t>
      </w:r>
      <w:r>
        <w:rPr>
          <w:color w:val="000000"/>
          <w:sz w:val="22"/>
          <w:szCs w:val="22"/>
        </w:rPr>
        <w:t xml:space="preserve"> poderá negociar condições mais vantajosas com o primeiro colocado, pelo sistema eletrônico, podendo, a negociação ser acompanhada pelos demais licitantes.</w:t>
      </w:r>
    </w:p>
    <w:p w14:paraId="34EE53F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proposta da licitante classificada em primeiro lugar apresente preço superior ao máximo para a contratação, o(a) </w:t>
      </w:r>
      <w:r>
        <w:rPr>
          <w:sz w:val="22"/>
          <w:szCs w:val="22"/>
        </w:rPr>
        <w:t>Pregoeiro</w:t>
      </w:r>
      <w:r>
        <w:rPr>
          <w:color w:val="000000"/>
          <w:sz w:val="22"/>
          <w:szCs w:val="22"/>
        </w:rPr>
        <w:t xml:space="preserve"> deverá negociar condições mais vantajosas, pelo sistema eletrônico, podendo, a negociação ser acompanhada pelos demais licitantes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 61, §1º, da Lei Federal nº 14.133, de 2021</w:t>
      </w:r>
      <w:r>
        <w:rPr>
          <w:rStyle w:val="61"/>
          <w:sz w:val="22"/>
          <w:szCs w:val="22"/>
        </w:rPr>
        <w:fldChar w:fldCharType="end"/>
      </w:r>
      <w:r>
        <w:rPr>
          <w:color w:val="000000"/>
          <w:sz w:val="22"/>
          <w:szCs w:val="22"/>
        </w:rPr>
        <w:t>).</w:t>
      </w:r>
    </w:p>
    <w:p w14:paraId="09C7F11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art.61, §1º da Lei Federal nº 14.133, de 2021</w:t>
      </w:r>
      <w:r>
        <w:rPr>
          <w:rStyle w:val="61"/>
          <w:sz w:val="22"/>
          <w:szCs w:val="22"/>
        </w:rPr>
        <w:fldChar w:fldCharType="end"/>
      </w:r>
      <w:r>
        <w:rPr>
          <w:color w:val="000000"/>
          <w:sz w:val="22"/>
          <w:szCs w:val="22"/>
        </w:rPr>
        <w:t>).</w:t>
      </w:r>
    </w:p>
    <w:p w14:paraId="783E26F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valor final aceito pelo(a) </w:t>
      </w:r>
      <w:r>
        <w:rPr>
          <w:sz w:val="22"/>
          <w:szCs w:val="22"/>
        </w:rPr>
        <w:t>Pregoeiro</w:t>
      </w:r>
      <w:r>
        <w:rPr>
          <w:color w:val="000000"/>
          <w:sz w:val="22"/>
          <w:szCs w:val="22"/>
        </w:rPr>
        <w:t xml:space="preserve"> após a devida negociação, deverá ser anexada ao sistema eletrônico após solicitação do(a) </w:t>
      </w:r>
      <w:r>
        <w:rPr>
          <w:sz w:val="22"/>
          <w:szCs w:val="22"/>
        </w:rPr>
        <w:t>Pregoeiro</w:t>
      </w:r>
      <w:r>
        <w:rPr>
          <w:color w:val="000000"/>
          <w:sz w:val="22"/>
          <w:szCs w:val="22"/>
        </w:rPr>
        <w:t xml:space="preserve"> pela opção "Convocar Anexo", no prazo de 2 (duas) horas, contado de sua solicitação.</w:t>
      </w:r>
    </w:p>
    <w:p w14:paraId="63610FA1">
      <w:pPr>
        <w:pStyle w:val="2"/>
        <w:spacing w:before="360" w:after="0"/>
        <w:rPr>
          <w:sz w:val="22"/>
          <w:szCs w:val="22"/>
        </w:rPr>
      </w:pPr>
      <w:bookmarkStart w:id="20" w:name="_Toc149517444"/>
      <w:r>
        <w:rPr>
          <w:rStyle w:val="52"/>
          <w:sz w:val="22"/>
          <w:szCs w:val="22"/>
        </w:rPr>
        <w:t>DESCLASSIFICAÇÃO DE PROPOSTA</w:t>
      </w:r>
      <w:bookmarkEnd w:id="20"/>
    </w:p>
    <w:p w14:paraId="34250F1E">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Será desclassificada a proposta, que (</w:t>
      </w:r>
      <w:r>
        <w:rPr>
          <w:sz w:val="22"/>
          <w:szCs w:val="22"/>
        </w:rPr>
        <w:fldChar w:fldCharType="begin"/>
      </w:r>
      <w:r>
        <w:rPr>
          <w:rStyle w:val="61"/>
          <w:sz w:val="22"/>
          <w:szCs w:val="22"/>
        </w:rPr>
        <w:instrText xml:space="preserve"> HYPERLINK "https://www.planalto.gov.br/ccivil_03/_ato2019-2022/2021/lei/l14133.htm" \l "art59"</w:instrText>
      </w:r>
      <w:r>
        <w:rPr>
          <w:rStyle w:val="61"/>
          <w:sz w:val="22"/>
          <w:szCs w:val="22"/>
        </w:rPr>
        <w:fldChar w:fldCharType="separate"/>
      </w:r>
      <w:r>
        <w:rPr>
          <w:rStyle w:val="61"/>
          <w:sz w:val="22"/>
          <w:szCs w:val="22"/>
        </w:rPr>
        <w:t>art. 59, da Lei Federal nº 14.133, de 2021</w:t>
      </w:r>
      <w:r>
        <w:rPr>
          <w:rStyle w:val="61"/>
          <w:sz w:val="22"/>
          <w:szCs w:val="22"/>
        </w:rPr>
        <w:fldChar w:fldCharType="end"/>
      </w:r>
      <w:r>
        <w:rPr>
          <w:color w:val="000000"/>
          <w:sz w:val="22"/>
          <w:szCs w:val="22"/>
        </w:rPr>
        <w:t>):</w:t>
      </w:r>
    </w:p>
    <w:p w14:paraId="23F19E8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contiverem vícios insanáveis;</w:t>
      </w:r>
    </w:p>
    <w:p w14:paraId="41A62AD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 obedecerem às especificações técnicas pormenorizadas no edital;</w:t>
      </w:r>
    </w:p>
    <w:p w14:paraId="227D6C0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presentarem preços inexequíveis e não tiverem sua exequibilidade demonstrada, quando exigido pela Administração;</w:t>
      </w:r>
    </w:p>
    <w:p w14:paraId="15D4D6A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com preço superior ao estimado para a contratação;</w:t>
      </w:r>
    </w:p>
    <w:p w14:paraId="2662651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Apresentarem desconformidade com quaisquer outras exigências do edital, desde que insanável.</w:t>
      </w:r>
    </w:p>
    <w:p w14:paraId="2E9EDE6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2"/>
          <w:szCs w:val="22"/>
        </w:rPr>
        <w:fldChar w:fldCharType="begin"/>
      </w:r>
      <w:r>
        <w:rPr>
          <w:sz w:val="22"/>
          <w:szCs w:val="22"/>
        </w:rPr>
        <w:instrText xml:space="preserve"> HYPERLINK "https://pesquisa.apps.tcu.gov.br/documento/acordao-completo/*/NUMACORDAO%253A1217%2520ANOACORDAO%253A2023%2520/DTRELEVANCIA%2520desc%252C%2520NUMACORDAOINT%2520desc/0" \h </w:instrText>
      </w:r>
      <w:r>
        <w:rPr>
          <w:sz w:val="22"/>
          <w:szCs w:val="22"/>
        </w:rPr>
        <w:fldChar w:fldCharType="separate"/>
      </w:r>
      <w:r>
        <w:rPr>
          <w:rStyle w:val="61"/>
          <w:sz w:val="22"/>
          <w:szCs w:val="22"/>
        </w:rPr>
        <w:t>Acórdão 1217/2023 Plenário - TCU</w:t>
      </w:r>
      <w:r>
        <w:rPr>
          <w:rStyle w:val="61"/>
          <w:sz w:val="22"/>
          <w:szCs w:val="22"/>
        </w:rPr>
        <w:fldChar w:fldCharType="end"/>
      </w:r>
      <w:r>
        <w:rPr>
          <w:sz w:val="22"/>
          <w:szCs w:val="22"/>
        </w:rPr>
        <w:t>).</w:t>
      </w:r>
    </w:p>
    <w:p w14:paraId="2843695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Será desclassificada a proposta que não corrigir ou não justificar eventuais falhas apontadas pelo(a) </w:t>
      </w:r>
      <w:r>
        <w:rPr>
          <w:sz w:val="22"/>
          <w:szCs w:val="22"/>
        </w:rPr>
        <w:t>Pregoeiro</w:t>
      </w:r>
      <w:r>
        <w:rPr>
          <w:color w:val="000000"/>
          <w:sz w:val="22"/>
          <w:szCs w:val="22"/>
        </w:rPr>
        <w:t>.</w:t>
      </w:r>
    </w:p>
    <w:p w14:paraId="7E605468">
      <w:pPr>
        <w:pStyle w:val="2"/>
        <w:spacing w:before="360" w:after="0"/>
        <w:rPr>
          <w:sz w:val="22"/>
          <w:szCs w:val="22"/>
        </w:rPr>
      </w:pPr>
      <w:bookmarkStart w:id="21" w:name="_Toc149517445"/>
      <w:r>
        <w:rPr>
          <w:rStyle w:val="52"/>
          <w:sz w:val="22"/>
          <w:szCs w:val="22"/>
        </w:rPr>
        <w:t>INEXEQUIBILIDADE DE PROPOSTA</w:t>
      </w:r>
      <w:bookmarkEnd w:id="21"/>
    </w:p>
    <w:p w14:paraId="03B4B757">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É considerado indício de inexequibilidade das propostas valores inferiores a 50% (cinquenta por cento) do valor orçado pela Administração.</w:t>
      </w:r>
    </w:p>
    <w:p w14:paraId="518B02E1">
      <w:pPr>
        <w:pStyle w:val="49"/>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Se houver indícios de inexequibilidade da proposta de preço, ou em caso da necessidade de esclarecimentos complementares, poderá ser efetuada diligência, e adotados, entre outros e no que couber, os seguintes procedimentos:</w:t>
      </w:r>
    </w:p>
    <w:p w14:paraId="1AD36605">
      <w:pPr>
        <w:pStyle w:val="49"/>
        <w:numPr>
          <w:ilvl w:val="2"/>
          <w:numId w:val="7"/>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Questionamentos junto à proponente para a apresentação de justificativas e comprovações em relação aos custos com indícios de inexequibilidade;</w:t>
      </w:r>
    </w:p>
    <w:p w14:paraId="286574E7">
      <w:pPr>
        <w:pStyle w:val="49"/>
        <w:numPr>
          <w:ilvl w:val="2"/>
          <w:numId w:val="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acordos, convenções coletivas ou sentenças normativas;</w:t>
      </w:r>
    </w:p>
    <w:p w14:paraId="06740C99">
      <w:pPr>
        <w:pStyle w:val="49"/>
        <w:numPr>
          <w:ilvl w:val="2"/>
          <w:numId w:val="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informações no Ministério do Trabalho e Previdência e consultas às Secretarias de Fazenda Federal, Distrital, Estadual ou Municipal;</w:t>
      </w:r>
    </w:p>
    <w:p w14:paraId="5EBDB140">
      <w:pPr>
        <w:pStyle w:val="49"/>
        <w:numPr>
          <w:ilvl w:val="2"/>
          <w:numId w:val="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consultas a entidades ou conselhos de classe, sindicatos ou similares;</w:t>
      </w:r>
    </w:p>
    <w:p w14:paraId="38803262">
      <w:pPr>
        <w:pStyle w:val="49"/>
        <w:numPr>
          <w:ilvl w:val="2"/>
          <w:numId w:val="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pesquisas em órgãos públicos ou empresas privadas para verificação de contratos da mesma natureza;</w:t>
      </w:r>
    </w:p>
    <w:p w14:paraId="71734CD2">
      <w:pPr>
        <w:pStyle w:val="49"/>
        <w:numPr>
          <w:ilvl w:val="2"/>
          <w:numId w:val="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 de preço com fornecedores dos insumos utilizados, tais como atacadistas, lojas de suprimentos, supermercados e fabricantes;</w:t>
      </w:r>
    </w:p>
    <w:p w14:paraId="0EB71E39">
      <w:pPr>
        <w:pStyle w:val="49"/>
        <w:numPr>
          <w:ilvl w:val="2"/>
          <w:numId w:val="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notas fiscais dos produtos adquiridos pelo proponente;</w:t>
      </w:r>
    </w:p>
    <w:p w14:paraId="7523EF1A">
      <w:pPr>
        <w:pStyle w:val="49"/>
        <w:numPr>
          <w:ilvl w:val="2"/>
          <w:numId w:val="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indicadores salariais ou trabalhistas publicados por órgãos de pesquisa;</w:t>
      </w:r>
    </w:p>
    <w:p w14:paraId="4D2F105E">
      <w:pPr>
        <w:pStyle w:val="49"/>
        <w:numPr>
          <w:ilvl w:val="2"/>
          <w:numId w:val="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estudos setoriais;</w:t>
      </w:r>
    </w:p>
    <w:p w14:paraId="705D0165">
      <w:pPr>
        <w:pStyle w:val="49"/>
        <w:numPr>
          <w:ilvl w:val="2"/>
          <w:numId w:val="7"/>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análise de soluções técnicas e/ou condições excepcionalmente favoráveis que o proponente detenha para o fornecimento dos produtos; e</w:t>
      </w:r>
    </w:p>
    <w:p w14:paraId="22C003C6">
      <w:pPr>
        <w:pStyle w:val="49"/>
        <w:numPr>
          <w:ilvl w:val="2"/>
          <w:numId w:val="7"/>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demais verificações que porventura se fizerem necessárias.</w:t>
      </w:r>
    </w:p>
    <w:p w14:paraId="2C93AFBE">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A </w:t>
      </w:r>
      <w:r>
        <w:rPr>
          <w:color w:val="000000"/>
          <w:sz w:val="22"/>
          <w:szCs w:val="22"/>
        </w:rPr>
        <w:t>inexequibilidade</w:t>
      </w:r>
      <w:r>
        <w:rPr>
          <w:sz w:val="22"/>
          <w:szCs w:val="22"/>
        </w:rPr>
        <w:t xml:space="preserve"> só será considerada após diligência do pregoeiro, que comprove:</w:t>
      </w:r>
    </w:p>
    <w:p w14:paraId="1F20AAE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que o </w:t>
      </w:r>
      <w:r>
        <w:rPr>
          <w:color w:val="000000"/>
          <w:sz w:val="22"/>
          <w:szCs w:val="22"/>
        </w:rPr>
        <w:t>custo</w:t>
      </w:r>
      <w:r>
        <w:rPr>
          <w:sz w:val="22"/>
          <w:szCs w:val="22"/>
        </w:rPr>
        <w:t xml:space="preserve"> do licitante ultrapassa o valor da proposta; e</w:t>
      </w:r>
    </w:p>
    <w:p w14:paraId="4B5A7E2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inexistirem custos de oportunidade capazes de justificar o vulto da oferta.</w:t>
      </w:r>
    </w:p>
    <w:p w14:paraId="4B3D6C7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inexequibilidade da proposta será considerada quando a diligência comprovar que os custos da licitante ultrapassam o valor da proposta, bem como se inexistirem custos de oportunidade capazes de justificar o vulto da oferta.</w:t>
      </w:r>
    </w:p>
    <w:p w14:paraId="202367EE">
      <w:pPr>
        <w:pStyle w:val="2"/>
        <w:spacing w:before="360" w:after="0"/>
        <w:rPr>
          <w:sz w:val="22"/>
          <w:szCs w:val="22"/>
        </w:rPr>
      </w:pPr>
      <w:bookmarkStart w:id="22" w:name="_Toc149517446"/>
      <w:r>
        <w:rPr>
          <w:rStyle w:val="52"/>
          <w:sz w:val="22"/>
          <w:szCs w:val="22"/>
        </w:rPr>
        <w:t>PROPOSTA CLASSIFICADA EM PRIMEIRO LUGAR</w:t>
      </w:r>
      <w:bookmarkEnd w:id="22"/>
      <w:r>
        <w:rPr>
          <w:rStyle w:val="52"/>
          <w:sz w:val="22"/>
          <w:szCs w:val="22"/>
        </w:rPr>
        <w:t> </w:t>
      </w:r>
    </w:p>
    <w:p w14:paraId="2FAE8A7A">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hipótese de a proposta não ser aceitável ou se a licitante classificada em primeiro lugar não atender às exigências para a habilitação, o(a) </w:t>
      </w:r>
      <w:r>
        <w:rPr>
          <w:sz w:val="22"/>
          <w:szCs w:val="22"/>
        </w:rPr>
        <w:t>Pregoeiro</w:t>
      </w:r>
      <w:r>
        <w:rPr>
          <w:color w:val="000000"/>
          <w:sz w:val="22"/>
          <w:szCs w:val="22"/>
        </w:rPr>
        <w:t xml:space="preserve"> examinará a proposta subsequente até a apuração de uma proposta que atenda aos requisitos descritos neste Edital.</w:t>
      </w:r>
    </w:p>
    <w:p w14:paraId="111737B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Constatado o atendimento às exigências fixadas neste Edital, a licitante classificada em primeiro lugar será declarada vencedora da licitação.</w:t>
      </w:r>
    </w:p>
    <w:p w14:paraId="2313022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julgamento da habilitação e das propostas, o </w:t>
      </w:r>
      <w:r>
        <w:rPr>
          <w:sz w:val="22"/>
          <w:szCs w:val="22"/>
        </w:rPr>
        <w:t>Pregoeiro</w:t>
      </w:r>
      <w:r>
        <w:rPr>
          <w:color w:val="000000"/>
          <w:sz w:val="22"/>
          <w:szCs w:val="22"/>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2"/>
          <w:szCs w:val="22"/>
        </w:rPr>
        <w:fldChar w:fldCharType="begin"/>
      </w:r>
      <w:r>
        <w:rPr>
          <w:rStyle w:val="61"/>
          <w:sz w:val="22"/>
          <w:szCs w:val="22"/>
        </w:rPr>
        <w:instrText xml:space="preserve"> HYPERLINK "https://www.planalto.gov.br/ccivil_03/_ato2019-2022/2021/lei/l14133.htm" \l "art64"</w:instrText>
      </w:r>
      <w:r>
        <w:rPr>
          <w:rStyle w:val="61"/>
          <w:sz w:val="22"/>
          <w:szCs w:val="22"/>
        </w:rPr>
        <w:fldChar w:fldCharType="separate"/>
      </w:r>
      <w:r>
        <w:rPr>
          <w:rStyle w:val="61"/>
          <w:sz w:val="22"/>
          <w:szCs w:val="22"/>
        </w:rPr>
        <w:t>art. 64, §1º, da Lei Federal nº 14.133, de 2021</w:t>
      </w:r>
      <w:r>
        <w:rPr>
          <w:rStyle w:val="61"/>
          <w:sz w:val="22"/>
          <w:szCs w:val="22"/>
        </w:rPr>
        <w:fldChar w:fldCharType="end"/>
      </w:r>
      <w:r>
        <w:rPr>
          <w:color w:val="000000"/>
          <w:sz w:val="22"/>
          <w:szCs w:val="22"/>
        </w:rPr>
        <w:t>).</w:t>
      </w:r>
    </w:p>
    <w:p w14:paraId="6B7A959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066CC1A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último lance ofertado pela licitante e, se necessário, com os documentos complementares solicitados pelo(a) </w:t>
      </w:r>
      <w:r>
        <w:rPr>
          <w:sz w:val="22"/>
          <w:szCs w:val="22"/>
        </w:rPr>
        <w:t>Pregoeiro</w:t>
      </w:r>
      <w:r>
        <w:rPr>
          <w:color w:val="000000"/>
          <w:sz w:val="22"/>
          <w:szCs w:val="22"/>
        </w:rPr>
        <w:t>, deverá ser anexada ao sistema eletrônico após a solicitação pela opção “Convocar Anexo”, no prazo de 2 (duas) horas, contado de sua solicitação.</w:t>
      </w:r>
    </w:p>
    <w:p w14:paraId="51C77ED7">
      <w:pPr>
        <w:pStyle w:val="49"/>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O prazo definido no item anterior poderá ser prorrogado por igual período, quando:</w:t>
      </w:r>
    </w:p>
    <w:p w14:paraId="50D20A9C">
      <w:pPr>
        <w:pStyle w:val="49"/>
        <w:numPr>
          <w:ilvl w:val="2"/>
          <w:numId w:val="8"/>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 xml:space="preserve">solicitado pela licitante, mediante justificativa aceita pelo </w:t>
      </w:r>
      <w:r>
        <w:rPr>
          <w:sz w:val="22"/>
          <w:szCs w:val="22"/>
        </w:rPr>
        <w:t>Pregoeiro</w:t>
      </w:r>
      <w:r>
        <w:rPr>
          <w:color w:val="000000"/>
          <w:sz w:val="22"/>
          <w:szCs w:val="22"/>
        </w:rPr>
        <w:t>; ou</w:t>
      </w:r>
    </w:p>
    <w:p w14:paraId="0669DAD7">
      <w:pPr>
        <w:pStyle w:val="49"/>
        <w:numPr>
          <w:ilvl w:val="2"/>
          <w:numId w:val="8"/>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 xml:space="preserve">de ofício, a critério do </w:t>
      </w:r>
      <w:r>
        <w:rPr>
          <w:sz w:val="22"/>
          <w:szCs w:val="22"/>
        </w:rPr>
        <w:t>Pregoeiro</w:t>
      </w:r>
      <w:r>
        <w:rPr>
          <w:color w:val="000000"/>
          <w:sz w:val="22"/>
          <w:szCs w:val="22"/>
        </w:rPr>
        <w:t>, quando constatado que o prazo estabelecido não é suficiente para o envio dos documentos exigidos.</w:t>
      </w:r>
    </w:p>
    <w:p w14:paraId="494D73D3">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proposta de preços deverá ser elaborada com observância das seguintes exigências:</w:t>
      </w:r>
    </w:p>
    <w:p w14:paraId="747468CB">
      <w:pPr>
        <w:pStyle w:val="49"/>
        <w:numPr>
          <w:ilvl w:val="2"/>
          <w:numId w:val="9"/>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não conter cotações alternativas, emendas ou entrelinhas;</w:t>
      </w:r>
    </w:p>
    <w:p w14:paraId="1C89F49D">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fazer menção ao número deste Edital, conter a razão social do licitante, seu CNPJ, dados bancários e endereço completo;</w:t>
      </w:r>
    </w:p>
    <w:p w14:paraId="0B801F1E">
      <w:pPr>
        <w:pStyle w:val="49"/>
        <w:numPr>
          <w:ilvl w:val="3"/>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falta do CNPJ e (ou) endereço completo poderá ser preenchida pelos dados constantes no sistema eletrônico.</w:t>
      </w:r>
    </w:p>
    <w:p w14:paraId="2608D997">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cotação de preço unitário e total para o item/lote ofertado, em moeda corrente nacional (Real), incluídos todos os tributos, taxas, fretes e demais encargos pertinentes, conforme Modelo de Proposta previsto no Anexo VI deste Edital;</w:t>
      </w:r>
    </w:p>
    <w:p w14:paraId="3B1CFD1B">
      <w:pPr>
        <w:pStyle w:val="49"/>
        <w:numPr>
          <w:ilvl w:val="3"/>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os custos relacionados ao fornecimento do objeto deverão ser detalhados para efeito de eventual reequilíbrio dos preços contratados; </w:t>
      </w:r>
    </w:p>
    <w:p w14:paraId="2B5D6C7C">
      <w:pPr>
        <w:pStyle w:val="49"/>
        <w:numPr>
          <w:ilvl w:val="3"/>
          <w:numId w:val="9"/>
        </w:numPr>
        <w:tabs>
          <w:tab w:val="left" w:pos="1134"/>
        </w:tabs>
        <w:spacing w:before="0" w:beforeAutospacing="0" w:after="0" w:afterAutospacing="0"/>
        <w:jc w:val="both"/>
        <w:textAlignment w:val="baseline"/>
        <w:rPr>
          <w:sz w:val="22"/>
          <w:szCs w:val="22"/>
        </w:rPr>
      </w:pPr>
      <w:r>
        <w:rPr>
          <w:color w:val="000000"/>
          <w:sz w:val="22"/>
          <w:szCs w:val="22"/>
        </w:rPr>
        <w:t xml:space="preserve">o preço unitário/total máximo para o item/lote é o que consta do </w:t>
      </w:r>
      <w:r>
        <w:rPr>
          <w:rStyle w:val="52"/>
          <w:color w:val="000000"/>
          <w:sz w:val="22"/>
          <w:szCs w:val="22"/>
        </w:rPr>
        <w:t>Termo de Referência</w:t>
      </w:r>
      <w:r>
        <w:rPr>
          <w:color w:val="000000"/>
          <w:sz w:val="22"/>
          <w:szCs w:val="22"/>
        </w:rPr>
        <w:t xml:space="preserve"> - Anexo I deste Edital;</w:t>
      </w:r>
    </w:p>
    <w:p w14:paraId="1CF0F076">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marca e, se existir, informar o modelo;</w:t>
      </w:r>
    </w:p>
    <w:p w14:paraId="4F563580">
      <w:pPr>
        <w:pStyle w:val="49"/>
        <w:numPr>
          <w:ilvl w:val="3"/>
          <w:numId w:val="9"/>
        </w:numPr>
        <w:tabs>
          <w:tab w:val="left" w:pos="1134"/>
        </w:tabs>
        <w:spacing w:before="0" w:beforeAutospacing="0" w:after="0" w:afterAutospacing="0"/>
        <w:jc w:val="both"/>
        <w:textAlignment w:val="baseline"/>
        <w:rPr>
          <w:sz w:val="22"/>
          <w:szCs w:val="22"/>
        </w:rPr>
      </w:pPr>
      <w:r>
        <w:rPr>
          <w:color w:val="000000"/>
          <w:sz w:val="22"/>
          <w:szCs w:val="22"/>
        </w:rPr>
        <w:t xml:space="preserve">será aceita a oferta de produtos com marcas diferentes da marca de referência, desde que apresentem qualidade igual ou superior, observado o </w:t>
      </w:r>
      <w:r>
        <w:rPr>
          <w:sz w:val="22"/>
          <w:szCs w:val="22"/>
        </w:rPr>
        <w:fldChar w:fldCharType="begin"/>
      </w:r>
      <w:r>
        <w:rPr>
          <w:rStyle w:val="61"/>
          <w:sz w:val="22"/>
          <w:szCs w:val="22"/>
        </w:rPr>
        <w:instrText xml:space="preserve"> HYPERLINK "https://www.planalto.gov.br/ccivil_03/_ato2019-2022/2021/lei/l14133.htm" \l "art42"</w:instrText>
      </w:r>
      <w:r>
        <w:rPr>
          <w:rStyle w:val="61"/>
          <w:sz w:val="22"/>
          <w:szCs w:val="22"/>
        </w:rPr>
        <w:fldChar w:fldCharType="separate"/>
      </w:r>
      <w:r>
        <w:rPr>
          <w:rStyle w:val="61"/>
          <w:sz w:val="22"/>
          <w:szCs w:val="22"/>
        </w:rPr>
        <w:t>art. 42 da Lei Federal nº 14.133, de 2021</w:t>
      </w:r>
      <w:r>
        <w:rPr>
          <w:rStyle w:val="61"/>
          <w:sz w:val="22"/>
          <w:szCs w:val="22"/>
        </w:rPr>
        <w:fldChar w:fldCharType="end"/>
      </w:r>
      <w:r>
        <w:rPr>
          <w:color w:val="000000"/>
          <w:sz w:val="22"/>
          <w:szCs w:val="22"/>
        </w:rPr>
        <w:t>.</w:t>
      </w:r>
    </w:p>
    <w:p w14:paraId="65CA18AD">
      <w:pPr>
        <w:pStyle w:val="49"/>
        <w:numPr>
          <w:ilvl w:val="2"/>
          <w:numId w:val="9"/>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14:paraId="717DEBA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apresentação da proposta implicará, necessariamente, a anuência a todas as exigências contidas neste Edital e seus anexos, inclusive quanto ao prazo de entrega e condições de garantia, conforme </w:t>
      </w:r>
      <w:r>
        <w:rPr>
          <w:rStyle w:val="52"/>
          <w:color w:val="000000"/>
          <w:sz w:val="22"/>
          <w:szCs w:val="22"/>
        </w:rPr>
        <w:t>Termo de Referência</w:t>
      </w:r>
      <w:r>
        <w:rPr>
          <w:color w:val="000000"/>
          <w:sz w:val="22"/>
          <w:szCs w:val="22"/>
        </w:rPr>
        <w:t xml:space="preserve"> - Anexo I deste Edital, bem como quanto ao prazo de validade da proposta, não inferior a 60 (sessenta) dias, contados da data de sua entrega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14:paraId="080B37BC">
      <w:pPr>
        <w:pStyle w:val="2"/>
        <w:spacing w:before="360" w:after="0"/>
        <w:rPr>
          <w:sz w:val="22"/>
          <w:szCs w:val="22"/>
        </w:rPr>
      </w:pPr>
      <w:bookmarkStart w:id="23" w:name="_Toc149517447"/>
      <w:r>
        <w:rPr>
          <w:rStyle w:val="52"/>
          <w:sz w:val="22"/>
          <w:szCs w:val="22"/>
        </w:rPr>
        <w:t>ACEITABILIDADE DA PROPOSTA</w:t>
      </w:r>
      <w:bookmarkEnd w:id="23"/>
    </w:p>
    <w:p w14:paraId="0CF03661">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etapa de negociação, o </w:t>
      </w:r>
      <w:r>
        <w:rPr>
          <w:sz w:val="22"/>
          <w:szCs w:val="22"/>
        </w:rPr>
        <w:t>Pregoeiro</w:t>
      </w:r>
      <w:r>
        <w:rPr>
          <w:color w:val="000000"/>
          <w:sz w:val="22"/>
          <w:szCs w:val="22"/>
        </w:rPr>
        <w:t xml:space="preserve"> examinará a proposta classificada em primeiro lugar quanto à adequação ao objeto e à compatibilidade do preço em relação ao máximo estipulado para contratação neste Edital e em seus anexos.</w:t>
      </w:r>
    </w:p>
    <w:p w14:paraId="39ECA9F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licitante classificada em primeiro lugar deverá encaminhar a proposta de preços adequada ao novo valor por ela ofertado, em até 2 (duas) horas, bem como as especificações estipuladas no Edital e seus anexos.</w:t>
      </w:r>
    </w:p>
    <w:p w14:paraId="369AE90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interessado poderá requerer que se realizem diligências para aferir a exequibilidade e a legalidade das propostas, devendo apresentar as provas ou os indícios que fundamentam a suspeita.</w:t>
      </w:r>
    </w:p>
    <w:p w14:paraId="0F5F199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14:paraId="593CCEA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convocar o licitante para enviar documento digital complementar, por meio de funcionalidade disponível no sistema, no prazo mínimo de 2 (duas) horas, sob pena de não aceitação da proposta.</w:t>
      </w:r>
    </w:p>
    <w:p w14:paraId="13F8ADB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prazo estabelecido no item anterior poderá ser prorrogado pelo </w:t>
      </w:r>
      <w:r>
        <w:rPr>
          <w:sz w:val="22"/>
          <w:szCs w:val="22"/>
        </w:rPr>
        <w:t>Pregoeiro</w:t>
      </w:r>
      <w:r>
        <w:rPr>
          <w:color w:val="000000"/>
          <w:sz w:val="22"/>
          <w:szCs w:val="22"/>
        </w:rPr>
        <w:t xml:space="preserve"> por solicitação escrita e justificada do licitante, formulada antes de findo o prazo, e formalmente aceita pelo </w:t>
      </w:r>
      <w:r>
        <w:rPr>
          <w:sz w:val="22"/>
          <w:szCs w:val="22"/>
        </w:rPr>
        <w:t>Pregoeiro</w:t>
      </w:r>
      <w:r>
        <w:rPr>
          <w:color w:val="000000"/>
          <w:sz w:val="22"/>
          <w:szCs w:val="22"/>
        </w:rPr>
        <w:t>.</w:t>
      </w:r>
    </w:p>
    <w:p w14:paraId="52597DE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Para fins de análise da proposta quanto ao cumprimento das especificações do objeto, poderá ser colhida a manifestação escrita do setor requisitante do produto ou da área especializada no objeto.</w:t>
      </w:r>
    </w:p>
    <w:p w14:paraId="7FF8091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a proposta ou lance vencedor for desclassificado, o </w:t>
      </w:r>
      <w:r>
        <w:rPr>
          <w:sz w:val="22"/>
          <w:szCs w:val="22"/>
        </w:rPr>
        <w:t>Pregoeiro</w:t>
      </w:r>
      <w:r>
        <w:rPr>
          <w:color w:val="000000"/>
          <w:sz w:val="22"/>
          <w:szCs w:val="22"/>
        </w:rPr>
        <w:t xml:space="preserve"> examinará a proposta ou lance subsequente, e, assim sucessivamente, na ordem de classificação.</w:t>
      </w:r>
    </w:p>
    <w:p w14:paraId="4CF9992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15FEB2B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Também nas hipóteses em que o </w:t>
      </w:r>
      <w:r>
        <w:rPr>
          <w:sz w:val="22"/>
          <w:szCs w:val="22"/>
        </w:rPr>
        <w:t>Pregoeiro</w:t>
      </w:r>
      <w:r>
        <w:rPr>
          <w:color w:val="000000"/>
          <w:sz w:val="22"/>
          <w:szCs w:val="22"/>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14:paraId="3FEFADC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Sempre que a proposta não for aceita, e antes de o </w:t>
      </w:r>
      <w:r>
        <w:rPr>
          <w:sz w:val="22"/>
          <w:szCs w:val="22"/>
        </w:rPr>
        <w:t>Pregoeiro</w:t>
      </w:r>
      <w:r>
        <w:rPr>
          <w:color w:val="000000"/>
          <w:sz w:val="22"/>
          <w:szCs w:val="22"/>
        </w:rPr>
        <w:t xml:space="preserve"> passar à subsequente,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se for o caso.</w:t>
      </w:r>
    </w:p>
    <w:p w14:paraId="22937B5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xml:space="preserve">” a nova data e horário para a continuidade da mesma. </w:t>
      </w:r>
    </w:p>
    <w:p w14:paraId="74DB9AC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análise quanto à aceitação da proposta, o </w:t>
      </w:r>
      <w:r>
        <w:rPr>
          <w:sz w:val="22"/>
          <w:szCs w:val="22"/>
        </w:rPr>
        <w:t>Pregoeiro</w:t>
      </w:r>
      <w:r>
        <w:rPr>
          <w:color w:val="000000"/>
          <w:sz w:val="22"/>
          <w:szCs w:val="22"/>
        </w:rPr>
        <w:t xml:space="preserve"> verificará a habilitação do licitante classificado em primeiro lugar, observado o disposto neste Edital.</w:t>
      </w:r>
    </w:p>
    <w:p w14:paraId="785E7C85">
      <w:pPr>
        <w:pStyle w:val="2"/>
        <w:spacing w:before="360" w:after="0"/>
        <w:rPr>
          <w:sz w:val="22"/>
          <w:szCs w:val="22"/>
        </w:rPr>
      </w:pPr>
      <w:bookmarkStart w:id="24" w:name="_Toc149517448"/>
      <w:r>
        <w:rPr>
          <w:rStyle w:val="52"/>
          <w:sz w:val="22"/>
          <w:szCs w:val="22"/>
        </w:rPr>
        <w:t>HABILITAÇÃO DA LICITANTE CLASSIFICADA EM PRIMEIRO LUGAR</w:t>
      </w:r>
      <w:bookmarkEnd w:id="24"/>
    </w:p>
    <w:p w14:paraId="2FF76219">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licitante classificado em primeiro lugar na fase de propostas deverá encaminhar, nos termos deste Edital, a documentação relacionada nos itens a seguir, para fins de habilitação:</w:t>
      </w:r>
    </w:p>
    <w:p w14:paraId="4719C9C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Habilitação Jurídica;</w:t>
      </w:r>
    </w:p>
    <w:p w14:paraId="5247D39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Qualificação Técnica;</w:t>
      </w:r>
    </w:p>
    <w:p w14:paraId="37A0045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Regularidade Fiscal, Social e Trabalhista;</w:t>
      </w:r>
    </w:p>
    <w:p w14:paraId="441E649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Outros Documentos.</w:t>
      </w:r>
    </w:p>
    <w:p w14:paraId="01F594A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14:paraId="194B73A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de habilitação poderá ser:</w:t>
      </w:r>
    </w:p>
    <w:p w14:paraId="37D482EC">
      <w:pPr>
        <w:pStyle w:val="49"/>
        <w:numPr>
          <w:ilvl w:val="2"/>
          <w:numId w:val="1"/>
        </w:numPr>
        <w:tabs>
          <w:tab w:val="left" w:pos="1134"/>
        </w:tabs>
        <w:spacing w:before="0" w:beforeAutospacing="0" w:after="0" w:afterAutospacing="0"/>
        <w:jc w:val="both"/>
        <w:textAlignment w:val="baseline"/>
        <w:rPr>
          <w:sz w:val="22"/>
          <w:szCs w:val="22"/>
        </w:rPr>
      </w:pPr>
      <w:bookmarkStart w:id="25" w:name="art70i"/>
      <w:bookmarkEnd w:id="25"/>
      <w:r>
        <w:rPr>
          <w:color w:val="000000"/>
          <w:sz w:val="22"/>
          <w:szCs w:val="22"/>
        </w:rPr>
        <w:t>apresentada em original, por cópia ou por qualquer outro meio expressamente admitido pela Administração (</w:t>
      </w:r>
      <w:r>
        <w:rPr>
          <w:sz w:val="22"/>
          <w:szCs w:val="22"/>
        </w:rPr>
        <w:fldChar w:fldCharType="begin"/>
      </w:r>
      <w:r>
        <w:rPr>
          <w:rStyle w:val="61"/>
          <w:sz w:val="22"/>
          <w:szCs w:val="22"/>
        </w:rPr>
        <w:instrText xml:space="preserve"> HYPERLINK "https://www.planalto.gov.br/ccivil_03/_ato2019-2022/2021/lei/l14133.htm" \l "art70"</w:instrText>
      </w:r>
      <w:r>
        <w:rPr>
          <w:rStyle w:val="61"/>
          <w:sz w:val="22"/>
          <w:szCs w:val="22"/>
        </w:rPr>
        <w:fldChar w:fldCharType="separate"/>
      </w:r>
      <w:r>
        <w:rPr>
          <w:rStyle w:val="61"/>
          <w:sz w:val="22"/>
          <w:szCs w:val="22"/>
        </w:rPr>
        <w:t>art. 70, I, da Lei Federal nº 14.133, de 2021</w:t>
      </w:r>
      <w:r>
        <w:rPr>
          <w:rStyle w:val="61"/>
          <w:sz w:val="22"/>
          <w:szCs w:val="22"/>
        </w:rPr>
        <w:fldChar w:fldCharType="end"/>
      </w:r>
      <w:r>
        <w:rPr>
          <w:color w:val="000000"/>
          <w:sz w:val="22"/>
          <w:szCs w:val="22"/>
        </w:rPr>
        <w:t xml:space="preserve">); </w:t>
      </w:r>
    </w:p>
    <w:p w14:paraId="650A64C2">
      <w:pPr>
        <w:pStyle w:val="49"/>
        <w:numPr>
          <w:ilvl w:val="2"/>
          <w:numId w:val="1"/>
        </w:numPr>
        <w:tabs>
          <w:tab w:val="left" w:pos="1134"/>
        </w:tabs>
        <w:spacing w:before="0" w:beforeAutospacing="0" w:after="0" w:afterAutospacing="0"/>
        <w:jc w:val="both"/>
        <w:textAlignment w:val="baseline"/>
        <w:rPr>
          <w:sz w:val="22"/>
          <w:szCs w:val="22"/>
        </w:rPr>
      </w:pPr>
      <w:bookmarkStart w:id="26" w:name="art70ii"/>
      <w:bookmarkEnd w:id="26"/>
      <w:r>
        <w:rPr>
          <w:color w:val="000000"/>
          <w:sz w:val="22"/>
          <w:szCs w:val="22"/>
        </w:rPr>
        <w:t>substituída por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14:paraId="03C38A9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envio dos documentos de habilitação exigidos neste Edital, ocorrerá por meio de chave de acesso e senha.</w:t>
      </w:r>
    </w:p>
    <w:p w14:paraId="489C08C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licitantes poderão deixar de apresentar, total ou parcialmente, os documentos de habilitação que constem no sistema de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14:paraId="4413A79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que optarem por utilizar um dos cadastros indicados no item anterior deverão apresentar o certificado cadastral respectivo, sendo assegurado aos demais licitantes o direito de acesso aos dados constantes dos sistemas.</w:t>
      </w:r>
    </w:p>
    <w:p w14:paraId="77186DF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de responsabilidade do licitante conferir a exatidão dos seus dados cadastrais no registro cadastral unificado do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ou do SICAF e mantê-los atualizados junto aos órgãos responsáveis pela informação, devendo proceder, imediatamente, à correção ou à alteração dos registros tão logo identifique incorreção ou aqueles se tornem desatualizados.</w:t>
      </w:r>
    </w:p>
    <w:p w14:paraId="365ED72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Microempresas (ME) e Empresas de Pequeno Porte (EPP) deverão encaminhar a documentação de habilitação, ainda que haja alguma restrição de regularidade fiscal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 1º, da Lei Complementar Federal nº 123, de 2006</w:t>
      </w:r>
      <w:r>
        <w:rPr>
          <w:rStyle w:val="61"/>
          <w:sz w:val="22"/>
          <w:szCs w:val="22"/>
        </w:rPr>
        <w:fldChar w:fldCharType="end"/>
      </w:r>
      <w:r>
        <w:rPr>
          <w:color w:val="000000"/>
          <w:sz w:val="22"/>
          <w:szCs w:val="22"/>
        </w:rPr>
        <w:t>.</w:t>
      </w:r>
    </w:p>
    <w:p w14:paraId="56655F5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w:t>
      </w:r>
      <w:r>
        <w:rPr>
          <w:color w:val="000000"/>
          <w:sz w:val="22"/>
          <w:szCs w:val="22"/>
        </w:rPr>
        <w:t>hipótese</w:t>
      </w:r>
      <w:r>
        <w:rPr>
          <w:sz w:val="22"/>
          <w:szCs w:val="22"/>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2"/>
          <w:szCs w:val="22"/>
        </w:rPr>
        <w:fldChar w:fldCharType="begin"/>
      </w:r>
      <w:r>
        <w:rPr>
          <w:sz w:val="22"/>
          <w:szCs w:val="22"/>
        </w:rPr>
        <w:instrText xml:space="preserve"> HYPERLINK "https://www.planalto.gov.br/ccivil_03/_ato2015-2018/2016/decreto/d8660.htm" \h </w:instrText>
      </w:r>
      <w:r>
        <w:rPr>
          <w:sz w:val="22"/>
          <w:szCs w:val="22"/>
        </w:rPr>
        <w:fldChar w:fldCharType="separate"/>
      </w:r>
      <w:r>
        <w:rPr>
          <w:rStyle w:val="61"/>
          <w:sz w:val="22"/>
          <w:szCs w:val="22"/>
        </w:rPr>
        <w:t>Decreto Federal nº 8.660, de 2016</w:t>
      </w:r>
      <w:r>
        <w:rPr>
          <w:rStyle w:val="61"/>
          <w:sz w:val="22"/>
          <w:szCs w:val="22"/>
        </w:rPr>
        <w:fldChar w:fldCharType="end"/>
      </w:r>
      <w:r>
        <w:rPr>
          <w:sz w:val="22"/>
          <w:szCs w:val="22"/>
        </w:rPr>
        <w:t>, ou de outro que venha a substituí-lo, ou consularizados pelos respectivos consulados ou embaixadas.</w:t>
      </w:r>
    </w:p>
    <w:p w14:paraId="4054841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Até a abertura da sessão pública, os licitantes poderão retirar ou substituir os documentos de habilitação anteriormente inseridos no sistema.</w:t>
      </w:r>
    </w:p>
    <w:p w14:paraId="5CA106A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Os documentos que compõem a proposta e a habilitação do licitante melhor classificado somente serão disponibilizados para avaliação do </w:t>
      </w:r>
      <w:r>
        <w:rPr>
          <w:sz w:val="22"/>
          <w:szCs w:val="22"/>
        </w:rPr>
        <w:t>Pregoeiro</w:t>
      </w:r>
      <w:r>
        <w:rPr>
          <w:color w:val="000000"/>
          <w:sz w:val="22"/>
          <w:szCs w:val="22"/>
        </w:rPr>
        <w:t xml:space="preserve"> e para acesso público após o encerramento da fase de lances.</w:t>
      </w:r>
    </w:p>
    <w:p w14:paraId="3DFE128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condição prévia ao exame da documentação de habilitação do licitante detentor da proposta classificada em primeiro lugar, o </w:t>
      </w:r>
      <w:r>
        <w:rPr>
          <w:sz w:val="22"/>
          <w:szCs w:val="22"/>
        </w:rPr>
        <w:t>Pregoeiro</w:t>
      </w:r>
      <w:r>
        <w:rPr>
          <w:color w:val="000000"/>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25301EB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Punidas – CNEP, mantido pela Controladoria-Geral da União (CGU);</w:t>
      </w:r>
    </w:p>
    <w:p w14:paraId="0FEEB1F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Inidôneas e Suspensas – CEIS, mantido pela Controladoria-Geral da União (CGU);</w:t>
      </w:r>
    </w:p>
    <w:p w14:paraId="45DBF8A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Condenações Cíveis por Atos de Improbidade Administrativa, mantido pelo Conselho Nacional de Justiça (CNJ);</w:t>
      </w:r>
    </w:p>
    <w:p w14:paraId="29CDA47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Sistema de Inabilitados e Inidôneos, mantida pelo Tribunal de Contas da União;</w:t>
      </w:r>
    </w:p>
    <w:p w14:paraId="3D31ACB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consulta aos cadastros será realizada em nome da empresa licitante e também de seu sócio majoritário, por força do </w:t>
      </w:r>
      <w:r>
        <w:rPr>
          <w:sz w:val="22"/>
          <w:szCs w:val="22"/>
        </w:rPr>
        <w:fldChar w:fldCharType="begin"/>
      </w:r>
      <w:r>
        <w:rPr>
          <w:rStyle w:val="61"/>
          <w:sz w:val="22"/>
          <w:szCs w:val="22"/>
        </w:rPr>
        <w:instrText xml:space="preserve"> HYPERLINK "https://www.planalto.gov.br/ccivil_03/leis/l8429.htm" \l "art12"</w:instrText>
      </w:r>
      <w:r>
        <w:rPr>
          <w:rStyle w:val="61"/>
          <w:sz w:val="22"/>
          <w:szCs w:val="22"/>
        </w:rPr>
        <w:fldChar w:fldCharType="separate"/>
      </w:r>
      <w:r>
        <w:rPr>
          <w:rStyle w:val="61"/>
          <w:sz w:val="22"/>
          <w:szCs w:val="22"/>
        </w:rPr>
        <w:t>art. 12 da Lei Federal nº 8.429, de 1992</w:t>
      </w:r>
      <w:r>
        <w:rPr>
          <w:rStyle w:val="61"/>
          <w:sz w:val="22"/>
          <w:szCs w:val="22"/>
        </w:rPr>
        <w:fldChar w:fldCharType="end"/>
      </w:r>
      <w:r>
        <w:rPr>
          <w:color w:val="000000"/>
          <w:sz w:val="22"/>
          <w:szCs w:val="22"/>
        </w:rPr>
        <w:t>, que prevê, dentre as sanções impostas ao responsável pela prática de ato de improbidade administrativa, a proibição de contratar com o Poder Público, inclusive por intermédio de pessoa jurídica da qual seja sócio majoritário.</w:t>
      </w:r>
    </w:p>
    <w:p w14:paraId="691F293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Caso conste na Consulta de Situação do Fornecedor a existência de Ocorrências Impeditivas Indiretas, o </w:t>
      </w:r>
      <w:r>
        <w:rPr>
          <w:sz w:val="22"/>
          <w:szCs w:val="22"/>
        </w:rPr>
        <w:t>Pregoeiro</w:t>
      </w:r>
      <w:r>
        <w:rPr>
          <w:color w:val="000000"/>
          <w:sz w:val="22"/>
          <w:szCs w:val="22"/>
        </w:rPr>
        <w:t xml:space="preserve"> diligenciará para verificar se houve fraude por parte das empresas apontadas no Relatório de Ocorrências Impeditivas Indiretas, seguindo os seguintes procedimentos:</w:t>
      </w:r>
    </w:p>
    <w:p w14:paraId="29B477C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tentativa de burla será verificada por meio dos vínculos societários, linhas de fornecimento similares, dentre outros;</w:t>
      </w:r>
    </w:p>
    <w:p w14:paraId="186517E0">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 licitante será convocado para manifestação previamente à sua inabilitação;</w:t>
      </w:r>
    </w:p>
    <w:p w14:paraId="7D1860E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Constatada a existência de sanção, o </w:t>
      </w:r>
      <w:r>
        <w:rPr>
          <w:sz w:val="22"/>
          <w:szCs w:val="22"/>
        </w:rPr>
        <w:t>Pregoeiro</w:t>
      </w:r>
      <w:r>
        <w:rPr>
          <w:color w:val="000000"/>
          <w:sz w:val="22"/>
          <w:szCs w:val="22"/>
        </w:rPr>
        <w:t xml:space="preserve"> reputará o licitante inabilitado, por falta de condição de participação;</w:t>
      </w:r>
    </w:p>
    <w:p w14:paraId="1E0750A6">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No caso de inabilitação,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para aceitação da proposta subsequente.</w:t>
      </w:r>
    </w:p>
    <w:p w14:paraId="237CAE5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Após a entrega dos documentos para habilitação, não será permitida a substituição ou a apresentação de novos documentos, salvo em sede de diligência, para (</w:t>
      </w:r>
      <w:r>
        <w:rPr>
          <w:sz w:val="22"/>
          <w:szCs w:val="22"/>
        </w:rPr>
        <w:fldChar w:fldCharType="begin"/>
      </w:r>
      <w:r>
        <w:rPr>
          <w:rStyle w:val="61"/>
          <w:sz w:val="22"/>
          <w:szCs w:val="22"/>
        </w:rPr>
        <w:instrText xml:space="preserve"> HYPERLINK "http://www.planalto.gov.br/ccivil_03/_ato2019-2022/2021/lei/L14133.htm" \l "art64"</w:instrText>
      </w:r>
      <w:r>
        <w:rPr>
          <w:rStyle w:val="61"/>
          <w:sz w:val="22"/>
          <w:szCs w:val="22"/>
        </w:rPr>
        <w:fldChar w:fldCharType="separate"/>
      </w:r>
      <w:r>
        <w:rPr>
          <w:rStyle w:val="61"/>
          <w:sz w:val="22"/>
          <w:szCs w:val="22"/>
        </w:rPr>
        <w:t>art. 64 da Lei Federal nº 14.133, de 2021</w:t>
      </w:r>
      <w:r>
        <w:rPr>
          <w:rStyle w:val="61"/>
          <w:sz w:val="22"/>
          <w:szCs w:val="22"/>
        </w:rPr>
        <w:fldChar w:fldCharType="end"/>
      </w:r>
      <w:r>
        <w:rPr>
          <w:sz w:val="22"/>
          <w:szCs w:val="22"/>
        </w:rPr>
        <w:t>):</w:t>
      </w:r>
    </w:p>
    <w:p w14:paraId="710F26A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complementação de informações acerca dos documentos já apresentados pelos licitantes e desde que necessária para apurar fatos existentes à época da abertura do certame;</w:t>
      </w:r>
    </w:p>
    <w:p w14:paraId="7FDEAD7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atualização de documentos cuja validade tenha expirado após a data de recebimento das propostas.</w:t>
      </w:r>
    </w:p>
    <w:p w14:paraId="2952076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5D6CC8E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Somente poderá haver a prorrogação no prazo do item anterior, caso o licitante solicite sua prorrogação dentro do tempo limite concedido.</w:t>
      </w:r>
    </w:p>
    <w:p w14:paraId="361BB31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Somente haverá a necessidade de comprovação do preenchimento de requisitos mediante apresentação dos documentos originais não-digitais quando houver dúvida em relação à integridade do documento digital </w:t>
      </w:r>
      <w:r>
        <w:rPr>
          <w:sz w:val="22"/>
          <w:szCs w:val="22"/>
        </w:rPr>
        <w:t>ou quando a lei expressamente o exigir</w:t>
      </w:r>
      <w:r>
        <w:rPr>
          <w:color w:val="000000"/>
          <w:sz w:val="22"/>
          <w:szCs w:val="22"/>
        </w:rPr>
        <w:t>.</w:t>
      </w:r>
    </w:p>
    <w:p w14:paraId="2A85D99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documentos de habilitação com indicação de CNPJ/CPF diferentes, salvo aqueles legalmente permitidos.</w:t>
      </w:r>
    </w:p>
    <w:p w14:paraId="3CCC91C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6650AB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1075077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bookmarkStart w:id="27" w:name="art64§2"/>
      <w:bookmarkEnd w:id="27"/>
      <w:bookmarkStart w:id="28" w:name="art64§1"/>
      <w:bookmarkEnd w:id="28"/>
      <w:r>
        <w:rPr>
          <w:color w:val="000000"/>
          <w:sz w:val="22"/>
          <w:szCs w:val="22"/>
        </w:rPr>
        <w:t>Para os documentos que têm prazo de validade e este não estiver expresso no documento, será considerada a validade de 90 (noventa) dias, a partir de sua emissão, se outro prazo não estiver fixado em lei.</w:t>
      </w:r>
    </w:p>
    <w:p w14:paraId="584911E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de analisar minuciosamente os documentos exigidos,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a nova data e horário para a continuidade.</w:t>
      </w:r>
    </w:p>
    <w:p w14:paraId="4BE0BE4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 xml:space="preserve">Atendidas </w:t>
      </w:r>
      <w:r>
        <w:rPr>
          <w:color w:val="000000"/>
          <w:sz w:val="22"/>
          <w:szCs w:val="22"/>
        </w:rPr>
        <w:t>todas</w:t>
      </w:r>
      <w:r>
        <w:rPr>
          <w:color w:val="000000" w:themeColor="text1"/>
          <w:sz w:val="22"/>
          <w:szCs w:val="22"/>
          <w14:textFill>
            <w14:solidFill>
              <w14:schemeClr w14:val="tx1"/>
            </w14:solidFill>
          </w14:textFill>
        </w:rPr>
        <w:t xml:space="preserve"> as disposições deste Edital, a licitante classificada em primeiro lugar será declarada vencedora da licitação.</w:t>
      </w:r>
    </w:p>
    <w:p w14:paraId="2323CD7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Serão disponibilizados para acesso público os documentos que compõem a proposta dos licitantes convocados para apresentação de propostas, após a fase de envio de lances.</w:t>
      </w:r>
    </w:p>
    <w:p w14:paraId="57755427">
      <w:pPr>
        <w:pStyle w:val="2"/>
        <w:spacing w:before="360" w:after="0"/>
        <w:rPr>
          <w:sz w:val="22"/>
          <w:szCs w:val="22"/>
        </w:rPr>
      </w:pPr>
      <w:bookmarkStart w:id="29" w:name="_Toc149517449"/>
      <w:r>
        <w:rPr>
          <w:rStyle w:val="52"/>
          <w:sz w:val="22"/>
          <w:szCs w:val="22"/>
        </w:rPr>
        <w:t>HABILITAÇÃO JURÍDICA</w:t>
      </w:r>
      <w:bookmarkEnd w:id="29"/>
    </w:p>
    <w:p w14:paraId="05DF843D">
      <w:pPr>
        <w:pStyle w:val="49"/>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color w:val="000000"/>
          <w:sz w:val="22"/>
          <w:szCs w:val="22"/>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2"/>
          <w:szCs w:val="22"/>
        </w:rPr>
        <w:fldChar w:fldCharType="begin"/>
      </w:r>
      <w:r>
        <w:rPr>
          <w:rStyle w:val="61"/>
          <w:sz w:val="22"/>
          <w:szCs w:val="22"/>
        </w:rPr>
        <w:instrText xml:space="preserve"> HYPERLINK "https://www.planalto.gov.br/ccivil_03/_ato2019-2022/2021/lei/l14133.htm" \l "art66"</w:instrText>
      </w:r>
      <w:r>
        <w:rPr>
          <w:rStyle w:val="61"/>
          <w:sz w:val="22"/>
          <w:szCs w:val="22"/>
        </w:rPr>
        <w:fldChar w:fldCharType="separate"/>
      </w:r>
      <w:r>
        <w:rPr>
          <w:rStyle w:val="61"/>
          <w:sz w:val="22"/>
          <w:szCs w:val="22"/>
        </w:rPr>
        <w:t>art. 66 da Lei Federal nº 14.133, de 2021</w:t>
      </w:r>
      <w:r>
        <w:rPr>
          <w:rStyle w:val="61"/>
          <w:sz w:val="22"/>
          <w:szCs w:val="22"/>
        </w:rPr>
        <w:fldChar w:fldCharType="end"/>
      </w:r>
      <w:r>
        <w:rPr>
          <w:color w:val="000000"/>
          <w:sz w:val="22"/>
          <w:szCs w:val="22"/>
        </w:rPr>
        <w:t>), nos seguintes termos:</w:t>
      </w:r>
    </w:p>
    <w:p w14:paraId="407192BB">
      <w:pPr>
        <w:pStyle w:val="49"/>
        <w:numPr>
          <w:ilvl w:val="2"/>
          <w:numId w:val="10"/>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No caso de empresário individual, inscrição no Registro Público de Empresas Mercantis, a cargo da Junta Comercial da respectiva sede;</w:t>
      </w:r>
    </w:p>
    <w:p w14:paraId="43DC185F">
      <w:pPr>
        <w:pStyle w:val="49"/>
        <w:numPr>
          <w:ilvl w:val="2"/>
          <w:numId w:val="10"/>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BCB2B8">
      <w:pPr>
        <w:pStyle w:val="49"/>
        <w:numPr>
          <w:ilvl w:val="2"/>
          <w:numId w:val="10"/>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sociedades por ações, registro na Comissão de Valores Mobiliários - CVM, acompanhado de documentos que comprovem a eleição de seus administradores;</w:t>
      </w:r>
    </w:p>
    <w:p w14:paraId="549E8B7D">
      <w:pPr>
        <w:pStyle w:val="49"/>
        <w:numPr>
          <w:ilvl w:val="2"/>
          <w:numId w:val="10"/>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ser o participante sucursal, filial ou agência, inscrição no Registro Público de Empresas Mercantis onde opera, com averbação no Registro onde tem sede a matriz;</w:t>
      </w:r>
    </w:p>
    <w:p w14:paraId="22A20C87">
      <w:pPr>
        <w:pStyle w:val="49"/>
        <w:numPr>
          <w:ilvl w:val="2"/>
          <w:numId w:val="10"/>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simples, inscrição do ato constitutivo no Registro Civil das Pessoas Jurídicas do local de sua sede, acompanhada de prova da indicação dos seus administradores;</w:t>
      </w:r>
    </w:p>
    <w:p w14:paraId="6AC7EA6F">
      <w:pPr>
        <w:pStyle w:val="49"/>
        <w:numPr>
          <w:ilvl w:val="2"/>
          <w:numId w:val="10"/>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No caso de sociedade empresária estrangeira em funcionamento no País, decreto de autorização.</w:t>
      </w:r>
    </w:p>
    <w:p w14:paraId="250332A3">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documentos acima deverão estar acompanhados de todas as alterações ou da</w:t>
      </w:r>
      <w:r>
        <w:rPr>
          <w:color w:val="000000"/>
          <w:sz w:val="22"/>
          <w:szCs w:val="22"/>
        </w:rPr>
        <w:br w:type="textWrapping"/>
      </w:r>
      <w:r>
        <w:rPr>
          <w:color w:val="000000"/>
          <w:sz w:val="22"/>
          <w:szCs w:val="22"/>
        </w:rPr>
        <w:t>consolidação respectiva.</w:t>
      </w:r>
    </w:p>
    <w:p w14:paraId="31B325D0">
      <w:pPr>
        <w:pStyle w:val="2"/>
        <w:spacing w:before="360" w:after="0"/>
        <w:rPr>
          <w:sz w:val="22"/>
          <w:szCs w:val="22"/>
        </w:rPr>
      </w:pPr>
      <w:bookmarkStart w:id="30" w:name="_Toc149517450"/>
      <w:r>
        <w:rPr>
          <w:rStyle w:val="52"/>
          <w:sz w:val="22"/>
          <w:szCs w:val="22"/>
        </w:rPr>
        <w:t>QUALIFICAÇÃO TÉCNICO-PROFISSIONAL E TÉCNICO-OPERACIONAL</w:t>
      </w:r>
      <w:bookmarkEnd w:id="30"/>
    </w:p>
    <w:p w14:paraId="10310FCA">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relativa à qualificação técnica consistirá em apresentar as seguintes comprovações:</w:t>
      </w:r>
    </w:p>
    <w:p w14:paraId="47B4B939">
      <w:pPr>
        <w:pStyle w:val="180"/>
        <w:numPr>
          <w:ilvl w:val="0"/>
          <w:numId w:val="0"/>
        </w:numPr>
        <w:ind w:left="360" w:firstLine="0"/>
        <w:jc w:val="both"/>
        <w:rPr>
          <w:rFonts w:ascii="Times New Roman" w:hAnsi="Times New Roman"/>
          <w:sz w:val="22"/>
          <w:szCs w:val="22"/>
        </w:rPr>
      </w:pPr>
      <w:r>
        <w:rPr>
          <w:rFonts w:ascii="Times New Roman" w:hAnsi="Times New Roman" w:cs="Times New Roman"/>
          <w:b/>
          <w:bCs/>
          <w:sz w:val="22"/>
          <w:szCs w:val="22"/>
        </w:rPr>
        <w:t xml:space="preserve">a) </w:t>
      </w:r>
      <w:r>
        <w:rPr>
          <w:rFonts w:ascii="Times New Roman" w:hAnsi="Times New Roman" w:cs="Times New Roman"/>
          <w:sz w:val="22"/>
          <w:szCs w:val="22"/>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14:paraId="459E8065">
      <w:pPr>
        <w:pStyle w:val="180"/>
        <w:numPr>
          <w:ilvl w:val="0"/>
          <w:numId w:val="0"/>
        </w:numPr>
        <w:ind w:left="360" w:firstLine="0"/>
        <w:jc w:val="both"/>
        <w:rPr>
          <w:rFonts w:ascii="Times New Roman" w:hAnsi="Times New Roman" w:eastAsia="Calibri" w:cs="Times New Roman"/>
          <w:b/>
          <w:bCs/>
          <w:color w:val="000000"/>
          <w:sz w:val="22"/>
          <w:szCs w:val="22"/>
        </w:rPr>
      </w:pPr>
    </w:p>
    <w:p w14:paraId="3D621EF6">
      <w:pPr>
        <w:pStyle w:val="180"/>
        <w:widowControl/>
        <w:numPr>
          <w:ilvl w:val="0"/>
          <w:numId w:val="0"/>
        </w:numPr>
        <w:suppressAutoHyphens/>
        <w:bidi w:val="0"/>
        <w:spacing w:before="0" w:after="0" w:line="100" w:lineRule="atLeast"/>
        <w:ind w:left="1134" w:right="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 xml:space="preserve">a.1) </w:t>
      </w:r>
      <w:r>
        <w:rPr>
          <w:rFonts w:ascii="Times New Roman" w:hAnsi="Times New Roman" w:cs="Times New Roman" w:eastAsiaTheme="minorHAnsi"/>
          <w:color w:val="000000"/>
          <w:sz w:val="22"/>
          <w:szCs w:val="22"/>
          <w:shd w:val="clear" w:fill="auto"/>
        </w:rPr>
        <w:t>A Câmara de Primavera do Leste para comprovar a veracidade dos atestados, poderá requisitar cópias dos respectivos contratos e aditivos e/ou outros documentos comprobatórios do conteúdo declarado.</w:t>
      </w:r>
    </w:p>
    <w:p w14:paraId="616F0C37">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color w:val="000000"/>
          <w:sz w:val="22"/>
          <w:szCs w:val="22"/>
          <w:shd w:val="clear" w:fill="auto"/>
        </w:rPr>
        <w:t xml:space="preserve"> </w:t>
      </w:r>
    </w:p>
    <w:p w14:paraId="47EF8F37">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b)</w:t>
      </w:r>
      <w:r>
        <w:rPr>
          <w:rFonts w:ascii="Times New Roman" w:hAnsi="Times New Roman" w:cs="Times New Roman" w:eastAsiaTheme="minorHAnsi"/>
          <w:color w:val="000000"/>
          <w:sz w:val="22"/>
          <w:szCs w:val="22"/>
          <w:shd w:val="clear" w:fill="auto"/>
        </w:rPr>
        <w:t xml:space="preserve"> </w:t>
      </w:r>
      <w:r>
        <w:rPr>
          <w:rFonts w:ascii="Times New Roman" w:hAnsi="Times New Roman" w:cs="Times New Roman"/>
          <w:color w:val="000000"/>
          <w:sz w:val="22"/>
          <w:szCs w:val="22"/>
          <w:shd w:val="clear" w:fill="auto"/>
          <w:lang w:val="pt-BR"/>
        </w:rPr>
        <w:t>D</w:t>
      </w:r>
      <w:r>
        <w:rPr>
          <w:rFonts w:ascii="Times New Roman" w:hAnsi="Times New Roman" w:cs="Times New Roman" w:eastAsiaTheme="minorHAnsi"/>
          <w:color w:val="000000"/>
          <w:sz w:val="22"/>
          <w:szCs w:val="22"/>
          <w:shd w:val="clear" w:fill="auto"/>
        </w:rPr>
        <w:t>emais itens relativ</w:t>
      </w:r>
      <w:r>
        <w:rPr>
          <w:rFonts w:ascii="Times New Roman" w:hAnsi="Times New Roman" w:cs="Times New Roman"/>
          <w:color w:val="000000"/>
          <w:sz w:val="22"/>
          <w:szCs w:val="22"/>
          <w:shd w:val="clear" w:fill="auto"/>
          <w:lang w:val="pt-BR"/>
        </w:rPr>
        <w:t>os</w:t>
      </w:r>
      <w:r>
        <w:rPr>
          <w:rFonts w:ascii="Times New Roman" w:hAnsi="Times New Roman" w:cs="Times New Roman" w:eastAsiaTheme="minorHAnsi"/>
          <w:color w:val="000000"/>
          <w:sz w:val="22"/>
          <w:szCs w:val="22"/>
          <w:shd w:val="clear" w:fill="auto"/>
        </w:rPr>
        <w:t xml:space="preserve"> à qualificação técnica</w:t>
      </w:r>
      <w:r>
        <w:rPr>
          <w:rFonts w:ascii="Times New Roman" w:hAnsi="Times New Roman" w:cs="Times New Roman"/>
          <w:color w:val="000000"/>
          <w:sz w:val="22"/>
          <w:szCs w:val="22"/>
          <w:shd w:val="clear" w:fill="auto"/>
          <w:lang w:val="pt-BR"/>
        </w:rPr>
        <w:t xml:space="preserve"> </w:t>
      </w:r>
      <w:r>
        <w:rPr>
          <w:rFonts w:ascii="Times New Roman" w:hAnsi="Times New Roman" w:cs="Times New Roman" w:eastAsiaTheme="minorHAnsi"/>
          <w:color w:val="000000"/>
          <w:sz w:val="22"/>
          <w:szCs w:val="22"/>
          <w:shd w:val="clear" w:fill="auto"/>
        </w:rPr>
        <w:t xml:space="preserve">solicitados no Anexo I  - Termo de Referência. </w:t>
      </w:r>
    </w:p>
    <w:p w14:paraId="324BC04E">
      <w:pPr>
        <w:pStyle w:val="2"/>
        <w:spacing w:before="360" w:after="0"/>
        <w:rPr>
          <w:sz w:val="22"/>
          <w:szCs w:val="22"/>
        </w:rPr>
      </w:pPr>
      <w:bookmarkStart w:id="31" w:name="_Toc149517451"/>
      <w:r>
        <w:rPr>
          <w:rStyle w:val="52"/>
          <w:sz w:val="22"/>
          <w:szCs w:val="22"/>
        </w:rPr>
        <w:t>REGULARIDADE FISCAL, SOCIAL E TRABALHISTA</w:t>
      </w:r>
      <w:bookmarkEnd w:id="31"/>
    </w:p>
    <w:p w14:paraId="22E33807">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As habilitações fiscal, social e trabalhista serão aferidas mediante a verificação dos seguintes requisitos:</w:t>
      </w:r>
    </w:p>
    <w:p w14:paraId="6FF72CD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inscrição no Cadastro Nacional da Pessoa Jurídica (CNPJ);</w:t>
      </w:r>
    </w:p>
    <w:p w14:paraId="3CC0C4B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Fazenda federal, estadual e municipal do domicílio ou sede do licitante, ou outra equivalente, na forma da lei;</w:t>
      </w:r>
    </w:p>
    <w:p w14:paraId="5A4EF7E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relativa à Seguridade Social e ao FGTS, que demonstre cumprimento dos encargos sociais instituídos por lei;</w:t>
      </w:r>
    </w:p>
    <w:p w14:paraId="41F5B38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Justiça do Trabalho;</w:t>
      </w:r>
    </w:p>
    <w:p w14:paraId="0C083E80">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cumprimento do disposto no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7º, inc. XXXIII, da Constituição Federal de 1988</w:t>
      </w:r>
      <w:r>
        <w:rPr>
          <w:rStyle w:val="61"/>
          <w:sz w:val="22"/>
          <w:szCs w:val="22"/>
        </w:rPr>
        <w:fldChar w:fldCharType="end"/>
      </w:r>
      <w:r>
        <w:rPr>
          <w:color w:val="000000"/>
          <w:sz w:val="22"/>
          <w:szCs w:val="22"/>
        </w:rPr>
        <w:t>.</w:t>
      </w:r>
    </w:p>
    <w:p w14:paraId="6D156C2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Serão aceitas certidões negativas e certidões positivas com efeito de negativas.</w:t>
      </w:r>
    </w:p>
    <w:p w14:paraId="42B04F7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14:paraId="2237662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14:paraId="33B5F6DF">
      <w:pPr>
        <w:pStyle w:val="2"/>
        <w:spacing w:before="360" w:after="0"/>
        <w:rPr>
          <w:sz w:val="22"/>
          <w:szCs w:val="22"/>
        </w:rPr>
      </w:pPr>
      <w:bookmarkStart w:id="32" w:name="_Toc149517452"/>
      <w:r>
        <w:rPr>
          <w:rStyle w:val="52"/>
          <w:sz w:val="22"/>
          <w:szCs w:val="22"/>
        </w:rPr>
        <w:t>HABILITAÇÃO ECONÔMICO-FINANCEIRA</w:t>
      </w:r>
      <w:bookmarkEnd w:id="32"/>
    </w:p>
    <w:p w14:paraId="2AF1382C">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atenção à parte final do </w:t>
      </w:r>
      <w:r>
        <w:rPr>
          <w:sz w:val="22"/>
          <w:szCs w:val="22"/>
        </w:rPr>
        <w:fldChar w:fldCharType="begin"/>
      </w:r>
      <w:r>
        <w:rPr>
          <w:rStyle w:val="61"/>
          <w:sz w:val="22"/>
          <w:szCs w:val="22"/>
        </w:rPr>
        <w:instrText xml:space="preserve"> HYPERLINK "http://www.planalto.gov.br/ccivil_03/constituicao/constituicao.htm" \l "art37"</w:instrText>
      </w:r>
      <w:r>
        <w:rPr>
          <w:rStyle w:val="61"/>
          <w:sz w:val="22"/>
          <w:szCs w:val="22"/>
        </w:rPr>
        <w:fldChar w:fldCharType="separate"/>
      </w:r>
      <w:r>
        <w:rPr>
          <w:rStyle w:val="61"/>
          <w:sz w:val="22"/>
          <w:szCs w:val="22"/>
        </w:rPr>
        <w:t>art. 37, XXI, da Constituição Federal de 1988</w:t>
      </w:r>
      <w:r>
        <w:rPr>
          <w:rStyle w:val="61"/>
          <w:sz w:val="22"/>
          <w:szCs w:val="22"/>
        </w:rPr>
        <w:fldChar w:fldCharType="end"/>
      </w:r>
      <w:r>
        <w:rPr>
          <w:color w:val="000000"/>
          <w:sz w:val="22"/>
          <w:szCs w:val="22"/>
        </w:rPr>
        <w:t xml:space="preserve">, não haverá exigência de qualificação econômico-financeira, previstas no </w:t>
      </w:r>
      <w:r>
        <w:rPr>
          <w:sz w:val="22"/>
          <w:szCs w:val="22"/>
        </w:rPr>
        <w:fldChar w:fldCharType="begin"/>
      </w:r>
      <w:r>
        <w:rPr>
          <w:rStyle w:val="61"/>
          <w:sz w:val="22"/>
          <w:szCs w:val="22"/>
        </w:rPr>
        <w:instrText xml:space="preserve"> HYPERLINK "https://www.planalto.gov.br/ccivil_03/_ato2019-2022/2021/lei/l14133.htm" \l "art69"</w:instrText>
      </w:r>
      <w:r>
        <w:rPr>
          <w:rStyle w:val="61"/>
          <w:sz w:val="22"/>
          <w:szCs w:val="22"/>
        </w:rPr>
        <w:fldChar w:fldCharType="separate"/>
      </w:r>
      <w:r>
        <w:rPr>
          <w:rStyle w:val="61"/>
          <w:sz w:val="22"/>
          <w:szCs w:val="22"/>
        </w:rPr>
        <w:t>art. 69 da Lei Federal nº 14.133, de 2021</w:t>
      </w:r>
      <w:r>
        <w:rPr>
          <w:rStyle w:val="61"/>
          <w:sz w:val="22"/>
          <w:szCs w:val="22"/>
        </w:rPr>
        <w:fldChar w:fldCharType="end"/>
      </w:r>
      <w:r>
        <w:rPr>
          <w:color w:val="000000"/>
          <w:sz w:val="22"/>
          <w:szCs w:val="22"/>
        </w:rPr>
        <w:t>.</w:t>
      </w:r>
    </w:p>
    <w:p w14:paraId="6C877B87">
      <w:pPr>
        <w:pStyle w:val="2"/>
        <w:spacing w:before="360" w:after="0"/>
        <w:rPr>
          <w:sz w:val="22"/>
          <w:szCs w:val="22"/>
        </w:rPr>
      </w:pPr>
      <w:bookmarkStart w:id="33" w:name="_Toc149517453"/>
      <w:r>
        <w:rPr>
          <w:rStyle w:val="52"/>
          <w:sz w:val="22"/>
          <w:szCs w:val="22"/>
        </w:rPr>
        <w:t>OUTROS DOCUMENTOS</w:t>
      </w:r>
      <w:bookmarkEnd w:id="33"/>
    </w:p>
    <w:p w14:paraId="38B898E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Sob pena de inabilitação, o licitante deverá apresentar declarações, conforme modelo constante no </w:t>
      </w:r>
      <w:r>
        <w:rPr>
          <w:sz w:val="22"/>
          <w:szCs w:val="22"/>
        </w:rPr>
        <w:fldChar w:fldCharType="begin"/>
      </w:r>
      <w:r>
        <w:rPr>
          <w:sz w:val="22"/>
          <w:szCs w:val="22"/>
        </w:rPr>
        <w:instrText xml:space="preserve"> HYPERLINK \l "_ANEXO_III_-" \h </w:instrText>
      </w:r>
      <w:r>
        <w:rPr>
          <w:sz w:val="22"/>
          <w:szCs w:val="22"/>
        </w:rPr>
        <w:fldChar w:fldCharType="separate"/>
      </w:r>
      <w:r>
        <w:rPr>
          <w:rStyle w:val="61"/>
          <w:sz w:val="22"/>
          <w:szCs w:val="22"/>
        </w:rPr>
        <w:t>Anexo III - Modelo de Declarações</w:t>
      </w:r>
      <w:r>
        <w:rPr>
          <w:rStyle w:val="61"/>
          <w:sz w:val="22"/>
          <w:szCs w:val="22"/>
        </w:rPr>
        <w:fldChar w:fldCharType="end"/>
      </w:r>
      <w:r>
        <w:rPr>
          <w:color w:val="000000"/>
          <w:sz w:val="22"/>
          <w:szCs w:val="22"/>
        </w:rPr>
        <w:t>, de que:</w:t>
      </w:r>
    </w:p>
    <w:p w14:paraId="663772A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está ciente e concorda com as condições contidas no Edital e seus anexos, bem como de que cumpre plenamente os requisitos de habilitação definidos no Edital;</w:t>
      </w:r>
    </w:p>
    <w:p w14:paraId="45EF7788">
      <w:pPr>
        <w:pStyle w:val="49"/>
        <w:numPr>
          <w:ilvl w:val="2"/>
          <w:numId w:val="1"/>
        </w:numPr>
        <w:tabs>
          <w:tab w:val="left" w:pos="1134"/>
        </w:tabs>
        <w:spacing w:before="0" w:after="0"/>
        <w:jc w:val="both"/>
        <w:textAlignment w:val="baseline"/>
        <w:rPr>
          <w:rFonts w:ascii="Times New Roman" w:hAnsi="Times New Roman"/>
          <w:sz w:val="22"/>
          <w:szCs w:val="22"/>
        </w:rPr>
      </w:pPr>
      <w:r>
        <w:rPr>
          <w:color w:val="000000"/>
          <w:sz w:val="22"/>
          <w:szCs w:val="22"/>
        </w:rPr>
        <w:t>inexistem fatos impeditivos para sua habilitação no certame, ciente da obrigatoriedade de declarar ocorrências posteriores;</w:t>
      </w:r>
    </w:p>
    <w:p w14:paraId="29B4D0FD">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emprega menor de 18 anos em trabalho noturno, perigoso ou insalubre e não emprega menor de 16 anos, salvo menor, a partir de 14 anos, na condição de aprendiz, nos termos do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 XXXIII, da Constituição Federal de 1988</w:t>
      </w:r>
      <w:r>
        <w:rPr>
          <w:rStyle w:val="61"/>
          <w:sz w:val="22"/>
          <w:szCs w:val="22"/>
        </w:rPr>
        <w:fldChar w:fldCharType="end"/>
      </w:r>
      <w:r>
        <w:rPr>
          <w:color w:val="000000"/>
          <w:sz w:val="22"/>
          <w:szCs w:val="22"/>
        </w:rPr>
        <w:t>;</w:t>
      </w:r>
    </w:p>
    <w:p w14:paraId="575D859C">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não possui empregados executando trabalho degradante ou forçado, observando o disposto nos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incisos III e IV do art. 1º e no inciso III do art. 5º da Constituição Federal de 1988</w:t>
      </w:r>
      <w:r>
        <w:rPr>
          <w:rStyle w:val="61"/>
          <w:sz w:val="22"/>
          <w:szCs w:val="22"/>
        </w:rPr>
        <w:fldChar w:fldCharType="end"/>
      </w:r>
      <w:r>
        <w:rPr>
          <w:sz w:val="22"/>
          <w:szCs w:val="22"/>
        </w:rPr>
        <w:t>;</w:t>
      </w:r>
    </w:p>
    <w:p w14:paraId="70F7D14A">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mantém vínculo de natureza técnica, comercial, econômica, financeira, trabalhista ou civil com dirigente da </w:t>
      </w:r>
      <w:bookmarkStart w:id="34" w:name="_Hlk149515729"/>
      <w:r>
        <w:rPr>
          <w:color w:val="000000"/>
          <w:sz w:val="22"/>
          <w:szCs w:val="22"/>
        </w:rPr>
        <w:t>Câmara Municipal de Primavera do Leste - MT</w:t>
      </w:r>
      <w:bookmarkEnd w:id="34"/>
      <w:r>
        <w:rPr>
          <w:sz w:val="22"/>
          <w:szCs w:val="22"/>
        </w:rPr>
        <w:t xml:space="preserve"> </w:t>
      </w:r>
      <w:r>
        <w:rPr>
          <w:color w:val="000000"/>
          <w:sz w:val="22"/>
          <w:szCs w:val="22"/>
        </w:rPr>
        <w:t>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color w:val="000000"/>
          <w:sz w:val="22"/>
          <w:szCs w:val="22"/>
        </w:rPr>
        <w:t>);</w:t>
      </w:r>
    </w:p>
    <w:p w14:paraId="24BDDB6F">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cumpre as exigências de reserva de cargos para pessoa com deficiência e para reabilitado da Previdência Social, previstas em lei e em outras normas específicas, em especial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color w:val="000000"/>
          <w:sz w:val="22"/>
          <w:szCs w:val="22"/>
        </w:rPr>
        <w:t>).</w:t>
      </w:r>
    </w:p>
    <w:p w14:paraId="4C76B06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bookmarkStart w:id="35" w:name="_Ref117000019"/>
      <w:r>
        <w:rPr>
          <w:sz w:val="22"/>
          <w:szCs w:val="22"/>
        </w:rPr>
        <w:t xml:space="preserve">O </w:t>
      </w:r>
      <w:r>
        <w:rPr>
          <w:color w:val="000000"/>
          <w:sz w:val="22"/>
          <w:szCs w:val="22"/>
        </w:rPr>
        <w:t>fornecedor</w:t>
      </w:r>
      <w:r>
        <w:rPr>
          <w:sz w:val="22"/>
          <w:szCs w:val="22"/>
        </w:rPr>
        <w:t xml:space="preserv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em seus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bookmarkEnd w:id="35"/>
      <w:r>
        <w:rPr>
          <w:rStyle w:val="61"/>
          <w:sz w:val="22"/>
          <w:szCs w:val="22"/>
        </w:rPr>
        <w:t>arts. 42 a 49</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 1º ao 3º do art. 4º, da Lei Federal nº 14.133, de 2021.</w:t>
      </w:r>
      <w:r>
        <w:rPr>
          <w:rStyle w:val="61"/>
          <w:sz w:val="22"/>
          <w:szCs w:val="22"/>
        </w:rPr>
        <w:fldChar w:fldCharType="end"/>
      </w:r>
    </w:p>
    <w:p w14:paraId="5407592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declaração falsa relativa ao cumprimento de qualquer condição sujeitará o licitante às sanções previstas em lei e neste Edital, em especial a infração administrativa prevista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color w:val="000000"/>
          <w:sz w:val="22"/>
          <w:szCs w:val="22"/>
        </w:rPr>
        <w:t>.</w:t>
      </w:r>
    </w:p>
    <w:p w14:paraId="23BAEA79">
      <w:pPr>
        <w:pStyle w:val="2"/>
        <w:spacing w:before="360" w:after="0"/>
        <w:rPr>
          <w:sz w:val="22"/>
          <w:szCs w:val="22"/>
        </w:rPr>
      </w:pPr>
      <w:bookmarkStart w:id="36" w:name="_Toc149517454"/>
      <w:r>
        <w:rPr>
          <w:rStyle w:val="52"/>
          <w:sz w:val="22"/>
          <w:szCs w:val="22"/>
        </w:rPr>
        <w:t>ENCAMINHAMENTO DA PROPOSTA VENCEDORA</w:t>
      </w:r>
      <w:bookmarkEnd w:id="36"/>
    </w:p>
    <w:p w14:paraId="3A808B11">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final do licitante habilitado e declarado vencedor deverá ser encaminhada no prazo de 2 (duas) horas, a contar da solicitação do </w:t>
      </w:r>
      <w:r>
        <w:rPr>
          <w:sz w:val="22"/>
          <w:szCs w:val="22"/>
        </w:rPr>
        <w:t>Pregoeiro</w:t>
      </w:r>
      <w:r>
        <w:rPr>
          <w:color w:val="000000"/>
          <w:sz w:val="22"/>
          <w:szCs w:val="22"/>
        </w:rPr>
        <w:t xml:space="preserve"> no sistema eletrônico e deverá:</w:t>
      </w:r>
    </w:p>
    <w:p w14:paraId="2D5A131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ser redigida em língua portuguesa, datilografada ou digitada, em uma via, sem emendas, rasuras, entrelinhas ou ressalvas, devendo a última folha ser assinada e as demais rubricadas pelo licitante ou seu representante legal, se a assinatura não for digital;</w:t>
      </w:r>
    </w:p>
    <w:p w14:paraId="305B2E2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indicação do banco, número da conta e agência do licitante vencedor, para fins de pagamento;</w:t>
      </w:r>
    </w:p>
    <w:p w14:paraId="27D9E49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os dados pessoais do responsável pela assinatura da contratação, devendo ser enviado cópia dos documentos pessoais e documento que comprove a representatividade.</w:t>
      </w:r>
    </w:p>
    <w:p w14:paraId="7BE1C2A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final deverá ser documentada nos autos e será levada em consideração no decorrer da execução do contrato e aplicação de eventual sanção administrativa à futura contratada, se for o caso.</w:t>
      </w:r>
    </w:p>
    <w:p w14:paraId="4CB12F9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Todas as especificações do objeto contidas na proposta, tais como marca, modelo, tipo, fabricante e procedência, vinculam a futura contratada.</w:t>
      </w:r>
    </w:p>
    <w:p w14:paraId="620879F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preços deverão ser expressos em moeda corrente nacional, o valor unitário em algarismos e o valor global em algarismos (</w:t>
      </w:r>
      <w:r>
        <w:rPr>
          <w:sz w:val="22"/>
          <w:szCs w:val="22"/>
        </w:rPr>
        <w:fldChar w:fldCharType="begin"/>
      </w:r>
      <w:r>
        <w:rPr>
          <w:rStyle w:val="61"/>
          <w:sz w:val="22"/>
          <w:szCs w:val="22"/>
        </w:rPr>
        <w:instrText xml:space="preserve"> HYPERLINK "https://www.planalto.gov.br/ccivil_03/_ato2019-2022/2021/lei/l14133.htm" \l "art12"</w:instrText>
      </w:r>
      <w:r>
        <w:rPr>
          <w:rStyle w:val="61"/>
          <w:sz w:val="22"/>
          <w:szCs w:val="22"/>
        </w:rPr>
        <w:fldChar w:fldCharType="separate"/>
      </w:r>
      <w:r>
        <w:rPr>
          <w:rStyle w:val="61"/>
          <w:sz w:val="22"/>
          <w:szCs w:val="22"/>
        </w:rPr>
        <w:t>art. 12, II, da Lei Federal nº 14.133, de 2021</w:t>
      </w:r>
      <w:r>
        <w:rPr>
          <w:rStyle w:val="61"/>
          <w:sz w:val="22"/>
          <w:szCs w:val="22"/>
        </w:rPr>
        <w:fldChar w:fldCharType="end"/>
      </w:r>
      <w:r>
        <w:rPr>
          <w:color w:val="000000"/>
          <w:sz w:val="22"/>
          <w:szCs w:val="22"/>
        </w:rPr>
        <w:t>).</w:t>
      </w:r>
    </w:p>
    <w:p w14:paraId="3DA110F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5E3DB55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5DD089A2">
      <w:pPr>
        <w:pStyle w:val="2"/>
        <w:spacing w:before="360" w:after="0"/>
        <w:rPr>
          <w:sz w:val="22"/>
          <w:szCs w:val="22"/>
        </w:rPr>
      </w:pPr>
      <w:bookmarkStart w:id="37" w:name="_Toc149517455"/>
      <w:r>
        <w:rPr>
          <w:rStyle w:val="52"/>
          <w:sz w:val="22"/>
          <w:szCs w:val="22"/>
        </w:rPr>
        <w:t>RECURSO(S) ADMINISTRATIVO(S)</w:t>
      </w:r>
      <w:bookmarkEnd w:id="37"/>
    </w:p>
    <w:p w14:paraId="1FE789B4">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interposição de recurso referente ao julgamento das propostas, à habilitação ou inabilitação de licitantes, à anulação ou revogação da licitação, observará o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da Lei Federal nº 14.133, de 2021</w:t>
      </w:r>
      <w:r>
        <w:rPr>
          <w:rStyle w:val="61"/>
          <w:sz w:val="22"/>
          <w:szCs w:val="22"/>
        </w:rPr>
        <w:fldChar w:fldCharType="end"/>
      </w:r>
      <w:r>
        <w:rPr>
          <w:color w:val="000000"/>
          <w:sz w:val="22"/>
          <w:szCs w:val="22"/>
        </w:rPr>
        <w:t>.</w:t>
      </w:r>
    </w:p>
    <w:p w14:paraId="69444FE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14:paraId="4574FC3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2"/>
          <w:szCs w:val="22"/>
        </w:rPr>
        <w:t>Pregoeiro</w:t>
      </w:r>
      <w:r>
        <w:rPr>
          <w:color w:val="000000"/>
          <w:sz w:val="22"/>
          <w:szCs w:val="22"/>
        </w:rPr>
        <w:t xml:space="preserve"> em face dos demais itens do objeto da licitação.</w:t>
      </w:r>
    </w:p>
    <w:p w14:paraId="6E035AB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D03512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RECURSO ADMINISTRATIVO poderá atacar qualquer ato decisório ou procedimento adotado pelo </w:t>
      </w:r>
      <w:r>
        <w:rPr>
          <w:sz w:val="22"/>
          <w:szCs w:val="22"/>
        </w:rPr>
        <w:t>Pregoeiro</w:t>
      </w:r>
      <w:r>
        <w:rPr>
          <w:color w:val="000000"/>
          <w:sz w:val="22"/>
          <w:szCs w:val="22"/>
        </w:rPr>
        <w:t xml:space="preserve"> durante todo o certame licitatório, não sendo meio adequado para impugnar regras do Edital e seus Anexos.</w:t>
      </w:r>
    </w:p>
    <w:p w14:paraId="6554667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registro de INTENÇÃO DE RECURSO, o </w:t>
      </w:r>
      <w:r>
        <w:rPr>
          <w:sz w:val="22"/>
          <w:szCs w:val="22"/>
        </w:rPr>
        <w:t>Pregoeiro</w:t>
      </w:r>
      <w:r>
        <w:rPr>
          <w:color w:val="000000"/>
          <w:sz w:val="22"/>
          <w:szCs w:val="22"/>
        </w:rPr>
        <w:t xml:space="preserve"> fará JUÍZO DE ADMISSIBILIDADE da intenção de recorrer manifestada, aceitando-a ou, motivadamente, rejeitando-a, em campo próprio do sistema, em razão da não observância dos pressupostos recursais de admissibilidade.</w:t>
      </w:r>
    </w:p>
    <w:p w14:paraId="2DE3521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Será rejeitada a INTENÇÃO DE RECURSO de caráter protelatório que:</w:t>
      </w:r>
    </w:p>
    <w:p w14:paraId="2DE42E9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registrada por quem não tenha legítimo interesse;</w:t>
      </w:r>
    </w:p>
    <w:p w14:paraId="5B22C73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intempestiva;</w:t>
      </w:r>
    </w:p>
    <w:p w14:paraId="6EB0F50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não ataque ato decisório ou procedimental praticado pelo </w:t>
      </w:r>
      <w:r>
        <w:rPr>
          <w:sz w:val="22"/>
          <w:szCs w:val="22"/>
        </w:rPr>
        <w:t>Pregoeiro</w:t>
      </w:r>
      <w:r>
        <w:rPr>
          <w:color w:val="000000"/>
          <w:sz w:val="22"/>
          <w:szCs w:val="22"/>
        </w:rPr>
        <w:t xml:space="preserve"> no certame; e/ou</w:t>
      </w:r>
    </w:p>
    <w:p w14:paraId="0F991CF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fundamentada em mera insatisfação do licitante, sem alegação de qualquer fato prejudicial ou desconforme com o presente Edital e/ou com a legislação vigente.</w:t>
      </w:r>
    </w:p>
    <w:p w14:paraId="53AC1E6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14:paraId="15A9CCF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é imprescindível haver total correspondência entre os fatos e fundamentos indicados na intenção de recurso e as razões escritas do respectivo recurso.</w:t>
      </w:r>
    </w:p>
    <w:p w14:paraId="742A44B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4CEF761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autos do procedimento permanecerão com vista franqueada aos interessados. Para tanto, as empresas interessadas deverão entrar em contato com o </w:t>
      </w:r>
      <w:r>
        <w:rPr>
          <w:sz w:val="22"/>
          <w:szCs w:val="22"/>
        </w:rPr>
        <w:t>Pregoeiro</w:t>
      </w:r>
      <w:r>
        <w:rPr>
          <w:color w:val="000000"/>
          <w:sz w:val="22"/>
          <w:szCs w:val="22"/>
        </w:rPr>
        <w:t xml:space="preserve"> por intermédio do e-mail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ou, nos dias úteis e no horário de funcionamento da Câmara, pelo telefone: </w:t>
      </w:r>
      <w:r>
        <w:rPr>
          <w:color w:val="000000"/>
          <w:sz w:val="22"/>
          <w:szCs w:val="22"/>
          <w:shd w:val="clear" w:fill="auto"/>
        </w:rPr>
        <w:t>3498-3590.</w:t>
      </w:r>
    </w:p>
    <w:p w14:paraId="2CC29B4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art. 5º, XXXIV, "a", Constituição Federal de 1988</w:t>
      </w:r>
      <w:r>
        <w:rPr>
          <w:rStyle w:val="61"/>
          <w:sz w:val="22"/>
          <w:szCs w:val="22"/>
        </w:rPr>
        <w:fldChar w:fldCharType="end"/>
      </w:r>
      <w:r>
        <w:rPr>
          <w:sz w:val="22"/>
          <w:szCs w:val="22"/>
        </w:rPr>
        <w:t>).</w:t>
      </w:r>
    </w:p>
    <w:p w14:paraId="7F95604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14:paraId="149BAFF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cabe RECURSO ADESIVO por ocasião do exercício do direito de contrarrazoar.</w:t>
      </w:r>
    </w:p>
    <w:p w14:paraId="70FE9F3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recursos serão apreciados em fase única, conforme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§2º, da Lei Federal nº 14.133, de 2021</w:t>
      </w:r>
      <w:r>
        <w:rPr>
          <w:rStyle w:val="61"/>
          <w:sz w:val="22"/>
          <w:szCs w:val="22"/>
        </w:rPr>
        <w:fldChar w:fldCharType="end"/>
      </w:r>
      <w:r>
        <w:rPr>
          <w:color w:val="000000"/>
          <w:sz w:val="22"/>
          <w:szCs w:val="22"/>
        </w:rPr>
        <w:t>.</w:t>
      </w:r>
    </w:p>
    <w:p w14:paraId="68BCF04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análise e julgamento do recurso administrativo, poderá o </w:t>
      </w:r>
      <w:r>
        <w:rPr>
          <w:sz w:val="22"/>
          <w:szCs w:val="22"/>
        </w:rPr>
        <w:t>Pregoeiro</w:t>
      </w:r>
      <w:r>
        <w:rPr>
          <w:color w:val="000000"/>
          <w:sz w:val="22"/>
          <w:szCs w:val="22"/>
        </w:rPr>
        <w:t xml:space="preserve"> baixar em diligência os autos para fins de pronunciamento da unidade técnica competente, bem como para Assessoria Jurídica e/ou Assessoria Contábil.</w:t>
      </w:r>
    </w:p>
    <w:p w14:paraId="7A5444A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Decorridos os prazos de apresentação de razões e contrarrazões, o </w:t>
      </w:r>
      <w:r>
        <w:rPr>
          <w:sz w:val="22"/>
          <w:szCs w:val="22"/>
        </w:rPr>
        <w:t>Pregoeiro</w:t>
      </w:r>
      <w:r>
        <w:rPr>
          <w:color w:val="000000"/>
          <w:sz w:val="22"/>
          <w:szCs w:val="22"/>
        </w:rPr>
        <w:t xml:space="preserve"> deverá analisar fundamentadamente os fatos e fundamentos arguidos pelo(s) recorrente(s), podendo, em sede de JUÍZO DE RETRATAÇÃO:</w:t>
      </w:r>
    </w:p>
    <w:p w14:paraId="6F24621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reconsiderar, total ou parcialmente, a decisão recorrida, reformando-a; ou</w:t>
      </w:r>
    </w:p>
    <w:p w14:paraId="59B19D6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manter inalterada a decisão recorrida.</w:t>
      </w:r>
    </w:p>
    <w:p w14:paraId="60E12F7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Qualquer que seja a decisão do </w:t>
      </w:r>
      <w:r>
        <w:rPr>
          <w:sz w:val="22"/>
          <w:szCs w:val="22"/>
        </w:rPr>
        <w:t>Pregoeiro</w:t>
      </w:r>
      <w:r>
        <w:rPr>
          <w:color w:val="000000"/>
          <w:sz w:val="22"/>
          <w:szCs w:val="22"/>
        </w:rPr>
        <w:t xml:space="preserve">, o processo será submetido, depois de devidamente instruído pelo </w:t>
      </w:r>
      <w:r>
        <w:rPr>
          <w:sz w:val="22"/>
          <w:szCs w:val="22"/>
        </w:rPr>
        <w:t>Pregoeiro</w:t>
      </w:r>
      <w:r>
        <w:rPr>
          <w:color w:val="000000"/>
          <w:sz w:val="22"/>
          <w:szCs w:val="22"/>
        </w:rPr>
        <w:t>, à apreciação da Autoridade Superior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 2º, da Lei Federal nº 14.133, de 2021</w:t>
      </w:r>
      <w:r>
        <w:rPr>
          <w:rStyle w:val="61"/>
          <w:sz w:val="22"/>
          <w:szCs w:val="22"/>
        </w:rPr>
        <w:fldChar w:fldCharType="end"/>
      </w:r>
      <w:r>
        <w:rPr>
          <w:color w:val="000000"/>
          <w:sz w:val="22"/>
          <w:szCs w:val="22"/>
        </w:rPr>
        <w:t xml:space="preserve">), que poderá: </w:t>
      </w:r>
    </w:p>
    <w:p w14:paraId="6A9BABA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decidir de pronto o mérito do recurso, segundo os documentos e informações contidas nos autos, como também os fundamentos da decisão do </w:t>
      </w:r>
      <w:r>
        <w:rPr>
          <w:sz w:val="22"/>
          <w:szCs w:val="22"/>
        </w:rPr>
        <w:t>Pregoeiro</w:t>
      </w:r>
      <w:r>
        <w:rPr>
          <w:color w:val="000000"/>
          <w:sz w:val="22"/>
          <w:szCs w:val="22"/>
        </w:rPr>
        <w:t>; OU</w:t>
      </w:r>
    </w:p>
    <w:p w14:paraId="23EF6B7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determinar prévia emissão de parecer da área técnica e/ou jurídico para subsidiar sua decisão.</w:t>
      </w:r>
    </w:p>
    <w:p w14:paraId="2E43167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 acolhimento do recurso importará na invalidação apenas dos atos que não possam ser aproveitados.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§3º, da Lei Federal nº 14.133, de 2021</w:t>
      </w:r>
      <w:r>
        <w:rPr>
          <w:rStyle w:val="61"/>
          <w:sz w:val="22"/>
          <w:szCs w:val="22"/>
        </w:rPr>
        <w:fldChar w:fldCharType="end"/>
      </w:r>
      <w:r>
        <w:rPr>
          <w:color w:val="000000"/>
          <w:sz w:val="22"/>
          <w:szCs w:val="22"/>
        </w:rPr>
        <w:t>).</w:t>
      </w:r>
    </w:p>
    <w:p w14:paraId="3A9B8B5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color w:val="000000"/>
          <w:sz w:val="22"/>
          <w:szCs w:val="22"/>
        </w:rPr>
        <w:t>.</w:t>
      </w:r>
    </w:p>
    <w:p w14:paraId="41D64244">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14:paraId="49758757">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14:paraId="59066EBC">
      <w:pPr>
        <w:pStyle w:val="2"/>
        <w:spacing w:before="360" w:after="0"/>
        <w:rPr>
          <w:sz w:val="22"/>
          <w:szCs w:val="22"/>
        </w:rPr>
      </w:pPr>
      <w:bookmarkStart w:id="38" w:name="_Toc149517456"/>
      <w:r>
        <w:rPr>
          <w:rStyle w:val="52"/>
          <w:sz w:val="22"/>
          <w:szCs w:val="22"/>
        </w:rPr>
        <w:t>REABERTURA DA SESSÃO PÚBLICA</w:t>
      </w:r>
      <w:bookmarkEnd w:id="38"/>
    </w:p>
    <w:p w14:paraId="1838C9E8">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 sessão pública poderá ser reaberta:</w:t>
      </w:r>
    </w:p>
    <w:p w14:paraId="6D48F9B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9DB521">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§1º, da Lei Complementar Federal nº 123, de 2006</w:t>
      </w:r>
      <w:r>
        <w:rPr>
          <w:rStyle w:val="61"/>
          <w:sz w:val="22"/>
          <w:szCs w:val="22"/>
        </w:rPr>
        <w:fldChar w:fldCharType="end"/>
      </w:r>
      <w:r>
        <w:rPr>
          <w:sz w:val="22"/>
          <w:szCs w:val="22"/>
        </w:rPr>
        <w:t>. Nessas hipóteses, serão adotados os procedimentos imediatamente posteriores ao encerramento da etapa de lances.</w:t>
      </w:r>
    </w:p>
    <w:p w14:paraId="15CF3E7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Todos os licitantes remanescentes deverão ser convocados para acompanhar a sessão reaberta.</w:t>
      </w:r>
    </w:p>
    <w:p w14:paraId="7CEDBEF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convocação se dará por meio do sistema eletrônico (“</w:t>
      </w:r>
      <w:r>
        <w:rPr>
          <w:i/>
          <w:iCs/>
          <w:sz w:val="22"/>
          <w:szCs w:val="22"/>
        </w:rPr>
        <w:t>chat</w:t>
      </w:r>
      <w:r>
        <w:rPr>
          <w:sz w:val="22"/>
          <w:szCs w:val="22"/>
        </w:rPr>
        <w:t xml:space="preserve">”) ou </w:t>
      </w:r>
      <w:r>
        <w:rPr>
          <w:i/>
          <w:iCs/>
          <w:sz w:val="22"/>
          <w:szCs w:val="22"/>
        </w:rPr>
        <w:t>e-mail</w:t>
      </w:r>
      <w:r>
        <w:rPr>
          <w:sz w:val="22"/>
          <w:szCs w:val="22"/>
        </w:rPr>
        <w:t>, de acordo com a fase do procedimento licitatório, de acordo com o endereço eletrônico registrado na proposta.</w:t>
      </w:r>
    </w:p>
    <w:p w14:paraId="0AB67236">
      <w:pPr>
        <w:pStyle w:val="2"/>
        <w:spacing w:before="360" w:after="0"/>
        <w:rPr>
          <w:sz w:val="22"/>
          <w:szCs w:val="22"/>
        </w:rPr>
      </w:pPr>
      <w:bookmarkStart w:id="39" w:name="_Toc149517457"/>
      <w:r>
        <w:rPr>
          <w:rStyle w:val="52"/>
          <w:sz w:val="22"/>
          <w:szCs w:val="22"/>
        </w:rPr>
        <w:t>ENCERRAMENTO DA LICITAÇÃO</w:t>
      </w:r>
      <w:bookmarkEnd w:id="39"/>
    </w:p>
    <w:p w14:paraId="40F38532">
      <w:pPr>
        <w:pStyle w:val="49"/>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sz w:val="22"/>
          <w:szCs w:val="22"/>
        </w:rPr>
        <w:t xml:space="preserve">Nos </w:t>
      </w:r>
      <w:r>
        <w:rPr>
          <w:color w:val="000000"/>
          <w:sz w:val="22"/>
          <w:szCs w:val="22"/>
        </w:rPr>
        <w:t>termos</w:t>
      </w:r>
      <w:r>
        <w:rPr>
          <w:sz w:val="22"/>
          <w:szCs w:val="22"/>
        </w:rPr>
        <w:t xml:space="preserve"> 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sz w:val="22"/>
          <w:szCs w:val="22"/>
        </w:rPr>
        <w:t>, encerradas as fases de julgamento e habilitação, e exauridos os recursos administrativos, o processo licitatório será encaminhado à autoridade superior, que poderá:</w:t>
      </w:r>
    </w:p>
    <w:p w14:paraId="3ADFCAF9">
      <w:pPr>
        <w:pStyle w:val="49"/>
        <w:numPr>
          <w:ilvl w:val="2"/>
          <w:numId w:val="11"/>
        </w:numPr>
        <w:tabs>
          <w:tab w:val="left" w:pos="1134"/>
        </w:tabs>
        <w:spacing w:before="120" w:after="0"/>
        <w:rPr>
          <w:rFonts w:ascii="Times New Roman" w:hAnsi="Times New Roman"/>
          <w:sz w:val="22"/>
          <w:szCs w:val="22"/>
        </w:rPr>
      </w:pPr>
      <w:r>
        <w:rPr>
          <w:sz w:val="22"/>
          <w:szCs w:val="22"/>
        </w:rPr>
        <w:t>determinar o retorno dos autos para saneamento de irregularidades;</w:t>
      </w:r>
    </w:p>
    <w:p w14:paraId="6A7E71D7">
      <w:pPr>
        <w:pStyle w:val="49"/>
        <w:numPr>
          <w:ilvl w:val="2"/>
          <w:numId w:val="11"/>
        </w:numPr>
        <w:tabs>
          <w:tab w:val="left" w:pos="1134"/>
        </w:tabs>
        <w:spacing w:before="0" w:after="0"/>
        <w:rPr>
          <w:rFonts w:ascii="Times New Roman" w:hAnsi="Times New Roman"/>
          <w:sz w:val="22"/>
          <w:szCs w:val="22"/>
        </w:rPr>
      </w:pPr>
      <w:r>
        <w:rPr>
          <w:sz w:val="22"/>
          <w:szCs w:val="22"/>
        </w:rPr>
        <w:t>revogar a licitação por motivo de conveniência e oportunidade;</w:t>
      </w:r>
    </w:p>
    <w:p w14:paraId="3F819986">
      <w:pPr>
        <w:pStyle w:val="49"/>
        <w:numPr>
          <w:ilvl w:val="2"/>
          <w:numId w:val="11"/>
        </w:numPr>
        <w:tabs>
          <w:tab w:val="left" w:pos="1134"/>
        </w:tabs>
        <w:spacing w:before="0" w:after="0"/>
        <w:rPr>
          <w:rFonts w:ascii="Times New Roman" w:hAnsi="Times New Roman"/>
          <w:sz w:val="22"/>
          <w:szCs w:val="22"/>
        </w:rPr>
      </w:pPr>
      <w:r>
        <w:rPr>
          <w:sz w:val="22"/>
          <w:szCs w:val="22"/>
        </w:rPr>
        <w:t>proceder à anulação da licitação, de ofício ou mediante provocação de terceiros, sempre que presente ilegalidade insanável;</w:t>
      </w:r>
    </w:p>
    <w:p w14:paraId="6D76B878">
      <w:pPr>
        <w:pStyle w:val="49"/>
        <w:numPr>
          <w:ilvl w:val="2"/>
          <w:numId w:val="11"/>
        </w:numPr>
        <w:tabs>
          <w:tab w:val="left" w:pos="1134"/>
        </w:tabs>
        <w:spacing w:before="0" w:after="120"/>
        <w:rPr>
          <w:rFonts w:ascii="Times New Roman" w:hAnsi="Times New Roman"/>
          <w:sz w:val="22"/>
          <w:szCs w:val="22"/>
        </w:rPr>
      </w:pPr>
      <w:r>
        <w:rPr>
          <w:sz w:val="22"/>
          <w:szCs w:val="22"/>
        </w:rPr>
        <w:t>adjudicar o objeto e homologar a licitação.</w:t>
      </w:r>
    </w:p>
    <w:p w14:paraId="11EDAE50">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Ao </w:t>
      </w:r>
      <w:r>
        <w:rPr>
          <w:color w:val="000000"/>
          <w:sz w:val="22"/>
          <w:szCs w:val="22"/>
        </w:rPr>
        <w:t>pronunciar</w:t>
      </w:r>
      <w:r>
        <w:rPr>
          <w:sz w:val="22"/>
          <w:szCs w:val="22"/>
        </w:rPr>
        <w:t xml:space="preserve"> a nulidade, a autoridade indicará expressamente os atos com vícios insanáveis, tornando sem efeito todos os subsequentes que deles dependam, e dará ensejo à apuração de responsabilidade de quem lhes tenha dado causa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§1º, da Lei Federal nº 14.133, de 2021</w:t>
      </w:r>
      <w:r>
        <w:rPr>
          <w:rStyle w:val="61"/>
          <w:sz w:val="22"/>
          <w:szCs w:val="22"/>
        </w:rPr>
        <w:fldChar w:fldCharType="end"/>
      </w:r>
      <w:r>
        <w:rPr>
          <w:sz w:val="22"/>
          <w:szCs w:val="22"/>
        </w:rPr>
        <w:t>).</w:t>
      </w:r>
    </w:p>
    <w:p w14:paraId="14A33BF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motivo determinante para a revogação do processo licitatório deverá ser resultante de fato superveniente devidamente comprovado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§2º, da Lei Federal nº 14.133, de 2021</w:t>
      </w:r>
      <w:r>
        <w:rPr>
          <w:rStyle w:val="61"/>
          <w:sz w:val="22"/>
          <w:szCs w:val="22"/>
        </w:rPr>
        <w:fldChar w:fldCharType="end"/>
      </w:r>
      <w:r>
        <w:rPr>
          <w:sz w:val="22"/>
          <w:szCs w:val="22"/>
        </w:rPr>
        <w:t>).</w:t>
      </w:r>
    </w:p>
    <w:p w14:paraId="5EA42C0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Nos casos de anulação e revogação, será assegurada a prévia manifestação dos interessados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§3º, da Lei Federal nº 14.133, de 2021</w:t>
      </w:r>
      <w:r>
        <w:rPr>
          <w:rStyle w:val="61"/>
          <w:sz w:val="22"/>
          <w:szCs w:val="22"/>
        </w:rPr>
        <w:fldChar w:fldCharType="end"/>
      </w:r>
      <w:r>
        <w:rPr>
          <w:sz w:val="22"/>
          <w:szCs w:val="22"/>
        </w:rPr>
        <w:t>).</w:t>
      </w:r>
    </w:p>
    <w:p w14:paraId="2B9DE6EE">
      <w:pPr>
        <w:pStyle w:val="2"/>
        <w:spacing w:before="360" w:after="0"/>
        <w:rPr>
          <w:sz w:val="22"/>
          <w:szCs w:val="22"/>
        </w:rPr>
      </w:pPr>
      <w:bookmarkStart w:id="40" w:name="_Toc149517458"/>
      <w:bookmarkStart w:id="41" w:name="_Toc144196064"/>
      <w:r>
        <w:rPr>
          <w:rStyle w:val="52"/>
          <w:sz w:val="22"/>
          <w:szCs w:val="22"/>
        </w:rPr>
        <w:t>REGISTRO DE PREÇOS</w:t>
      </w:r>
      <w:bookmarkEnd w:id="40"/>
      <w:bookmarkEnd w:id="41"/>
    </w:p>
    <w:p w14:paraId="64A80A3C">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14:paraId="7116BC1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 prazo de convocação poderá ser prorrogado uma vez, por igual período, mediante solicitação do licitante mais bem classificado ou do fornecedor convocado, desde que:</w:t>
      </w:r>
    </w:p>
    <w:p w14:paraId="52D4C04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solicitação seja devidamente justificada e apresentada dentro do prazo; e</w:t>
      </w:r>
    </w:p>
    <w:p w14:paraId="051B238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justificativa apresentada seja aceita pela Administração.</w:t>
      </w:r>
    </w:p>
    <w:p w14:paraId="7CCF1AD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será assinada por meio de assinatura digital e disponibilizada no sistema de registro de preços.</w:t>
      </w:r>
    </w:p>
    <w:p w14:paraId="70FE6F3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sz w:val="22"/>
          <w:szCs w:val="22"/>
        </w:rPr>
        <w:t>.</w:t>
      </w:r>
    </w:p>
    <w:p w14:paraId="4817529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1FA53D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preço registrado, com a indicação dos fornecedores, será divulgado no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e disponibilizado durante a vigência da ata de registro de preços.</w:t>
      </w:r>
    </w:p>
    <w:p w14:paraId="01FF23D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14:paraId="47EFF31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 ARP terá validade de 1 (um) ano, podendo ser prorrogada por igual período, desde que comprovado o preço vantajoso, limitada a 2 (dois) anos.</w:t>
      </w:r>
    </w:p>
    <w:p w14:paraId="754F81C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Em caso de prorrogação, será garantido o REAJUSTE previsto no item </w:t>
      </w:r>
      <w:r>
        <w:rPr>
          <w:sz w:val="22"/>
          <w:szCs w:val="22"/>
        </w:rPr>
        <w:fldChar w:fldCharType="begin"/>
      </w:r>
      <w:r>
        <w:rPr>
          <w:sz w:val="22"/>
          <w:szCs w:val="22"/>
        </w:rPr>
        <w:instrText xml:space="preserve"> HYPERLINK \l "_REAJUSTE_(art._92," \h </w:instrText>
      </w:r>
      <w:r>
        <w:rPr>
          <w:sz w:val="22"/>
          <w:szCs w:val="22"/>
        </w:rPr>
        <w:fldChar w:fldCharType="separate"/>
      </w:r>
      <w:r>
        <w:rPr>
          <w:rStyle w:val="61"/>
          <w:sz w:val="22"/>
          <w:szCs w:val="22"/>
        </w:rPr>
        <w:t>“37 - REAJUSTE”</w:t>
      </w:r>
      <w:r>
        <w:rPr>
          <w:rStyle w:val="61"/>
          <w:sz w:val="22"/>
          <w:szCs w:val="22"/>
        </w:rPr>
        <w:fldChar w:fldCharType="end"/>
      </w:r>
      <w:r>
        <w:rPr>
          <w:sz w:val="22"/>
          <w:szCs w:val="22"/>
        </w:rPr>
        <w:t>.</w:t>
      </w:r>
    </w:p>
    <w:p w14:paraId="65480EA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serão aceitas propostas para registros de preços com indicação de quantidades inferiores àquelas previstas em cada item do objeto da presente licitação, como também não serão permitidos registros de mais de um preço por cada item do objeto.</w:t>
      </w:r>
    </w:p>
    <w:p w14:paraId="71E28B1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4º, da Lei Federal nº 14.133, de 2021</w:t>
      </w:r>
      <w:r>
        <w:rPr>
          <w:rStyle w:val="61"/>
          <w:sz w:val="22"/>
          <w:szCs w:val="22"/>
        </w:rPr>
        <w:fldChar w:fldCharType="end"/>
      </w:r>
      <w:r>
        <w:rPr>
          <w:sz w:val="22"/>
          <w:szCs w:val="22"/>
        </w:rPr>
        <w:t>).</w:t>
      </w:r>
    </w:p>
    <w:p w14:paraId="40F39B9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5º, da Lei Federal nº 14.133, de 2021</w:t>
      </w:r>
      <w:r>
        <w:rPr>
          <w:rStyle w:val="61"/>
          <w:sz w:val="22"/>
          <w:szCs w:val="22"/>
        </w:rPr>
        <w:fldChar w:fldCharType="end"/>
      </w:r>
      <w:r>
        <w:rPr>
          <w:sz w:val="22"/>
          <w:szCs w:val="22"/>
        </w:rPr>
        <w:t>).</w:t>
      </w:r>
    </w:p>
    <w:p w14:paraId="6D83708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expressamente proibida a participação de órgão ou entidade pública que já participe de outro SRP em andamento, ou integre outra ARP, com objetos semelhantes ao do presente SRP (</w:t>
      </w:r>
      <w:r>
        <w:rPr>
          <w:sz w:val="22"/>
          <w:szCs w:val="22"/>
        </w:rPr>
        <w:fldChar w:fldCharType="begin"/>
      </w:r>
      <w:r>
        <w:rPr>
          <w:rStyle w:val="61"/>
          <w:sz w:val="22"/>
          <w:szCs w:val="22"/>
        </w:rPr>
        <w:instrText xml:space="preserve"> HYPERLINK "https://www.planalto.gov.br/ccivil_03/_ato2019-2022/2021/lei/l14133.htm" \l "art82"</w:instrText>
      </w:r>
      <w:r>
        <w:rPr>
          <w:rStyle w:val="61"/>
          <w:sz w:val="22"/>
          <w:szCs w:val="22"/>
        </w:rPr>
        <w:fldChar w:fldCharType="separate"/>
      </w:r>
      <w:r>
        <w:rPr>
          <w:rStyle w:val="61"/>
          <w:sz w:val="22"/>
          <w:szCs w:val="22"/>
        </w:rPr>
        <w:t>art. 82, VIII, da Lei Federal nº 14.133, de 2021</w:t>
      </w:r>
      <w:r>
        <w:rPr>
          <w:rStyle w:val="61"/>
          <w:sz w:val="22"/>
          <w:szCs w:val="22"/>
        </w:rPr>
        <w:fldChar w:fldCharType="end"/>
      </w:r>
      <w:r>
        <w:rPr>
          <w:sz w:val="22"/>
          <w:szCs w:val="22"/>
        </w:rPr>
        <w:t>).</w:t>
      </w:r>
    </w:p>
    <w:p w14:paraId="339A4B1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poderá haver acréscimo(s) no(s) quantitativo(s) registrado(s) na ARP.</w:t>
      </w:r>
    </w:p>
    <w:p w14:paraId="688ED7A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Caberá à </w:t>
      </w:r>
      <w:r>
        <w:rPr>
          <w:color w:val="000000"/>
          <w:sz w:val="22"/>
          <w:szCs w:val="22"/>
        </w:rPr>
        <w:t>Câmara Municipal de Primavera do Leste - MT</w:t>
      </w:r>
      <w:r>
        <w:rPr>
          <w:sz w:val="22"/>
          <w:szCs w:val="22"/>
        </w:rPr>
        <w:t xml:space="preserve"> o gerenciamento e controle da ARP no seu próprio interesse, como também a formalização, gestão e fiscalização de suas próprias contratações, observadas as atribuições e competências indicadas na Minuta da ARP (</w:t>
      </w:r>
      <w:r>
        <w:rPr>
          <w:sz w:val="22"/>
          <w:szCs w:val="22"/>
        </w:rPr>
        <w:fldChar w:fldCharType="begin"/>
      </w:r>
      <w:r>
        <w:rPr>
          <w:sz w:val="22"/>
          <w:szCs w:val="22"/>
        </w:rPr>
        <w:instrText xml:space="preserve"> HYPERLINK \l "_ANEXO_IV_-" \h </w:instrText>
      </w:r>
      <w:r>
        <w:rPr>
          <w:sz w:val="22"/>
          <w:szCs w:val="22"/>
        </w:rPr>
        <w:fldChar w:fldCharType="separate"/>
      </w:r>
      <w:r>
        <w:rPr>
          <w:rStyle w:val="61"/>
          <w:sz w:val="22"/>
          <w:szCs w:val="22"/>
        </w:rPr>
        <w:t>Anexo IV</w:t>
      </w:r>
      <w:r>
        <w:rPr>
          <w:rStyle w:val="61"/>
          <w:sz w:val="22"/>
          <w:szCs w:val="22"/>
        </w:rPr>
        <w:fldChar w:fldCharType="end"/>
      </w:r>
      <w:r>
        <w:rPr>
          <w:sz w:val="22"/>
          <w:szCs w:val="22"/>
        </w:rPr>
        <w:t>).</w:t>
      </w:r>
    </w:p>
    <w:p w14:paraId="77774CA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Particular, titular do Registro de Preços, obriga-se a cumprir integralmente as obrigações contidas na ARP, salvo quando houver cancelamento ou rescisão do registro, submetendo-se às sanções administrativas previstas no item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“38 - SANÇÕES ADMINISTRATIVAS”</w:t>
      </w:r>
      <w:r>
        <w:rPr>
          <w:rStyle w:val="61"/>
          <w:sz w:val="22"/>
          <w:szCs w:val="22"/>
        </w:rPr>
        <w:fldChar w:fldCharType="end"/>
      </w:r>
      <w:r>
        <w:rPr>
          <w:sz w:val="22"/>
          <w:szCs w:val="22"/>
        </w:rPr>
        <w:t xml:space="preserve"> em caso de inadimplência, observado o devido processo legal.</w:t>
      </w:r>
    </w:p>
    <w:p w14:paraId="7CB83E60">
      <w:pPr>
        <w:pStyle w:val="2"/>
        <w:spacing w:before="360" w:after="0"/>
        <w:rPr>
          <w:sz w:val="22"/>
          <w:szCs w:val="22"/>
        </w:rPr>
      </w:pPr>
      <w:bookmarkStart w:id="42" w:name="_Toc144196065"/>
      <w:bookmarkStart w:id="43" w:name="_Toc149517459"/>
      <w:r>
        <w:rPr>
          <w:rStyle w:val="52"/>
          <w:sz w:val="22"/>
          <w:szCs w:val="22"/>
        </w:rPr>
        <w:t>FORMAÇÃO DO CADASTRO DE RESERVA</w:t>
      </w:r>
      <w:bookmarkEnd w:id="42"/>
      <w:bookmarkEnd w:id="43"/>
    </w:p>
    <w:p w14:paraId="122D0DCA">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Após a homologação da licitação, será incluído na ata, na forma de anexo, o registro:</w:t>
      </w:r>
    </w:p>
    <w:p w14:paraId="44FD1F9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dos licitantes </w:t>
      </w:r>
      <w:bookmarkStart w:id="44" w:name="_Hlk132991372"/>
      <w:r>
        <w:rPr>
          <w:sz w:val="22"/>
          <w:szCs w:val="22"/>
        </w:rPr>
        <w:t xml:space="preserve">que </w:t>
      </w:r>
      <w:bookmarkStart w:id="45" w:name="_Hlk132989696"/>
      <w:r>
        <w:rPr>
          <w:sz w:val="22"/>
          <w:szCs w:val="22"/>
        </w:rPr>
        <w:t>aceitarem cotar o objeto com preço igual ao do adjudicatári</w:t>
      </w:r>
      <w:bookmarkEnd w:id="44"/>
      <w:r>
        <w:rPr>
          <w:sz w:val="22"/>
          <w:szCs w:val="22"/>
        </w:rPr>
        <w:t>o</w:t>
      </w:r>
      <w:bookmarkEnd w:id="45"/>
      <w:r>
        <w:rPr>
          <w:sz w:val="22"/>
          <w:szCs w:val="22"/>
        </w:rPr>
        <w:t xml:space="preserve">, observada a classificação na licitação; e </w:t>
      </w:r>
    </w:p>
    <w:p w14:paraId="41484ED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dos licitantes que mantiverem sua proposta original</w:t>
      </w:r>
    </w:p>
    <w:p w14:paraId="021B3BD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Será respeitada, nas contratações, a ordem de classificação dos licitantes ou fornecedores registrados na ata.</w:t>
      </w:r>
    </w:p>
    <w:p w14:paraId="7EB3D64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apresentação de novas propostas na forma deste item não prejudicará o resultado do certame em relação ao licitante mais bem classificado.</w:t>
      </w:r>
    </w:p>
    <w:p w14:paraId="01BDF64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7AAB9FF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 A habilitação dos licitantes que comporão o cadastro de reserva será efetuada quando houver necessidade de contratação dos licitantes remanescentes, nas seguintes hipóteses:</w:t>
      </w:r>
    </w:p>
    <w:p w14:paraId="1E66FD5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o licitante vencedor não assinar a ata de registro de preços no prazo e nas condições estabelecidos no edital; ou</w:t>
      </w:r>
    </w:p>
    <w:p w14:paraId="2D0F38A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houver o cancelamento do registro do fornecedor ou do registro de preços.</w:t>
      </w:r>
    </w:p>
    <w:p w14:paraId="030E889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C500E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convocar os licitantes que mantiveram sua proposta original para negociação, na ordem de classificação, com vistas à obtenção de preço melhor, mesmo que acima do preço do adjudicatário; ou</w:t>
      </w:r>
    </w:p>
    <w:p w14:paraId="2C2ECA8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adjudicar e firmar o contrato nas condições ofertadas pelos licitantes remanescentes, observada a ordem de classificação, quando frustrada a negociação de melhor condição.</w:t>
      </w:r>
    </w:p>
    <w:p w14:paraId="4A44A614">
      <w:pPr>
        <w:pStyle w:val="2"/>
        <w:spacing w:before="360" w:after="0"/>
        <w:rPr>
          <w:sz w:val="22"/>
          <w:szCs w:val="22"/>
        </w:rPr>
      </w:pPr>
      <w:bookmarkStart w:id="46" w:name="_Toc149517460"/>
      <w:r>
        <w:rPr>
          <w:rStyle w:val="52"/>
          <w:sz w:val="22"/>
          <w:szCs w:val="22"/>
        </w:rPr>
        <w:t>CONTRATAÇÃO</w:t>
      </w:r>
      <w:bookmarkEnd w:id="46"/>
      <w:r>
        <w:rPr>
          <w:rStyle w:val="52"/>
          <w:sz w:val="22"/>
          <w:szCs w:val="22"/>
        </w:rPr>
        <w:t> </w:t>
      </w:r>
    </w:p>
    <w:p w14:paraId="226554B7">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Previamente à contratação serão consultados os documentos de habilitação da empresa beneficiária da ARP, que deverão ser mantidas pelo licitante durante</w:t>
      </w:r>
      <w:r>
        <w:rPr>
          <w:color w:val="000000"/>
          <w:sz w:val="22"/>
          <w:szCs w:val="22"/>
        </w:rPr>
        <w:br w:type="textWrapping"/>
      </w:r>
      <w:r>
        <w:rPr>
          <w:color w:val="000000"/>
          <w:sz w:val="22"/>
          <w:szCs w:val="22"/>
        </w:rPr>
        <w:t>a vigência do contrato ou da ata de registro de preços, assim como serão verificadas as ocorrências impeditivas indiretas.</w:t>
      </w:r>
    </w:p>
    <w:p w14:paraId="009D9C1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hipótese de irregularidades na habilitação, a empresa beneficiária da ARP deverá regularizar a sua situação no prazo de até 05 (cinco) dias úteis, sob</w:t>
      </w:r>
      <w:r>
        <w:rPr>
          <w:color w:val="000000"/>
          <w:sz w:val="22"/>
          <w:szCs w:val="22"/>
        </w:rPr>
        <w:br w:type="textWrapping"/>
      </w:r>
      <w:r>
        <w:rPr>
          <w:color w:val="000000"/>
          <w:sz w:val="22"/>
          <w:szCs w:val="22"/>
        </w:rPr>
        <w:t xml:space="preserve">pena de aplicação das penalidades previstas na cláusula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“41 - SANÇÕES ADMINISTRATIVAS”</w:t>
      </w:r>
      <w:r>
        <w:rPr>
          <w:rStyle w:val="61"/>
          <w:sz w:val="22"/>
          <w:szCs w:val="22"/>
        </w:rPr>
        <w:fldChar w:fldCharType="end"/>
      </w:r>
      <w:r>
        <w:rPr>
          <w:color w:val="000000"/>
          <w:sz w:val="22"/>
          <w:szCs w:val="22"/>
        </w:rPr>
        <w:t>.</w:t>
      </w:r>
    </w:p>
    <w:p w14:paraId="5B31D23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rPr>
        <w:t xml:space="preserve">Como </w:t>
      </w:r>
      <w:r>
        <w:rPr>
          <w:sz w:val="22"/>
          <w:szCs w:val="22"/>
          <w:shd w:val="clear" w:fill="auto"/>
        </w:rPr>
        <w:t>condição</w:t>
      </w:r>
      <w:r>
        <w:rPr>
          <w:color w:val="000000"/>
          <w:sz w:val="22"/>
          <w:szCs w:val="22"/>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14:paraId="007A060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"art95"</w:instrText>
      </w:r>
      <w:r>
        <w:rPr>
          <w:rStyle w:val="61"/>
          <w:sz w:val="22"/>
          <w:szCs w:val="22"/>
        </w:rPr>
        <w:fldChar w:fldCharType="separate"/>
      </w:r>
      <w:r>
        <w:rPr>
          <w:rStyle w:val="61"/>
          <w:sz w:val="22"/>
          <w:szCs w:val="22"/>
        </w:rPr>
        <w:t>art. 95, da Lei Federal nº 14.133, de 2021</w:t>
      </w:r>
      <w:r>
        <w:rPr>
          <w:rStyle w:val="61"/>
          <w:sz w:val="22"/>
          <w:szCs w:val="22"/>
        </w:rPr>
        <w:fldChar w:fldCharType="end"/>
      </w:r>
      <w:r>
        <w:rPr>
          <w:sz w:val="22"/>
          <w:szCs w:val="22"/>
        </w:rPr>
        <w:t xml:space="preserve">, o Instrumento de Contrato a ser assinado será conforme minuta constante no </w:t>
      </w:r>
      <w:r>
        <w:rPr>
          <w:sz w:val="22"/>
          <w:szCs w:val="22"/>
        </w:rPr>
        <w:fldChar w:fldCharType="begin"/>
      </w:r>
      <w:r>
        <w:rPr>
          <w:sz w:val="22"/>
          <w:szCs w:val="22"/>
        </w:rPr>
        <w:instrText xml:space="preserve"> HYPERLINK \l "_ANEXO_VII_-" \h </w:instrText>
      </w:r>
      <w:r>
        <w:rPr>
          <w:sz w:val="22"/>
          <w:szCs w:val="22"/>
        </w:rPr>
        <w:fldChar w:fldCharType="separate"/>
      </w:r>
      <w:r>
        <w:rPr>
          <w:rStyle w:val="61"/>
          <w:sz w:val="22"/>
          <w:szCs w:val="22"/>
        </w:rPr>
        <w:t>Anexo VII</w:t>
      </w:r>
      <w:r>
        <w:rPr>
          <w:rStyle w:val="61"/>
          <w:sz w:val="22"/>
          <w:szCs w:val="22"/>
        </w:rPr>
        <w:fldChar w:fldCharType="end"/>
      </w:r>
      <w:r>
        <w:rPr>
          <w:sz w:val="22"/>
          <w:szCs w:val="22"/>
        </w:rPr>
        <w:t>.</w:t>
      </w:r>
    </w:p>
    <w:p w14:paraId="62B0201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e/ou IX, da Lei Federal nº 14.133, de 2021</w:t>
      </w:r>
      <w:r>
        <w:rPr>
          <w:rStyle w:val="61"/>
          <w:sz w:val="22"/>
          <w:szCs w:val="22"/>
        </w:rPr>
        <w:fldChar w:fldCharType="end"/>
      </w:r>
      <w:r>
        <w:rPr>
          <w:color w:val="000000"/>
          <w:sz w:val="22"/>
          <w:szCs w:val="22"/>
        </w:rPr>
        <w:t>.</w:t>
      </w:r>
    </w:p>
    <w:p w14:paraId="3A732B4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da Lei Federal nº 14.133, de 2021</w:t>
      </w:r>
      <w:r>
        <w:rPr>
          <w:rStyle w:val="61"/>
          <w:sz w:val="22"/>
          <w:szCs w:val="22"/>
        </w:rPr>
        <w:fldChar w:fldCharType="end"/>
      </w:r>
      <w:r>
        <w:rPr>
          <w:color w:val="000000"/>
          <w:sz w:val="22"/>
          <w:szCs w:val="22"/>
        </w:rPr>
        <w:t>.</w:t>
      </w:r>
    </w:p>
    <w:p w14:paraId="2CA3434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Na hipótese de a licitante vencedora não assinar a Ata de Registro de Preços ou o o Instrumento de Contrato no prazo estabelecido, a Administração </w:t>
      </w:r>
      <w:r>
        <w:rPr>
          <w:sz w:val="22"/>
          <w:szCs w:val="22"/>
        </w:rPr>
        <w:t>poderá</w:t>
      </w:r>
      <w:r>
        <w:rPr>
          <w:color w:val="000000"/>
          <w:sz w:val="22"/>
          <w:szCs w:val="22"/>
        </w:rPr>
        <w:t xml:space="preserve"> convocar as licitantes remanescentes, na ordem de classificação para a celebração da contratação, nas mesmas condições propostas pela licitante vencedora, sem prejuízo da aplicação das sanções neste Edital, na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color w:val="000000"/>
          <w:sz w:val="22"/>
          <w:szCs w:val="22"/>
        </w:rPr>
        <w:t xml:space="preserve"> e em outras legislações aplicáveis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2º, da Lei Federal nº 14.133, de 2021</w:t>
      </w:r>
      <w:r>
        <w:rPr>
          <w:rStyle w:val="61"/>
          <w:sz w:val="22"/>
          <w:szCs w:val="22"/>
        </w:rPr>
        <w:fldChar w:fldCharType="end"/>
      </w:r>
      <w:r>
        <w:rPr>
          <w:color w:val="000000"/>
          <w:sz w:val="22"/>
          <w:szCs w:val="22"/>
        </w:rPr>
        <w:t>).</w:t>
      </w:r>
    </w:p>
    <w:p w14:paraId="51D6FF7B">
      <w:pPr>
        <w:pStyle w:val="49"/>
        <w:numPr>
          <w:ilvl w:val="1"/>
          <w:numId w:val="1"/>
        </w:numPr>
        <w:tabs>
          <w:tab w:val="left" w:pos="1134"/>
        </w:tabs>
        <w:spacing w:before="0" w:beforeAutospacing="0" w:after="120" w:afterAutospacing="0"/>
        <w:ind w:left="-87" w:leftChars="0" w:firstLine="567" w:firstLineChars="0"/>
        <w:jc w:val="both"/>
        <w:textAlignment w:val="baseline"/>
        <w:rPr>
          <w:sz w:val="22"/>
          <w:szCs w:val="22"/>
        </w:rPr>
      </w:pPr>
      <w:r>
        <w:rPr>
          <w:color w:val="000000"/>
          <w:sz w:val="22"/>
          <w:szCs w:val="22"/>
        </w:rPr>
        <w:t xml:space="preserve">Caso nenhuma licitante aceite a contratação nos termos do item anterior, a Administração, </w:t>
      </w:r>
      <w:r>
        <w:rPr>
          <w:sz w:val="22"/>
          <w:szCs w:val="22"/>
        </w:rPr>
        <w:t>observados</w:t>
      </w:r>
      <w:r>
        <w:rPr>
          <w:color w:val="000000"/>
          <w:sz w:val="22"/>
          <w:szCs w:val="22"/>
        </w:rPr>
        <w:t xml:space="preserve"> o valor estimado e sua eventual atualização, se for o caso, poderá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4º, da Lei Federal nº 14.133, de 2021</w:t>
      </w:r>
      <w:r>
        <w:rPr>
          <w:rStyle w:val="61"/>
          <w:sz w:val="22"/>
          <w:szCs w:val="22"/>
        </w:rPr>
        <w:fldChar w:fldCharType="end"/>
      </w:r>
      <w:r>
        <w:rPr>
          <w:color w:val="000000"/>
          <w:sz w:val="22"/>
          <w:szCs w:val="22"/>
        </w:rPr>
        <w:t>):</w:t>
      </w:r>
    </w:p>
    <w:p w14:paraId="6034E582">
      <w:pPr>
        <w:pStyle w:val="49"/>
        <w:numPr>
          <w:ilvl w:val="2"/>
          <w:numId w:val="12"/>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convocar as licitantes remanescentes, na ordem de classificação, para negociação, com vista à obtenção de melhor preço, mesmo que acima do ofertado pela adjudicatária;</w:t>
      </w:r>
    </w:p>
    <w:p w14:paraId="656C5BBF">
      <w:pPr>
        <w:pStyle w:val="49"/>
        <w:numPr>
          <w:ilvl w:val="2"/>
          <w:numId w:val="12"/>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adjudicar e celebrar a contratação nas condições ofertadas pelas licitantes remanescentes, na ordem de classificação, quando frustrada a negociação de melhor condição.</w:t>
      </w:r>
    </w:p>
    <w:p w14:paraId="7EE2BA46">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w:t>
      </w:r>
      <w:r>
        <w:rPr>
          <w:sz w:val="22"/>
          <w:szCs w:val="22"/>
        </w:rPr>
        <w:t>recusa</w:t>
      </w:r>
      <w:r>
        <w:rPr>
          <w:color w:val="000000"/>
          <w:sz w:val="22"/>
          <w:szCs w:val="22"/>
        </w:rPr>
        <w:t xml:space="preserve"> injustificada da adjudicatária em assinar a Ata de Registro de Preços no prazo estabelecido caracterizará o descumprimento total da obrigação assumida, sujeitando-se às penalidades previstas neste Edital e em lei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§5º e 6º, da Lei Federal nº 14.133, de 2021</w:t>
      </w:r>
      <w:r>
        <w:rPr>
          <w:rStyle w:val="61"/>
          <w:sz w:val="22"/>
          <w:szCs w:val="22"/>
        </w:rPr>
        <w:fldChar w:fldCharType="end"/>
      </w:r>
      <w:r>
        <w:rPr>
          <w:color w:val="000000"/>
          <w:sz w:val="22"/>
          <w:szCs w:val="22"/>
        </w:rPr>
        <w:t>).</w:t>
      </w:r>
    </w:p>
    <w:p w14:paraId="747E400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Decorrido</w:t>
      </w:r>
      <w:r>
        <w:rPr>
          <w:color w:val="000000"/>
          <w:sz w:val="22"/>
          <w:szCs w:val="22"/>
        </w:rPr>
        <w:t xml:space="preserve"> o prazo de validade da proposta sem convocação para a assinatura da ARP, ficarão as licitantes liberadas do compromisso assumido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14:paraId="2375D35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Será</w:t>
      </w:r>
      <w:r>
        <w:rPr>
          <w:color w:val="000000"/>
          <w:sz w:val="22"/>
          <w:szCs w:val="22"/>
        </w:rPr>
        <w:t xml:space="preserve"> facultada à Administração a convocação das demais licitantes classificadas para a contratação de remanescente de fornecimento em consequência de rescisão contratual, observados os mesmos critérios definidos neste Edital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§7º, da Lei Federal nº 14.133, de 2021</w:t>
      </w:r>
      <w:r>
        <w:rPr>
          <w:rStyle w:val="61"/>
          <w:sz w:val="22"/>
          <w:szCs w:val="22"/>
        </w:rPr>
        <w:fldChar w:fldCharType="end"/>
      </w:r>
      <w:r>
        <w:rPr>
          <w:color w:val="000000"/>
          <w:sz w:val="22"/>
          <w:szCs w:val="22"/>
        </w:rPr>
        <w:t>).</w:t>
      </w:r>
    </w:p>
    <w:p w14:paraId="51D9D5AE">
      <w:pPr>
        <w:pStyle w:val="2"/>
        <w:spacing w:before="360" w:after="0"/>
        <w:rPr>
          <w:sz w:val="22"/>
          <w:szCs w:val="22"/>
        </w:rPr>
      </w:pPr>
      <w:bookmarkStart w:id="47" w:name="_SANÇÕES_ADMINISTRATIVAS"/>
      <w:bookmarkEnd w:id="47"/>
      <w:bookmarkStart w:id="48" w:name="_Toc149517461"/>
      <w:r>
        <w:rPr>
          <w:rStyle w:val="52"/>
          <w:sz w:val="22"/>
          <w:szCs w:val="22"/>
        </w:rPr>
        <w:t>SANÇÕES ADMINISTRATIVAS DE LICITAÇÃO</w:t>
      </w:r>
      <w:bookmarkEnd w:id="48"/>
    </w:p>
    <w:p w14:paraId="0418E399">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w:t>
      </w:r>
      <w:r>
        <w:rPr>
          <w:color w:val="000000" w:themeColor="text1"/>
          <w:sz w:val="22"/>
          <w:szCs w:val="22"/>
          <w14:textFill>
            <w14:solidFill>
              <w14:schemeClr w14:val="tx1"/>
            </w14:solidFill>
          </w14:textFill>
        </w:rPr>
        <w:t>caso</w:t>
      </w:r>
      <w:r>
        <w:rPr>
          <w:color w:val="000000"/>
          <w:sz w:val="22"/>
          <w:szCs w:val="22"/>
        </w:rPr>
        <w:t xml:space="preserve"> de a licitante ou a contratada incorrer em uma ou mais condutas tipificadas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14:paraId="5AD8C94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w:t>
      </w:r>
      <w:r>
        <w:rPr>
          <w:color w:val="000000" w:themeColor="text1"/>
          <w:sz w:val="22"/>
          <w:szCs w:val="22"/>
          <w14:textFill>
            <w14:solidFill>
              <w14:schemeClr w14:val="tx1"/>
            </w14:solidFill>
          </w14:textFill>
        </w:rPr>
        <w:t>recusa</w:t>
      </w:r>
      <w:r>
        <w:rPr>
          <w:color w:val="000000"/>
          <w:sz w:val="22"/>
          <w:szCs w:val="22"/>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14:paraId="1839805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aplicação das sanções serão considerados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14:paraId="05E403F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49" w:name="art156§1i"/>
      <w:bookmarkEnd w:id="49"/>
      <w:r>
        <w:rPr>
          <w:color w:val="000000"/>
          <w:sz w:val="22"/>
          <w:szCs w:val="22"/>
        </w:rPr>
        <w:t>a natureza e a gravidade da infração cometida;</w:t>
      </w:r>
    </w:p>
    <w:p w14:paraId="1DBD988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0" w:name="art156§1ii"/>
      <w:bookmarkEnd w:id="50"/>
      <w:r>
        <w:rPr>
          <w:color w:val="000000"/>
          <w:sz w:val="22"/>
          <w:szCs w:val="22"/>
        </w:rPr>
        <w:t>as peculiaridades do caso concreto;</w:t>
      </w:r>
    </w:p>
    <w:p w14:paraId="0298146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1" w:name="art156§1iii"/>
      <w:bookmarkEnd w:id="51"/>
      <w:r>
        <w:rPr>
          <w:color w:val="000000"/>
          <w:sz w:val="22"/>
          <w:szCs w:val="22"/>
        </w:rPr>
        <w:t>as circunstâncias agravantes ou atenuantes;</w:t>
      </w:r>
    </w:p>
    <w:p w14:paraId="74274A1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2" w:name="art156§1iv"/>
      <w:bookmarkEnd w:id="52"/>
      <w:r>
        <w:rPr>
          <w:color w:val="000000"/>
          <w:sz w:val="22"/>
          <w:szCs w:val="22"/>
        </w:rPr>
        <w:t>os danos que dela provierem para a Administração Pública;</w:t>
      </w:r>
    </w:p>
    <w:p w14:paraId="121B4B3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3" w:name="art156§1v"/>
      <w:bookmarkEnd w:id="53"/>
      <w:r>
        <w:rPr>
          <w:color w:val="000000"/>
          <w:sz w:val="22"/>
          <w:szCs w:val="22"/>
        </w:rPr>
        <w:t>a implantação ou o aperfeiçoamento de programa de integridade, conforme normas e orientações dos órgãos de controle.</w:t>
      </w:r>
    </w:p>
    <w:p w14:paraId="0276BA9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14:paraId="40C361B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sz w:val="22"/>
          <w:szCs w:val="22"/>
        </w:rPr>
        <w:t>.</w:t>
      </w:r>
    </w:p>
    <w:p w14:paraId="193EA45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sanções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14:paraId="2554F3D6">
      <w:pPr>
        <w:pStyle w:val="2"/>
        <w:spacing w:before="360" w:after="0"/>
        <w:rPr>
          <w:sz w:val="22"/>
          <w:szCs w:val="22"/>
        </w:rPr>
      </w:pPr>
      <w:bookmarkStart w:id="54" w:name="_Toc149517462"/>
      <w:r>
        <w:rPr>
          <w:rStyle w:val="52"/>
          <w:sz w:val="22"/>
          <w:szCs w:val="22"/>
        </w:rPr>
        <w:t>PROTEÇÃO DOS DADOS NA LICITAÇÃO</w:t>
      </w:r>
      <w:bookmarkEnd w:id="54"/>
    </w:p>
    <w:p w14:paraId="067324B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Ao participar da presente licitação, e em atenção ao que dispõe 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(Lei Geral de Proteção de Dados - LGPD), as licitantes ficam cientes e fornecem consentimento para que 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com base no previsto no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II e III</w:t>
      </w:r>
      <w:r>
        <w:rPr>
          <w:rStyle w:val="61"/>
          <w:sz w:val="22"/>
          <w:szCs w:val="22"/>
        </w:rPr>
        <w:fldChar w:fldCharType="end"/>
      </w:r>
      <w:r>
        <w:rPr>
          <w:rStyle w:val="52"/>
          <w:color w:val="000000" w:themeColor="text1"/>
          <w:sz w:val="22"/>
          <w:szCs w:val="22"/>
          <w14:textFill>
            <w14:solidFill>
              <w14:schemeClr w14:val="tx1"/>
            </w14:solidFill>
          </w14:textFill>
        </w:rPr>
        <w:t xml:space="preserve">, c/c o </w:t>
      </w:r>
      <w:r>
        <w:rPr>
          <w:sz w:val="22"/>
          <w:szCs w:val="22"/>
        </w:rPr>
        <w:fldChar w:fldCharType="begin"/>
      </w:r>
      <w:r>
        <w:rPr>
          <w:rStyle w:val="61"/>
          <w:sz w:val="22"/>
          <w:szCs w:val="22"/>
        </w:rPr>
        <w:instrText xml:space="preserve"> HYPERLINK "https://www.planalto.gov.br/ccivil_03/_ato2015-2018/2018/lei/l13709.htm" \l "art23"</w:instrText>
      </w:r>
      <w:r>
        <w:rPr>
          <w:rStyle w:val="61"/>
          <w:sz w:val="22"/>
          <w:szCs w:val="22"/>
        </w:rPr>
        <w:fldChar w:fldCharType="separate"/>
      </w:r>
      <w:r>
        <w:rPr>
          <w:rStyle w:val="61"/>
          <w:sz w:val="22"/>
          <w:szCs w:val="22"/>
        </w:rPr>
        <w:t>art. 23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irá realizar o </w:t>
      </w:r>
      <w:r>
        <w:rPr>
          <w:sz w:val="22"/>
          <w:szCs w:val="22"/>
        </w:rPr>
        <w:t>tratamento</w:t>
      </w:r>
      <w:r>
        <w:rPr>
          <w:rStyle w:val="52"/>
          <w:color w:val="000000" w:themeColor="text1"/>
          <w:sz w:val="22"/>
          <w:szCs w:val="22"/>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2"/>
          <w:szCs w:val="22"/>
        </w:rP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2"/>
          <w:szCs w:val="22"/>
        </w:rP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inciso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w:t>
      </w:r>
    </w:p>
    <w:p w14:paraId="0291CD1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A(s) licitante(s) </w:t>
      </w:r>
      <w:r>
        <w:rPr>
          <w:sz w:val="22"/>
          <w:szCs w:val="22"/>
        </w:rPr>
        <w:t xml:space="preserve">e a </w:t>
      </w:r>
      <w:r>
        <w:rPr>
          <w:color w:val="000000"/>
          <w:sz w:val="22"/>
          <w:szCs w:val="22"/>
        </w:rPr>
        <w:t>Câmara Municipal de Primavera do Leste - MT</w:t>
      </w:r>
      <w:r>
        <w:rPr>
          <w:sz w:val="22"/>
          <w:szCs w:val="22"/>
        </w:rPr>
        <w:t xml:space="preserve"> </w:t>
      </w:r>
      <w:r>
        <w:rPr>
          <w:rStyle w:val="52"/>
          <w:color w:val="000000" w:themeColor="text1"/>
          <w:sz w:val="22"/>
          <w:szCs w:val="22"/>
          <w14:textFill>
            <w14:solidFill>
              <w14:schemeClr w14:val="tx1"/>
            </w14:solidFill>
          </w14:textFill>
        </w:rPr>
        <w:t xml:space="preserve">obrigam-se a cumprir 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14:paraId="4E2FDB2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2"/>
          <w:szCs w:val="22"/>
        </w:rPr>
        <w:fldChar w:fldCharType="begin"/>
      </w:r>
      <w:r>
        <w:rPr>
          <w:rStyle w:val="61"/>
          <w:sz w:val="22"/>
          <w:szCs w:val="22"/>
        </w:rPr>
        <w:instrText xml:space="preserve"> HYPERLINK "https://www.planalto.gov.br/ccivil_03/_ato2015-2018/2018/lei/l13709.htm" \l "art48"</w:instrText>
      </w:r>
      <w:r>
        <w:rPr>
          <w:rStyle w:val="61"/>
          <w:sz w:val="22"/>
          <w:szCs w:val="22"/>
        </w:rPr>
        <w:fldChar w:fldCharType="separate"/>
      </w:r>
      <w:r>
        <w:rPr>
          <w:rStyle w:val="61"/>
          <w:sz w:val="22"/>
          <w:szCs w:val="22"/>
        </w:rPr>
        <w:t>art. 48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w:t>
      </w:r>
    </w:p>
    <w:p w14:paraId="58BA474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Para a execução do objeto, em observância ao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(LGPD), na </w:t>
      </w:r>
      <w:r>
        <w:rPr>
          <w:sz w:val="22"/>
          <w:szCs w:val="22"/>
        </w:rPr>
        <w:fldChar w:fldCharType="begin"/>
      </w:r>
      <w:r>
        <w:rPr>
          <w:sz w:val="22"/>
          <w:szCs w:val="22"/>
        </w:rPr>
        <w:instrText xml:space="preserve"> HYPERLINK "https://www.planalto.gov.br/ccivil_03/leis/lcp/lcp101.htm" \h </w:instrText>
      </w:r>
      <w:r>
        <w:rPr>
          <w:sz w:val="22"/>
          <w:szCs w:val="22"/>
        </w:rPr>
        <w:fldChar w:fldCharType="separate"/>
      </w:r>
      <w:r>
        <w:rPr>
          <w:rStyle w:val="61"/>
          <w:sz w:val="22"/>
          <w:szCs w:val="22"/>
        </w:rPr>
        <w:t>Lei Complementar Federal nº 101, de 2000</w:t>
      </w:r>
      <w:r>
        <w:rPr>
          <w:rStyle w:val="61"/>
          <w:sz w:val="22"/>
          <w:szCs w:val="22"/>
        </w:rPr>
        <w:fldChar w:fldCharType="end"/>
      </w:r>
      <w:r>
        <w:rPr>
          <w:rStyle w:val="52"/>
          <w:color w:val="000000" w:themeColor="text1"/>
          <w:sz w:val="22"/>
          <w:szCs w:val="22"/>
          <w14:textFill>
            <w14:solidFill>
              <w14:schemeClr w14:val="tx1"/>
            </w14:solidFill>
          </w14:textFill>
        </w:rPr>
        <w:t xml:space="preserve"> (Lei de Responsabilidade Fiscal) e na </w:t>
      </w: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1"/>
          <w:sz w:val="22"/>
          <w:szCs w:val="22"/>
        </w:rPr>
        <w:t>Lei Federal nº 12.527, de 2011</w:t>
      </w:r>
      <w:r>
        <w:rPr>
          <w:rStyle w:val="61"/>
          <w:sz w:val="22"/>
          <w:szCs w:val="22"/>
        </w:rPr>
        <w:fldChar w:fldCharType="end"/>
      </w:r>
      <w:r>
        <w:rPr>
          <w:rStyle w:val="52"/>
          <w:color w:val="000000" w:themeColor="text1"/>
          <w:sz w:val="22"/>
          <w:szCs w:val="22"/>
          <w14:textFill>
            <w14:solidFill>
              <w14:schemeClr w14:val="tx1"/>
            </w14:solidFill>
          </w14:textFill>
        </w:rPr>
        <w:t xml:space="preserve"> (Lei de Acesso à Informação) e ao princípio da transparência, a(s) Licitante(s) e seus representantes ficam cientes do acesso pela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14:paraId="3103795B">
      <w:pPr>
        <w:pStyle w:val="49"/>
        <w:numPr>
          <w:ilvl w:val="0"/>
          <w:numId w:val="0"/>
        </w:numPr>
        <w:tabs>
          <w:tab w:val="left" w:pos="1134"/>
        </w:tabs>
        <w:spacing w:before="0" w:beforeAutospacing="0" w:after="0" w:afterAutospacing="0"/>
        <w:ind w:left="480" w:leftChars="0"/>
        <w:jc w:val="both"/>
        <w:textAlignment w:val="baseline"/>
        <w:rPr>
          <w:rStyle w:val="52"/>
          <w:color w:val="000000" w:themeColor="text1"/>
          <w:sz w:val="22"/>
          <w:szCs w:val="22"/>
          <w14:textFill>
            <w14:solidFill>
              <w14:schemeClr w14:val="tx1"/>
            </w14:solidFill>
          </w14:textFill>
        </w:rPr>
      </w:pPr>
    </w:p>
    <w:p w14:paraId="70A88966">
      <w:pPr>
        <w:pStyle w:val="49"/>
        <w:numPr>
          <w:ilvl w:val="0"/>
          <w:numId w:val="0"/>
        </w:numPr>
        <w:tabs>
          <w:tab w:val="left" w:pos="1134"/>
        </w:tabs>
        <w:spacing w:before="0" w:beforeAutospacing="0" w:after="0" w:afterAutospacing="0"/>
        <w:jc w:val="both"/>
        <w:textAlignment w:val="baseline"/>
        <w:rPr>
          <w:rStyle w:val="52"/>
          <w:color w:val="000000" w:themeColor="text1"/>
          <w:sz w:val="22"/>
          <w:szCs w:val="22"/>
          <w14:textFill>
            <w14:solidFill>
              <w14:schemeClr w14:val="tx1"/>
            </w14:solidFill>
          </w14:textFill>
        </w:rPr>
      </w:pPr>
    </w:p>
    <w:p w14:paraId="6D87ABAA">
      <w:pPr>
        <w:pStyle w:val="49"/>
        <w:numPr>
          <w:ilvl w:val="0"/>
          <w:numId w:val="0"/>
        </w:numPr>
        <w:tabs>
          <w:tab w:val="left" w:pos="1134"/>
        </w:tabs>
        <w:spacing w:before="0" w:beforeAutospacing="0" w:after="0" w:afterAutospacing="0"/>
        <w:jc w:val="both"/>
        <w:textAlignment w:val="baseline"/>
        <w:rPr>
          <w:rStyle w:val="52"/>
          <w:color w:val="000000" w:themeColor="text1"/>
          <w:sz w:val="22"/>
          <w:szCs w:val="22"/>
          <w14:textFill>
            <w14:solidFill>
              <w14:schemeClr w14:val="tx1"/>
            </w14:solidFill>
          </w14:textFill>
        </w:rPr>
      </w:pPr>
    </w:p>
    <w:p w14:paraId="4B983697">
      <w:pPr>
        <w:pStyle w:val="2"/>
        <w:spacing w:before="360" w:after="0"/>
        <w:rPr>
          <w:sz w:val="22"/>
          <w:szCs w:val="22"/>
        </w:rPr>
      </w:pPr>
      <w:bookmarkStart w:id="55" w:name="_Toc144196074"/>
      <w:bookmarkStart w:id="56" w:name="_Toc149517463"/>
      <w:r>
        <w:rPr>
          <w:rStyle w:val="52"/>
          <w:sz w:val="22"/>
          <w:szCs w:val="22"/>
        </w:rPr>
        <w:t>CRÉDITOS ORÇAMENTÁRIOS </w:t>
      </w:r>
      <w:bookmarkEnd w:id="55"/>
      <w:bookmarkEnd w:id="56"/>
      <w:r>
        <w:rPr>
          <w:rStyle w:val="52"/>
          <w:sz w:val="22"/>
          <w:szCs w:val="22"/>
        </w:rPr>
        <w:t> </w:t>
      </w:r>
    </w:p>
    <w:p w14:paraId="45D18AA4">
      <w:pPr>
        <w:pStyle w:val="49"/>
        <w:numPr>
          <w:ilvl w:val="1"/>
          <w:numId w:val="1"/>
        </w:numPr>
        <w:tabs>
          <w:tab w:val="left" w:pos="1134"/>
        </w:tabs>
        <w:spacing w:before="120" w:beforeAutospacing="0" w:after="0" w:afterAutospacing="0"/>
        <w:ind w:left="-87" w:leftChars="0" w:firstLine="567" w:firstLineChars="0"/>
        <w:jc w:val="both"/>
        <w:textAlignment w:val="baseline"/>
        <w:rPr>
          <w:sz w:val="24"/>
          <w:szCs w:val="24"/>
        </w:rPr>
      </w:pPr>
      <w:r>
        <w:rPr>
          <w:rFonts w:ascii="Times New Roman" w:hAnsi="Times New Roman" w:cs="Arial"/>
          <w:sz w:val="22"/>
          <w:szCs w:val="22"/>
        </w:rPr>
        <w:t>As despesas oriundas da presente aquisição correrão por conta de recursos próprios específicos consignados no orçamento da Câmara Municipal de Primavera do Leste nas dotações orçamentárias relacionadas abaixo:</w:t>
      </w:r>
    </w:p>
    <w:p w14:paraId="41D841DC">
      <w:pPr>
        <w:spacing w:line="240" w:lineRule="auto"/>
        <w:jc w:val="both"/>
        <w:rPr>
          <w:rFonts w:eastAsia="Arial" w:cs="Times New Roman"/>
          <w:sz w:val="24"/>
          <w:szCs w:val="24"/>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7E155490">
        <w:tblPrEx>
          <w:tblCellMar>
            <w:top w:w="55" w:type="dxa"/>
            <w:left w:w="55" w:type="dxa"/>
            <w:bottom w:w="55" w:type="dxa"/>
            <w:right w:w="55" w:type="dxa"/>
          </w:tblCellMar>
        </w:tblPrEx>
        <w:tc>
          <w:tcPr>
            <w:tcW w:w="2160" w:type="dxa"/>
            <w:tcBorders>
              <w:top w:val="single" w:color="000000" w:sz="4" w:space="0"/>
              <w:left w:val="single" w:color="000000" w:sz="4" w:space="0"/>
              <w:bottom w:val="single" w:color="000000" w:sz="4" w:space="0"/>
            </w:tcBorders>
            <w:shd w:val="clear" w:color="auto" w:fill="auto"/>
            <w:noWrap w:val="0"/>
            <w:vAlign w:val="top"/>
          </w:tcPr>
          <w:p w14:paraId="4893D651">
            <w:pPr>
              <w:pStyle w:val="217"/>
              <w:spacing w:line="360" w:lineRule="auto"/>
              <w:rPr>
                <w:rFonts w:cs="Times New Roman"/>
                <w:sz w:val="24"/>
                <w:szCs w:val="24"/>
              </w:rPr>
            </w:pPr>
            <w:r>
              <w:rPr>
                <w:rFonts w:cs="Times New Roman"/>
                <w:sz w:val="24"/>
                <w:szCs w:val="24"/>
              </w:rPr>
              <w:t>Órgão</w:t>
            </w:r>
          </w:p>
        </w:tc>
        <w:tc>
          <w:tcPr>
            <w:tcW w:w="2657" w:type="dxa"/>
            <w:tcBorders>
              <w:top w:val="single" w:color="000000" w:sz="4" w:space="0"/>
              <w:left w:val="single" w:color="000000" w:sz="4" w:space="0"/>
              <w:bottom w:val="single" w:color="000000" w:sz="4" w:space="0"/>
            </w:tcBorders>
            <w:shd w:val="clear" w:color="auto" w:fill="auto"/>
            <w:noWrap w:val="0"/>
            <w:vAlign w:val="top"/>
          </w:tcPr>
          <w:p w14:paraId="6AE0E534">
            <w:pPr>
              <w:pStyle w:val="217"/>
              <w:spacing w:line="360" w:lineRule="auto"/>
              <w:rPr>
                <w:rFonts w:cs="Times New Roman"/>
                <w:sz w:val="24"/>
                <w:szCs w:val="24"/>
              </w:rPr>
            </w:pPr>
            <w:r>
              <w:rPr>
                <w:rFonts w:cs="Times New Roman"/>
                <w:sz w:val="24"/>
                <w:szCs w:val="24"/>
              </w:rPr>
              <w:t>01</w:t>
            </w:r>
          </w:p>
        </w:tc>
        <w:tc>
          <w:tcPr>
            <w:tcW w:w="425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BFC6855">
            <w:pPr>
              <w:pStyle w:val="217"/>
              <w:spacing w:line="360" w:lineRule="auto"/>
              <w:rPr>
                <w:sz w:val="24"/>
                <w:szCs w:val="24"/>
              </w:rPr>
            </w:pPr>
            <w:r>
              <w:rPr>
                <w:rFonts w:cs="Times New Roman"/>
                <w:sz w:val="24"/>
                <w:szCs w:val="24"/>
              </w:rPr>
              <w:t>CÂMARA MUNICIPAL</w:t>
            </w:r>
          </w:p>
        </w:tc>
      </w:tr>
      <w:tr w14:paraId="5B57C2BB">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71022CC8">
            <w:pPr>
              <w:pStyle w:val="217"/>
              <w:spacing w:line="360" w:lineRule="auto"/>
              <w:rPr>
                <w:rFonts w:cs="Times New Roman"/>
                <w:sz w:val="24"/>
                <w:szCs w:val="24"/>
              </w:rPr>
            </w:pPr>
            <w:r>
              <w:rPr>
                <w:rFonts w:cs="Times New Roman"/>
                <w:sz w:val="24"/>
                <w:szCs w:val="24"/>
              </w:rPr>
              <w:t>Unid Orçamentária</w:t>
            </w:r>
          </w:p>
        </w:tc>
        <w:tc>
          <w:tcPr>
            <w:tcW w:w="2657" w:type="dxa"/>
            <w:tcBorders>
              <w:left w:val="single" w:color="000000" w:sz="4" w:space="0"/>
              <w:bottom w:val="single" w:color="000000" w:sz="4" w:space="0"/>
            </w:tcBorders>
            <w:shd w:val="clear" w:color="auto" w:fill="auto"/>
            <w:noWrap w:val="0"/>
            <w:vAlign w:val="top"/>
          </w:tcPr>
          <w:p w14:paraId="14C60C86">
            <w:pPr>
              <w:pStyle w:val="217"/>
              <w:spacing w:line="360" w:lineRule="auto"/>
              <w:rPr>
                <w:rFonts w:cs="Times New Roman"/>
                <w:sz w:val="24"/>
                <w:szCs w:val="24"/>
              </w:rPr>
            </w:pPr>
            <w:r>
              <w:rPr>
                <w:rFonts w:cs="Times New Roman"/>
                <w:sz w:val="24"/>
                <w:szCs w:val="24"/>
              </w:rPr>
              <w:t>01.00.01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2BCFD3D4">
            <w:pPr>
              <w:pStyle w:val="217"/>
              <w:spacing w:line="360" w:lineRule="auto"/>
              <w:rPr>
                <w:sz w:val="24"/>
                <w:szCs w:val="24"/>
              </w:rPr>
            </w:pPr>
            <w:r>
              <w:rPr>
                <w:rFonts w:cs="Times New Roman"/>
                <w:sz w:val="24"/>
                <w:szCs w:val="24"/>
              </w:rPr>
              <w:t>DEPARTAMENTO ADMINISTRATIVO</w:t>
            </w:r>
          </w:p>
        </w:tc>
      </w:tr>
      <w:tr w14:paraId="4C1D59B3">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7010AB07">
            <w:pPr>
              <w:pStyle w:val="217"/>
              <w:spacing w:line="360" w:lineRule="auto"/>
              <w:rPr>
                <w:rFonts w:cs="Times New Roman"/>
                <w:sz w:val="24"/>
                <w:szCs w:val="24"/>
              </w:rPr>
            </w:pPr>
            <w:r>
              <w:rPr>
                <w:rFonts w:cs="Times New Roman"/>
                <w:sz w:val="24"/>
                <w:szCs w:val="24"/>
              </w:rPr>
              <w:t>Unidade Executora</w:t>
            </w:r>
          </w:p>
        </w:tc>
        <w:tc>
          <w:tcPr>
            <w:tcW w:w="2657" w:type="dxa"/>
            <w:tcBorders>
              <w:left w:val="single" w:color="000000" w:sz="4" w:space="0"/>
              <w:bottom w:val="single" w:color="000000" w:sz="4" w:space="0"/>
            </w:tcBorders>
            <w:shd w:val="clear" w:color="auto" w:fill="auto"/>
            <w:noWrap w:val="0"/>
            <w:vAlign w:val="top"/>
          </w:tcPr>
          <w:p w14:paraId="6AFEF9A9">
            <w:pPr>
              <w:pStyle w:val="217"/>
              <w:spacing w:line="360" w:lineRule="auto"/>
              <w:rPr>
                <w:rFonts w:cs="Times New Roman"/>
                <w:sz w:val="24"/>
                <w:szCs w:val="24"/>
              </w:rPr>
            </w:pPr>
            <w:r>
              <w:rPr>
                <w:rFonts w:cs="Times New Roman"/>
                <w:sz w:val="24"/>
                <w:szCs w:val="24"/>
              </w:rPr>
              <w:t>01.001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30CA0ADA">
            <w:pPr>
              <w:pStyle w:val="217"/>
              <w:spacing w:line="360" w:lineRule="auto"/>
              <w:rPr>
                <w:sz w:val="24"/>
                <w:szCs w:val="24"/>
              </w:rPr>
            </w:pPr>
            <w:r>
              <w:rPr>
                <w:rFonts w:cs="Times New Roman"/>
                <w:sz w:val="24"/>
                <w:szCs w:val="24"/>
              </w:rPr>
              <w:t>DEPARTAMENTO ADMINISTRATIVO</w:t>
            </w:r>
          </w:p>
        </w:tc>
      </w:tr>
      <w:tr w14:paraId="744DFCC9">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205FD1C8">
            <w:pPr>
              <w:pStyle w:val="217"/>
              <w:spacing w:line="360" w:lineRule="auto"/>
              <w:rPr>
                <w:rFonts w:cs="Times New Roman"/>
                <w:sz w:val="24"/>
                <w:szCs w:val="24"/>
              </w:rPr>
            </w:pPr>
            <w:r>
              <w:rPr>
                <w:rFonts w:cs="Times New Roman"/>
                <w:sz w:val="24"/>
                <w:szCs w:val="24"/>
              </w:rPr>
              <w:t>Função programática</w:t>
            </w:r>
          </w:p>
        </w:tc>
        <w:tc>
          <w:tcPr>
            <w:tcW w:w="2657" w:type="dxa"/>
            <w:tcBorders>
              <w:left w:val="single" w:color="000000" w:sz="4" w:space="0"/>
              <w:bottom w:val="single" w:color="000000" w:sz="4" w:space="0"/>
            </w:tcBorders>
            <w:shd w:val="clear" w:color="auto" w:fill="auto"/>
            <w:noWrap w:val="0"/>
            <w:vAlign w:val="top"/>
          </w:tcPr>
          <w:p w14:paraId="66A15C47">
            <w:pPr>
              <w:pStyle w:val="217"/>
              <w:spacing w:line="360" w:lineRule="auto"/>
              <w:rPr>
                <w:rFonts w:cs="Times New Roman"/>
                <w:sz w:val="24"/>
                <w:szCs w:val="24"/>
              </w:rPr>
            </w:pPr>
            <w:r>
              <w:rPr>
                <w:rFonts w:cs="Times New Roman"/>
                <w:sz w:val="24"/>
                <w:szCs w:val="24"/>
              </w:rPr>
              <w:t>01.031.0001-2.003</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30C68250">
            <w:pPr>
              <w:pStyle w:val="217"/>
              <w:spacing w:line="360" w:lineRule="auto"/>
              <w:rPr>
                <w:sz w:val="24"/>
                <w:szCs w:val="24"/>
              </w:rPr>
            </w:pPr>
            <w:r>
              <w:rPr>
                <w:rFonts w:cs="Times New Roman"/>
                <w:sz w:val="24"/>
                <w:szCs w:val="24"/>
              </w:rPr>
              <w:t>MANUTENÇÃO DA AÇÃO LEGISLATIVA</w:t>
            </w:r>
          </w:p>
        </w:tc>
      </w:tr>
      <w:tr w14:paraId="07965D94">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00D2B114">
            <w:pPr>
              <w:pStyle w:val="217"/>
              <w:spacing w:line="360" w:lineRule="auto"/>
              <w:rPr>
                <w:rFonts w:cs="Times New Roman"/>
                <w:sz w:val="24"/>
                <w:szCs w:val="24"/>
              </w:rPr>
            </w:pPr>
            <w:r>
              <w:rPr>
                <w:rFonts w:cs="Times New Roman"/>
                <w:sz w:val="24"/>
                <w:szCs w:val="24"/>
              </w:rPr>
              <w:t>Elemento</w:t>
            </w:r>
          </w:p>
        </w:tc>
        <w:tc>
          <w:tcPr>
            <w:tcW w:w="2657" w:type="dxa"/>
            <w:tcBorders>
              <w:left w:val="single" w:color="000000" w:sz="4" w:space="0"/>
              <w:bottom w:val="single" w:color="000000" w:sz="4" w:space="0"/>
            </w:tcBorders>
            <w:shd w:val="clear" w:color="auto" w:fill="auto"/>
            <w:noWrap w:val="0"/>
            <w:vAlign w:val="top"/>
          </w:tcPr>
          <w:p w14:paraId="5C23A5AC">
            <w:pPr>
              <w:pStyle w:val="217"/>
              <w:spacing w:line="360" w:lineRule="auto"/>
              <w:rPr>
                <w:rFonts w:cs="Times New Roman"/>
                <w:sz w:val="24"/>
                <w:szCs w:val="24"/>
              </w:rPr>
            </w:pPr>
            <w:r>
              <w:rPr>
                <w:rFonts w:cs="Times New Roman"/>
                <w:sz w:val="24"/>
                <w:szCs w:val="24"/>
              </w:rPr>
              <w:t>3.3.90.39.00</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5894FFE9">
            <w:pPr>
              <w:pStyle w:val="217"/>
              <w:spacing w:line="360" w:lineRule="auto"/>
              <w:rPr>
                <w:sz w:val="24"/>
                <w:szCs w:val="24"/>
              </w:rPr>
            </w:pPr>
            <w:r>
              <w:rPr>
                <w:rFonts w:cs="Times New Roman"/>
                <w:sz w:val="24"/>
                <w:szCs w:val="24"/>
              </w:rPr>
              <w:t>OUTROS SERVIÇOS DE TERCEIROS – PESSOA JURÍDICA</w:t>
            </w:r>
          </w:p>
        </w:tc>
      </w:tr>
    </w:tbl>
    <w:p w14:paraId="31D912AA">
      <w:pPr>
        <w:spacing w:line="360" w:lineRule="auto"/>
        <w:jc w:val="both"/>
        <w:rPr>
          <w:rFonts w:eastAsia="Times New Roman" w:cs="Times New Roman"/>
          <w:sz w:val="24"/>
          <w:szCs w:val="24"/>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5ADEAAA7">
        <w:tblPrEx>
          <w:tblCellMar>
            <w:top w:w="55" w:type="dxa"/>
            <w:left w:w="55" w:type="dxa"/>
            <w:bottom w:w="55" w:type="dxa"/>
            <w:right w:w="55" w:type="dxa"/>
          </w:tblCellMar>
        </w:tblPrEx>
        <w:tc>
          <w:tcPr>
            <w:tcW w:w="2160" w:type="dxa"/>
            <w:tcBorders>
              <w:top w:val="single" w:color="000000" w:sz="4" w:space="0"/>
              <w:left w:val="single" w:color="000000" w:sz="4" w:space="0"/>
              <w:bottom w:val="single" w:color="000000" w:sz="4" w:space="0"/>
            </w:tcBorders>
            <w:shd w:val="clear" w:color="auto" w:fill="auto"/>
            <w:noWrap w:val="0"/>
            <w:vAlign w:val="top"/>
          </w:tcPr>
          <w:p w14:paraId="3B97D1A2">
            <w:pPr>
              <w:pStyle w:val="217"/>
              <w:spacing w:line="360" w:lineRule="auto"/>
              <w:rPr>
                <w:rFonts w:cs="Times New Roman"/>
                <w:sz w:val="24"/>
                <w:szCs w:val="24"/>
              </w:rPr>
            </w:pPr>
            <w:r>
              <w:rPr>
                <w:rFonts w:cs="Times New Roman"/>
                <w:sz w:val="24"/>
                <w:szCs w:val="24"/>
              </w:rPr>
              <w:t>Órgão</w:t>
            </w:r>
          </w:p>
        </w:tc>
        <w:tc>
          <w:tcPr>
            <w:tcW w:w="2657" w:type="dxa"/>
            <w:tcBorders>
              <w:top w:val="single" w:color="000000" w:sz="4" w:space="0"/>
              <w:left w:val="single" w:color="000000" w:sz="4" w:space="0"/>
              <w:bottom w:val="single" w:color="000000" w:sz="4" w:space="0"/>
            </w:tcBorders>
            <w:shd w:val="clear" w:color="auto" w:fill="auto"/>
            <w:noWrap w:val="0"/>
            <w:vAlign w:val="top"/>
          </w:tcPr>
          <w:p w14:paraId="2FD7E0B3">
            <w:pPr>
              <w:pStyle w:val="217"/>
              <w:spacing w:line="360" w:lineRule="auto"/>
              <w:rPr>
                <w:rFonts w:cs="Times New Roman"/>
                <w:sz w:val="24"/>
                <w:szCs w:val="24"/>
              </w:rPr>
            </w:pPr>
            <w:r>
              <w:rPr>
                <w:rFonts w:cs="Times New Roman"/>
                <w:sz w:val="24"/>
                <w:szCs w:val="24"/>
              </w:rPr>
              <w:t>01</w:t>
            </w:r>
          </w:p>
        </w:tc>
        <w:tc>
          <w:tcPr>
            <w:tcW w:w="425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189B2F5">
            <w:pPr>
              <w:pStyle w:val="217"/>
              <w:spacing w:line="360" w:lineRule="auto"/>
              <w:rPr>
                <w:sz w:val="24"/>
                <w:szCs w:val="24"/>
              </w:rPr>
            </w:pPr>
            <w:r>
              <w:rPr>
                <w:rFonts w:cs="Times New Roman"/>
                <w:sz w:val="24"/>
                <w:szCs w:val="24"/>
              </w:rPr>
              <w:t>CÂMARA MUNICIPAL</w:t>
            </w:r>
          </w:p>
        </w:tc>
      </w:tr>
      <w:tr w14:paraId="25CFF724">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0965F97A">
            <w:pPr>
              <w:pStyle w:val="217"/>
              <w:spacing w:line="360" w:lineRule="auto"/>
              <w:rPr>
                <w:rFonts w:cs="Times New Roman"/>
                <w:sz w:val="24"/>
                <w:szCs w:val="24"/>
              </w:rPr>
            </w:pPr>
            <w:r>
              <w:rPr>
                <w:rFonts w:cs="Times New Roman"/>
                <w:sz w:val="24"/>
                <w:szCs w:val="24"/>
              </w:rPr>
              <w:t>Unid Orçamentária</w:t>
            </w:r>
          </w:p>
        </w:tc>
        <w:tc>
          <w:tcPr>
            <w:tcW w:w="2657" w:type="dxa"/>
            <w:tcBorders>
              <w:left w:val="single" w:color="000000" w:sz="4" w:space="0"/>
              <w:bottom w:val="single" w:color="000000" w:sz="4" w:space="0"/>
            </w:tcBorders>
            <w:shd w:val="clear" w:color="auto" w:fill="auto"/>
            <w:noWrap w:val="0"/>
            <w:vAlign w:val="top"/>
          </w:tcPr>
          <w:p w14:paraId="036FB4E2">
            <w:pPr>
              <w:pStyle w:val="217"/>
              <w:spacing w:line="360" w:lineRule="auto"/>
              <w:rPr>
                <w:rFonts w:cs="Times New Roman"/>
                <w:sz w:val="24"/>
                <w:szCs w:val="24"/>
              </w:rPr>
            </w:pPr>
            <w:r>
              <w:rPr>
                <w:rFonts w:cs="Times New Roman"/>
                <w:sz w:val="24"/>
                <w:szCs w:val="24"/>
              </w:rPr>
              <w:t>01.00.01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7832BC43">
            <w:pPr>
              <w:pStyle w:val="217"/>
              <w:spacing w:line="360" w:lineRule="auto"/>
              <w:rPr>
                <w:sz w:val="24"/>
                <w:szCs w:val="24"/>
              </w:rPr>
            </w:pPr>
            <w:r>
              <w:rPr>
                <w:rFonts w:cs="Times New Roman"/>
                <w:sz w:val="24"/>
                <w:szCs w:val="24"/>
              </w:rPr>
              <w:t>DEPARTAMENTO ADMINISTRATIVO</w:t>
            </w:r>
          </w:p>
        </w:tc>
      </w:tr>
      <w:tr w14:paraId="678563E4">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181A570A">
            <w:pPr>
              <w:pStyle w:val="217"/>
              <w:spacing w:line="360" w:lineRule="auto"/>
              <w:rPr>
                <w:rFonts w:cs="Times New Roman"/>
                <w:sz w:val="24"/>
                <w:szCs w:val="24"/>
              </w:rPr>
            </w:pPr>
            <w:r>
              <w:rPr>
                <w:rFonts w:cs="Times New Roman"/>
                <w:sz w:val="24"/>
                <w:szCs w:val="24"/>
              </w:rPr>
              <w:t>Unidade Executora</w:t>
            </w:r>
          </w:p>
        </w:tc>
        <w:tc>
          <w:tcPr>
            <w:tcW w:w="2657" w:type="dxa"/>
            <w:tcBorders>
              <w:left w:val="single" w:color="000000" w:sz="4" w:space="0"/>
              <w:bottom w:val="single" w:color="000000" w:sz="4" w:space="0"/>
            </w:tcBorders>
            <w:shd w:val="clear" w:color="auto" w:fill="auto"/>
            <w:noWrap w:val="0"/>
            <w:vAlign w:val="top"/>
          </w:tcPr>
          <w:p w14:paraId="5303E3D8">
            <w:pPr>
              <w:pStyle w:val="217"/>
              <w:spacing w:line="360" w:lineRule="auto"/>
              <w:rPr>
                <w:rFonts w:cs="Times New Roman"/>
                <w:sz w:val="24"/>
                <w:szCs w:val="24"/>
              </w:rPr>
            </w:pPr>
            <w:r>
              <w:rPr>
                <w:rFonts w:cs="Times New Roman"/>
                <w:sz w:val="24"/>
                <w:szCs w:val="24"/>
              </w:rPr>
              <w:t>01.001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2735A749">
            <w:pPr>
              <w:pStyle w:val="217"/>
              <w:spacing w:line="360" w:lineRule="auto"/>
              <w:rPr>
                <w:sz w:val="24"/>
                <w:szCs w:val="24"/>
              </w:rPr>
            </w:pPr>
            <w:r>
              <w:rPr>
                <w:rFonts w:cs="Times New Roman"/>
                <w:sz w:val="24"/>
                <w:szCs w:val="24"/>
              </w:rPr>
              <w:t>DEPARTAMENTO ADMINISTRATIVO</w:t>
            </w:r>
          </w:p>
        </w:tc>
      </w:tr>
      <w:tr w14:paraId="5E77D739">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1920EB85">
            <w:pPr>
              <w:pStyle w:val="217"/>
              <w:spacing w:line="360" w:lineRule="auto"/>
              <w:rPr>
                <w:rFonts w:cs="Times New Roman"/>
                <w:sz w:val="24"/>
                <w:szCs w:val="24"/>
              </w:rPr>
            </w:pPr>
            <w:r>
              <w:rPr>
                <w:rFonts w:cs="Times New Roman"/>
                <w:sz w:val="24"/>
                <w:szCs w:val="24"/>
              </w:rPr>
              <w:t>Função programática</w:t>
            </w:r>
          </w:p>
        </w:tc>
        <w:tc>
          <w:tcPr>
            <w:tcW w:w="2657" w:type="dxa"/>
            <w:tcBorders>
              <w:left w:val="single" w:color="000000" w:sz="4" w:space="0"/>
              <w:bottom w:val="single" w:color="000000" w:sz="4" w:space="0"/>
            </w:tcBorders>
            <w:shd w:val="clear" w:color="auto" w:fill="auto"/>
            <w:noWrap w:val="0"/>
            <w:vAlign w:val="top"/>
          </w:tcPr>
          <w:p w14:paraId="3972584C">
            <w:pPr>
              <w:pStyle w:val="217"/>
              <w:spacing w:line="360" w:lineRule="auto"/>
              <w:rPr>
                <w:rFonts w:cs="Times New Roman"/>
                <w:sz w:val="24"/>
                <w:szCs w:val="24"/>
              </w:rPr>
            </w:pPr>
            <w:r>
              <w:rPr>
                <w:rFonts w:cs="Times New Roman"/>
                <w:sz w:val="24"/>
                <w:szCs w:val="24"/>
              </w:rPr>
              <w:t>01.031.0001-2.003</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15DFDDBF">
            <w:pPr>
              <w:pStyle w:val="217"/>
              <w:spacing w:line="360" w:lineRule="auto"/>
              <w:rPr>
                <w:sz w:val="24"/>
                <w:szCs w:val="24"/>
              </w:rPr>
            </w:pPr>
            <w:r>
              <w:rPr>
                <w:rFonts w:cs="Times New Roman"/>
                <w:sz w:val="24"/>
                <w:szCs w:val="24"/>
              </w:rPr>
              <w:t>MANUTENÇÃO DA AÇÃO LEGISLATIVA</w:t>
            </w:r>
          </w:p>
        </w:tc>
      </w:tr>
      <w:tr w14:paraId="3A1B81ED">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2C9834F2">
            <w:pPr>
              <w:pStyle w:val="217"/>
              <w:spacing w:line="360" w:lineRule="auto"/>
              <w:rPr>
                <w:rFonts w:cs="Times New Roman"/>
                <w:sz w:val="24"/>
                <w:szCs w:val="24"/>
              </w:rPr>
            </w:pPr>
            <w:r>
              <w:rPr>
                <w:rFonts w:cs="Times New Roman"/>
                <w:sz w:val="24"/>
                <w:szCs w:val="24"/>
              </w:rPr>
              <w:t>Elemento</w:t>
            </w:r>
          </w:p>
        </w:tc>
        <w:tc>
          <w:tcPr>
            <w:tcW w:w="2657" w:type="dxa"/>
            <w:tcBorders>
              <w:left w:val="single" w:color="000000" w:sz="4" w:space="0"/>
              <w:bottom w:val="single" w:color="000000" w:sz="4" w:space="0"/>
            </w:tcBorders>
            <w:shd w:val="clear" w:color="auto" w:fill="auto"/>
            <w:noWrap w:val="0"/>
            <w:vAlign w:val="top"/>
          </w:tcPr>
          <w:p w14:paraId="123AF299">
            <w:pPr>
              <w:pStyle w:val="217"/>
              <w:spacing w:line="360" w:lineRule="auto"/>
              <w:rPr>
                <w:rFonts w:cs="Times New Roman"/>
                <w:sz w:val="24"/>
                <w:szCs w:val="24"/>
              </w:rPr>
            </w:pPr>
            <w:r>
              <w:rPr>
                <w:rFonts w:cs="Times New Roman"/>
                <w:sz w:val="24"/>
                <w:szCs w:val="24"/>
              </w:rPr>
              <w:t>4.4.90.52.00</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60CBA6A0">
            <w:pPr>
              <w:pStyle w:val="217"/>
              <w:spacing w:line="360" w:lineRule="auto"/>
              <w:rPr>
                <w:sz w:val="24"/>
                <w:szCs w:val="24"/>
              </w:rPr>
            </w:pPr>
            <w:r>
              <w:rPr>
                <w:rFonts w:cs="Times New Roman"/>
                <w:sz w:val="24"/>
                <w:szCs w:val="24"/>
              </w:rPr>
              <w:t>EQUIPAMENTO E MATERIAL PERMANENTE</w:t>
            </w:r>
          </w:p>
        </w:tc>
      </w:tr>
    </w:tbl>
    <w:p w14:paraId="14B8CCF5">
      <w:pPr>
        <w:spacing w:line="360" w:lineRule="auto"/>
        <w:jc w:val="both"/>
        <w:rPr>
          <w:rFonts w:eastAsia="Times New Roman" w:cs="Times New Roman"/>
          <w:sz w:val="24"/>
          <w:szCs w:val="24"/>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27125A6C">
        <w:tblPrEx>
          <w:tblCellMar>
            <w:top w:w="55" w:type="dxa"/>
            <w:left w:w="55" w:type="dxa"/>
            <w:bottom w:w="55" w:type="dxa"/>
            <w:right w:w="55" w:type="dxa"/>
          </w:tblCellMar>
        </w:tblPrEx>
        <w:tc>
          <w:tcPr>
            <w:tcW w:w="2160" w:type="dxa"/>
            <w:tcBorders>
              <w:top w:val="single" w:color="000000" w:sz="4" w:space="0"/>
              <w:left w:val="single" w:color="000000" w:sz="4" w:space="0"/>
              <w:bottom w:val="single" w:color="000000" w:sz="4" w:space="0"/>
            </w:tcBorders>
            <w:shd w:val="clear" w:color="auto" w:fill="auto"/>
            <w:noWrap w:val="0"/>
            <w:vAlign w:val="top"/>
          </w:tcPr>
          <w:p w14:paraId="2E1CC43E">
            <w:pPr>
              <w:pStyle w:val="217"/>
              <w:spacing w:line="360" w:lineRule="auto"/>
              <w:rPr>
                <w:rFonts w:cs="Times New Roman"/>
                <w:sz w:val="24"/>
                <w:szCs w:val="24"/>
              </w:rPr>
            </w:pPr>
            <w:r>
              <w:rPr>
                <w:rFonts w:cs="Times New Roman"/>
                <w:sz w:val="24"/>
                <w:szCs w:val="24"/>
              </w:rPr>
              <w:t>Órgão</w:t>
            </w:r>
          </w:p>
        </w:tc>
        <w:tc>
          <w:tcPr>
            <w:tcW w:w="2657" w:type="dxa"/>
            <w:tcBorders>
              <w:top w:val="single" w:color="000000" w:sz="4" w:space="0"/>
              <w:left w:val="single" w:color="000000" w:sz="4" w:space="0"/>
              <w:bottom w:val="single" w:color="000000" w:sz="4" w:space="0"/>
            </w:tcBorders>
            <w:shd w:val="clear" w:color="auto" w:fill="auto"/>
            <w:noWrap w:val="0"/>
            <w:vAlign w:val="top"/>
          </w:tcPr>
          <w:p w14:paraId="741A4EFC">
            <w:pPr>
              <w:pStyle w:val="217"/>
              <w:spacing w:line="360" w:lineRule="auto"/>
              <w:rPr>
                <w:rFonts w:cs="Times New Roman"/>
                <w:sz w:val="24"/>
                <w:szCs w:val="24"/>
              </w:rPr>
            </w:pPr>
            <w:r>
              <w:rPr>
                <w:rFonts w:cs="Times New Roman"/>
                <w:sz w:val="24"/>
                <w:szCs w:val="24"/>
              </w:rPr>
              <w:t>01</w:t>
            </w:r>
          </w:p>
        </w:tc>
        <w:tc>
          <w:tcPr>
            <w:tcW w:w="425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0F84376">
            <w:pPr>
              <w:pStyle w:val="217"/>
              <w:spacing w:line="360" w:lineRule="auto"/>
              <w:rPr>
                <w:sz w:val="24"/>
                <w:szCs w:val="24"/>
              </w:rPr>
            </w:pPr>
            <w:r>
              <w:rPr>
                <w:rFonts w:cs="Times New Roman"/>
                <w:sz w:val="24"/>
                <w:szCs w:val="24"/>
              </w:rPr>
              <w:t>CÂMARA MUNICIPAL</w:t>
            </w:r>
          </w:p>
        </w:tc>
      </w:tr>
      <w:tr w14:paraId="7713CF84">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35899F31">
            <w:pPr>
              <w:pStyle w:val="217"/>
              <w:spacing w:line="360" w:lineRule="auto"/>
              <w:rPr>
                <w:rFonts w:cs="Times New Roman"/>
                <w:sz w:val="24"/>
                <w:szCs w:val="24"/>
              </w:rPr>
            </w:pPr>
            <w:r>
              <w:rPr>
                <w:rFonts w:cs="Times New Roman"/>
                <w:sz w:val="24"/>
                <w:szCs w:val="24"/>
              </w:rPr>
              <w:t>Unid Orçamentária</w:t>
            </w:r>
          </w:p>
        </w:tc>
        <w:tc>
          <w:tcPr>
            <w:tcW w:w="2657" w:type="dxa"/>
            <w:tcBorders>
              <w:left w:val="single" w:color="000000" w:sz="4" w:space="0"/>
              <w:bottom w:val="single" w:color="000000" w:sz="4" w:space="0"/>
            </w:tcBorders>
            <w:shd w:val="clear" w:color="auto" w:fill="auto"/>
            <w:noWrap w:val="0"/>
            <w:vAlign w:val="top"/>
          </w:tcPr>
          <w:p w14:paraId="176D5232">
            <w:pPr>
              <w:pStyle w:val="217"/>
              <w:spacing w:line="360" w:lineRule="auto"/>
              <w:rPr>
                <w:rFonts w:cs="Times New Roman"/>
                <w:sz w:val="24"/>
                <w:szCs w:val="24"/>
              </w:rPr>
            </w:pPr>
            <w:r>
              <w:rPr>
                <w:rFonts w:cs="Times New Roman"/>
                <w:sz w:val="24"/>
                <w:szCs w:val="24"/>
              </w:rPr>
              <w:t>01.00.01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18F1F533">
            <w:pPr>
              <w:pStyle w:val="217"/>
              <w:spacing w:line="360" w:lineRule="auto"/>
              <w:rPr>
                <w:sz w:val="24"/>
                <w:szCs w:val="24"/>
              </w:rPr>
            </w:pPr>
            <w:r>
              <w:rPr>
                <w:rFonts w:cs="Times New Roman"/>
                <w:sz w:val="24"/>
                <w:szCs w:val="24"/>
              </w:rPr>
              <w:t>DEPARTAMENTO ADMINISTRATIVO</w:t>
            </w:r>
          </w:p>
        </w:tc>
      </w:tr>
      <w:tr w14:paraId="7FC3DF5B">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20D052CD">
            <w:pPr>
              <w:pStyle w:val="217"/>
              <w:spacing w:line="360" w:lineRule="auto"/>
              <w:rPr>
                <w:rFonts w:cs="Times New Roman"/>
                <w:sz w:val="24"/>
                <w:szCs w:val="24"/>
              </w:rPr>
            </w:pPr>
            <w:r>
              <w:rPr>
                <w:rFonts w:cs="Times New Roman"/>
                <w:sz w:val="24"/>
                <w:szCs w:val="24"/>
              </w:rPr>
              <w:t>Unidade Executora</w:t>
            </w:r>
          </w:p>
        </w:tc>
        <w:tc>
          <w:tcPr>
            <w:tcW w:w="2657" w:type="dxa"/>
            <w:tcBorders>
              <w:left w:val="single" w:color="000000" w:sz="4" w:space="0"/>
              <w:bottom w:val="single" w:color="000000" w:sz="4" w:space="0"/>
            </w:tcBorders>
            <w:shd w:val="clear" w:color="auto" w:fill="auto"/>
            <w:noWrap w:val="0"/>
            <w:vAlign w:val="top"/>
          </w:tcPr>
          <w:p w14:paraId="67B4927B">
            <w:pPr>
              <w:pStyle w:val="217"/>
              <w:spacing w:line="360" w:lineRule="auto"/>
              <w:rPr>
                <w:rFonts w:cs="Times New Roman"/>
                <w:sz w:val="24"/>
                <w:szCs w:val="24"/>
              </w:rPr>
            </w:pPr>
            <w:r>
              <w:rPr>
                <w:rFonts w:cs="Times New Roman"/>
                <w:sz w:val="24"/>
                <w:szCs w:val="24"/>
              </w:rPr>
              <w:t>01.001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3E4B49F0">
            <w:pPr>
              <w:pStyle w:val="217"/>
              <w:spacing w:line="360" w:lineRule="auto"/>
              <w:rPr>
                <w:sz w:val="24"/>
                <w:szCs w:val="24"/>
              </w:rPr>
            </w:pPr>
            <w:r>
              <w:rPr>
                <w:rFonts w:cs="Times New Roman"/>
                <w:sz w:val="24"/>
                <w:szCs w:val="24"/>
              </w:rPr>
              <w:t>DEPARTAMENTO ADMINISTRATIVO</w:t>
            </w:r>
          </w:p>
        </w:tc>
      </w:tr>
      <w:tr w14:paraId="1536268C">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0EFF3CCC">
            <w:pPr>
              <w:pStyle w:val="217"/>
              <w:spacing w:line="360" w:lineRule="auto"/>
              <w:rPr>
                <w:rFonts w:cs="Times New Roman"/>
                <w:sz w:val="24"/>
                <w:szCs w:val="24"/>
              </w:rPr>
            </w:pPr>
            <w:r>
              <w:rPr>
                <w:rFonts w:cs="Times New Roman"/>
                <w:sz w:val="24"/>
                <w:szCs w:val="24"/>
              </w:rPr>
              <w:t>Função programática</w:t>
            </w:r>
          </w:p>
        </w:tc>
        <w:tc>
          <w:tcPr>
            <w:tcW w:w="2657" w:type="dxa"/>
            <w:tcBorders>
              <w:left w:val="single" w:color="000000" w:sz="4" w:space="0"/>
              <w:bottom w:val="single" w:color="000000" w:sz="4" w:space="0"/>
            </w:tcBorders>
            <w:shd w:val="clear" w:color="auto" w:fill="auto"/>
            <w:noWrap w:val="0"/>
            <w:vAlign w:val="top"/>
          </w:tcPr>
          <w:p w14:paraId="3D981010">
            <w:pPr>
              <w:pStyle w:val="217"/>
              <w:spacing w:line="360" w:lineRule="auto"/>
              <w:rPr>
                <w:rFonts w:cs="Times New Roman"/>
                <w:sz w:val="24"/>
                <w:szCs w:val="24"/>
              </w:rPr>
            </w:pPr>
            <w:r>
              <w:rPr>
                <w:rFonts w:cs="Times New Roman"/>
                <w:sz w:val="24"/>
                <w:szCs w:val="24"/>
              </w:rPr>
              <w:t>01.031.0001-2.003</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171F91DB">
            <w:pPr>
              <w:pStyle w:val="217"/>
              <w:spacing w:line="360" w:lineRule="auto"/>
              <w:rPr>
                <w:sz w:val="24"/>
                <w:szCs w:val="24"/>
              </w:rPr>
            </w:pPr>
            <w:r>
              <w:rPr>
                <w:rFonts w:cs="Times New Roman"/>
                <w:sz w:val="24"/>
                <w:szCs w:val="24"/>
              </w:rPr>
              <w:t>MANUTENÇÃO DA AÇÃO LEGISLATIVA</w:t>
            </w:r>
          </w:p>
        </w:tc>
      </w:tr>
      <w:tr w14:paraId="7F83849B">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224D58C8">
            <w:pPr>
              <w:pStyle w:val="217"/>
              <w:spacing w:line="360" w:lineRule="auto"/>
              <w:rPr>
                <w:rFonts w:cs="Times New Roman"/>
                <w:sz w:val="24"/>
                <w:szCs w:val="24"/>
              </w:rPr>
            </w:pPr>
            <w:r>
              <w:rPr>
                <w:rFonts w:cs="Times New Roman"/>
                <w:sz w:val="24"/>
                <w:szCs w:val="24"/>
              </w:rPr>
              <w:t>Elemento</w:t>
            </w:r>
          </w:p>
        </w:tc>
        <w:tc>
          <w:tcPr>
            <w:tcW w:w="2657" w:type="dxa"/>
            <w:tcBorders>
              <w:left w:val="single" w:color="000000" w:sz="4" w:space="0"/>
              <w:bottom w:val="single" w:color="000000" w:sz="4" w:space="0"/>
            </w:tcBorders>
            <w:shd w:val="clear" w:color="auto" w:fill="auto"/>
            <w:noWrap w:val="0"/>
            <w:vAlign w:val="top"/>
          </w:tcPr>
          <w:p w14:paraId="0E50DC6A">
            <w:pPr>
              <w:pStyle w:val="217"/>
              <w:spacing w:line="360" w:lineRule="auto"/>
              <w:rPr>
                <w:rFonts w:cs="Times New Roman"/>
                <w:sz w:val="24"/>
                <w:szCs w:val="24"/>
              </w:rPr>
            </w:pPr>
            <w:r>
              <w:rPr>
                <w:rFonts w:cs="Times New Roman"/>
                <w:sz w:val="24"/>
                <w:szCs w:val="24"/>
              </w:rPr>
              <w:t>3.3.90.30.00</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5CA8B0C1">
            <w:pPr>
              <w:pStyle w:val="217"/>
              <w:spacing w:line="360" w:lineRule="auto"/>
              <w:rPr>
                <w:sz w:val="24"/>
                <w:szCs w:val="24"/>
              </w:rPr>
            </w:pPr>
            <w:r>
              <w:rPr>
                <w:rFonts w:cs="Times New Roman"/>
                <w:sz w:val="24"/>
                <w:szCs w:val="24"/>
              </w:rPr>
              <w:t>MATERIAL DE CONSUMO</w:t>
            </w:r>
          </w:p>
        </w:tc>
      </w:tr>
    </w:tbl>
    <w:p w14:paraId="63009C34">
      <w:pPr>
        <w:spacing w:line="360" w:lineRule="auto"/>
        <w:jc w:val="both"/>
        <w:rPr>
          <w:rFonts w:eastAsia="Times New Roman" w:cs="Times New Roman"/>
          <w:sz w:val="24"/>
          <w:szCs w:val="24"/>
        </w:rPr>
      </w:pPr>
    </w:p>
    <w:p w14:paraId="1C5CB6D4">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w:t>
      </w:r>
      <w:r>
        <w:rPr>
          <w:rStyle w:val="52"/>
          <w:color w:val="000000" w:themeColor="text1"/>
          <w:sz w:val="22"/>
          <w:szCs w:val="22"/>
          <w14:textFill>
            <w14:solidFill>
              <w14:schemeClr w14:val="tx1"/>
            </w14:solidFill>
          </w14:textFill>
        </w:rPr>
        <w:t>caso</w:t>
      </w:r>
      <w:r>
        <w:rPr>
          <w:color w:val="000000"/>
          <w:sz w:val="22"/>
          <w:szCs w:val="22"/>
        </w:rPr>
        <w:t xml:space="preserve"> de </w:t>
      </w:r>
      <w:r>
        <w:rPr>
          <w:rStyle w:val="52"/>
          <w:color w:val="000000" w:themeColor="text1"/>
          <w:sz w:val="22"/>
          <w:szCs w:val="22"/>
          <w14:textFill>
            <w14:solidFill>
              <w14:schemeClr w14:val="tx1"/>
            </w14:solidFill>
          </w14:textFill>
        </w:rPr>
        <w:t>divergência</w:t>
      </w:r>
      <w:r>
        <w:rPr>
          <w:color w:val="000000"/>
          <w:sz w:val="22"/>
          <w:szCs w:val="22"/>
        </w:rPr>
        <w:t xml:space="preserve"> existente entre as especificações descritas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 e as especificações constantes deste Edital, prevalecerão as últimas.</w:t>
      </w:r>
    </w:p>
    <w:p w14:paraId="0B97915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Todas </w:t>
      </w:r>
      <w:r>
        <w:rPr>
          <w:rStyle w:val="52"/>
          <w:color w:val="000000" w:themeColor="text1"/>
          <w:sz w:val="22"/>
          <w:szCs w:val="22"/>
          <w14:textFill>
            <w14:solidFill>
              <w14:schemeClr w14:val="tx1"/>
            </w14:solidFill>
          </w14:textFill>
        </w:rPr>
        <w:t>as</w:t>
      </w:r>
      <w:r>
        <w:rPr>
          <w:color w:val="000000"/>
          <w:sz w:val="22"/>
          <w:szCs w:val="22"/>
        </w:rPr>
        <w:t xml:space="preserve"> referências de tempo no Edital, no aviso e durante a sessão pública observarão o horário de </w:t>
      </w:r>
      <w:r>
        <w:rPr>
          <w:rStyle w:val="52"/>
          <w:color w:val="000000" w:themeColor="text1"/>
          <w:sz w:val="22"/>
          <w:szCs w:val="22"/>
          <w14:textFill>
            <w14:solidFill>
              <w14:schemeClr w14:val="tx1"/>
            </w14:solidFill>
          </w14:textFill>
        </w:rPr>
        <w:t>Brasília</w:t>
      </w:r>
      <w:r>
        <w:rPr>
          <w:color w:val="000000"/>
          <w:sz w:val="22"/>
          <w:szCs w:val="22"/>
        </w:rPr>
        <w:t xml:space="preserve"> / DF.</w:t>
      </w:r>
    </w:p>
    <w:p w14:paraId="5C76A42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 </w:t>
      </w:r>
      <w:r>
        <w:rPr>
          <w:rStyle w:val="52"/>
          <w:color w:val="000000" w:themeColor="text1"/>
          <w:sz w:val="22"/>
          <w:szCs w:val="22"/>
          <w14:textFill>
            <w14:solidFill>
              <w14:schemeClr w14:val="tx1"/>
            </w14:solidFill>
          </w14:textFill>
        </w:rPr>
        <w:t>licitante</w:t>
      </w:r>
      <w:r>
        <w:rPr>
          <w:color w:val="000000"/>
          <w:sz w:val="22"/>
          <w:szCs w:val="22"/>
        </w:rPr>
        <w:t xml:space="preserve"> será responsável por todas as transações que forem efetuadas em seu nome no sistema eletrônico, assumindo como firmes e verdadeiras suas propostas e lances.</w:t>
      </w:r>
    </w:p>
    <w:p w14:paraId="4AF6AE8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Incumbirá ao licitante acompanhar as operações no sistema eletrônico durante a sessão pública deste </w:t>
      </w:r>
      <w:r>
        <w:rPr>
          <w:rStyle w:val="52"/>
          <w:color w:val="000000" w:themeColor="text1"/>
          <w:sz w:val="22"/>
          <w:szCs w:val="22"/>
          <w14:textFill>
            <w14:solidFill>
              <w14:schemeClr w14:val="tx1"/>
            </w14:solidFill>
          </w14:textFill>
        </w:rPr>
        <w:t>Pregão</w:t>
      </w:r>
      <w:r>
        <w:rPr>
          <w:color w:val="000000"/>
          <w:sz w:val="22"/>
          <w:szCs w:val="22"/>
        </w:rPr>
        <w:t>, ficando responsável pelo ônus decorrente da perda de negócios, diante da inobservância de quaisquer mensagens emitidas pelo sistema ou de sua desconexão.</w:t>
      </w:r>
    </w:p>
    <w:p w14:paraId="516C43D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No julgamento das propostas e da habilitação, o </w:t>
      </w:r>
      <w:r>
        <w:rPr>
          <w:sz w:val="22"/>
          <w:szCs w:val="22"/>
        </w:rPr>
        <w:t>Pregoeiro</w:t>
      </w:r>
      <w:r>
        <w:rPr>
          <w:color w:val="000000"/>
          <w:sz w:val="22"/>
          <w:szCs w:val="22"/>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14:paraId="26D7B66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É facultado ao(à) </w:t>
      </w:r>
      <w:r>
        <w:rPr>
          <w:sz w:val="22"/>
          <w:szCs w:val="22"/>
        </w:rPr>
        <w:t>Pregoeiro</w:t>
      </w:r>
      <w:r>
        <w:rPr>
          <w:color w:val="000000"/>
          <w:sz w:val="22"/>
          <w:szCs w:val="22"/>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14:paraId="41993B6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homologação do resultado desta licitação não implicará direito à contratação.</w:t>
      </w:r>
    </w:p>
    <w:p w14:paraId="7F1D024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Será divulgada ata da sessão pública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11D16A1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interessados/licitantes obrigam-se ao acompanhamento das informações disponibilizadas, não podendo alegar seu desconhecimento.</w:t>
      </w:r>
    </w:p>
    <w:p w14:paraId="7356FF5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FF21E5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BB02C9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contagem dos prazos estabelecidos neste Edital e seus Anexos, excluir-se-á o dia do início e incluir-se-á o do vencimento. Só se iniciam e vencem os prazos em dias de expediente na Administração.</w:t>
      </w:r>
    </w:p>
    <w:p w14:paraId="02A2BAF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0E1BF94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Nenhuma </w:t>
      </w:r>
      <w:r>
        <w:rPr>
          <w:rStyle w:val="52"/>
          <w:color w:val="000000" w:themeColor="text1"/>
          <w:sz w:val="22"/>
          <w:szCs w:val="22"/>
          <w14:textFill>
            <w14:solidFill>
              <w14:schemeClr w14:val="tx1"/>
            </w14:solidFill>
          </w14:textFill>
        </w:rPr>
        <w:t>indenização</w:t>
      </w:r>
      <w:r>
        <w:rPr>
          <w:color w:val="000000"/>
          <w:sz w:val="22"/>
          <w:szCs w:val="22"/>
        </w:rPr>
        <w:t xml:space="preserve"> será devida às licitantes por apresentarem documentação e/ou elaborarem proposta relativa ao presente </w:t>
      </w:r>
      <w:r>
        <w:rPr>
          <w:rStyle w:val="52"/>
          <w:color w:val="000000" w:themeColor="text1"/>
          <w:sz w:val="22"/>
          <w:szCs w:val="22"/>
          <w14:textFill>
            <w14:solidFill>
              <w14:schemeClr w14:val="tx1"/>
            </w14:solidFill>
          </w14:textFill>
        </w:rPr>
        <w:t>Pregão</w:t>
      </w:r>
      <w:r>
        <w:rPr>
          <w:color w:val="000000"/>
          <w:sz w:val="22"/>
          <w:szCs w:val="22"/>
        </w:rPr>
        <w:t>.</w:t>
      </w:r>
    </w:p>
    <w:p w14:paraId="157E64A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não se responsabilizará por eventuais danos </w:t>
      </w:r>
      <w:r>
        <w:rPr>
          <w:rStyle w:val="52"/>
          <w:color w:val="000000" w:themeColor="text1"/>
          <w:sz w:val="22"/>
          <w:szCs w:val="22"/>
          <w14:textFill>
            <w14:solidFill>
              <w14:schemeClr w14:val="tx1"/>
            </w14:solidFill>
          </w14:textFill>
        </w:rPr>
        <w:t>causados</w:t>
      </w:r>
      <w:r>
        <w:rPr>
          <w:color w:val="000000"/>
          <w:sz w:val="22"/>
          <w:szCs w:val="22"/>
        </w:rPr>
        <w:t xml:space="preserve"> à licitante, decorrentes do uso indevido da senha durante as transações efetuadas, ainda que por terceiros.</w:t>
      </w:r>
    </w:p>
    <w:p w14:paraId="4DEB6D6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14:paraId="5E084AC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traduzido para a língua portuguesa no exterior, a tradução deverá ter sido efetuada por profissional qualificado, segundo as leis do país de origem e os documentos autenticados pela via consular.</w:t>
      </w:r>
    </w:p>
    <w:p w14:paraId="55943F3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horário de atendimento presencial do protocolo administrativo da Câmara Municipal de Primavera do Leste - MT é das </w:t>
      </w:r>
      <w:r>
        <w:rPr>
          <w:color w:val="000000"/>
          <w:sz w:val="22"/>
          <w:szCs w:val="22"/>
          <w:shd w:val="clear" w:fill="auto"/>
        </w:rPr>
        <w:t xml:space="preserve">07h00 </w:t>
      </w:r>
      <w:r>
        <w:rPr>
          <w:color w:val="000000"/>
          <w:sz w:val="22"/>
          <w:szCs w:val="22"/>
        </w:rPr>
        <w:t>às 13h00 , de segunda a sexta-feira, no horário oficial de Mato Grosso (GMT -04:00).</w:t>
      </w:r>
    </w:p>
    <w:p w14:paraId="48FE99DB">
      <w:pPr>
        <w:pStyle w:val="49"/>
        <w:numPr>
          <w:ilvl w:val="0"/>
          <w:numId w:val="0"/>
        </w:numPr>
        <w:tabs>
          <w:tab w:val="left" w:pos="1134"/>
        </w:tabs>
        <w:spacing w:before="0" w:beforeAutospacing="0" w:after="0" w:afterAutospacing="0"/>
        <w:ind w:left="480" w:leftChars="0"/>
        <w:jc w:val="both"/>
        <w:textAlignment w:val="baseline"/>
        <w:rPr>
          <w:color w:val="000000"/>
          <w:sz w:val="22"/>
          <w:szCs w:val="22"/>
        </w:rPr>
      </w:pPr>
    </w:p>
    <w:p w14:paraId="562794F5">
      <w:pPr>
        <w:pStyle w:val="49"/>
        <w:numPr>
          <w:ilvl w:val="0"/>
          <w:numId w:val="0"/>
        </w:numPr>
        <w:tabs>
          <w:tab w:val="left" w:pos="1134"/>
        </w:tabs>
        <w:spacing w:before="0" w:beforeAutospacing="0" w:after="0" w:afterAutospacing="0"/>
        <w:ind w:left="480" w:leftChars="0"/>
        <w:jc w:val="both"/>
        <w:textAlignment w:val="baseline"/>
        <w:rPr>
          <w:color w:val="000000"/>
          <w:sz w:val="22"/>
          <w:szCs w:val="22"/>
        </w:rPr>
      </w:pPr>
    </w:p>
    <w:p w14:paraId="457C04D9">
      <w:pPr>
        <w:pStyle w:val="49"/>
        <w:numPr>
          <w:ilvl w:val="0"/>
          <w:numId w:val="0"/>
        </w:numPr>
        <w:tabs>
          <w:tab w:val="left" w:pos="1134"/>
        </w:tabs>
        <w:spacing w:before="0" w:beforeAutospacing="0" w:after="0" w:afterAutospacing="0"/>
        <w:ind w:left="480" w:leftChars="0"/>
        <w:jc w:val="both"/>
        <w:textAlignment w:val="baseline"/>
        <w:rPr>
          <w:color w:val="000000"/>
          <w:sz w:val="22"/>
          <w:szCs w:val="22"/>
        </w:rPr>
      </w:pPr>
    </w:p>
    <w:p w14:paraId="3F2B69B0">
      <w:pPr>
        <w:pStyle w:val="49"/>
        <w:numPr>
          <w:ilvl w:val="0"/>
          <w:numId w:val="0"/>
        </w:numPr>
        <w:tabs>
          <w:tab w:val="left" w:pos="1134"/>
        </w:tabs>
        <w:spacing w:before="0" w:beforeAutospacing="0" w:after="0" w:afterAutospacing="0"/>
        <w:ind w:left="480" w:leftChars="0"/>
        <w:jc w:val="both"/>
        <w:textAlignment w:val="baseline"/>
        <w:rPr>
          <w:color w:val="000000"/>
          <w:sz w:val="22"/>
          <w:szCs w:val="22"/>
        </w:rPr>
      </w:pPr>
    </w:p>
    <w:p w14:paraId="2D1ADDC6">
      <w:pPr>
        <w:pStyle w:val="49"/>
        <w:numPr>
          <w:ilvl w:val="0"/>
          <w:numId w:val="0"/>
        </w:numPr>
        <w:tabs>
          <w:tab w:val="left" w:pos="1134"/>
        </w:tabs>
        <w:spacing w:before="0" w:beforeAutospacing="0" w:after="0" w:afterAutospacing="0"/>
        <w:ind w:left="480" w:leftChars="0"/>
        <w:jc w:val="both"/>
        <w:textAlignment w:val="baseline"/>
        <w:rPr>
          <w:color w:val="000000"/>
          <w:sz w:val="22"/>
          <w:szCs w:val="22"/>
        </w:rPr>
      </w:pPr>
    </w:p>
    <w:p w14:paraId="6D75CF45">
      <w:pPr>
        <w:pStyle w:val="2"/>
        <w:spacing w:before="360" w:after="0"/>
        <w:rPr>
          <w:sz w:val="22"/>
          <w:szCs w:val="22"/>
        </w:rPr>
      </w:pPr>
      <w:bookmarkStart w:id="57" w:name="_Toc149517465"/>
      <w:r>
        <w:rPr>
          <w:rStyle w:val="52"/>
          <w:sz w:val="22"/>
          <w:szCs w:val="22"/>
        </w:rPr>
        <w:t>FORO</w:t>
      </w:r>
      <w:bookmarkEnd w:id="57"/>
    </w:p>
    <w:p w14:paraId="1A9E27B0">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sz w:val="22"/>
          <w:szCs w:val="22"/>
        </w:rPr>
        <w:t xml:space="preserve">As </w:t>
      </w:r>
      <w:r>
        <w:rPr>
          <w:rFonts w:cs="Times New Roman"/>
          <w:sz w:val="22"/>
          <w:szCs w:val="22"/>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14:paraId="45635348">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sz w:val="22"/>
          <w:szCs w:val="22"/>
        </w:rPr>
      </w:pPr>
    </w:p>
    <w:p w14:paraId="26B041E1">
      <w:pPr>
        <w:pStyle w:val="180"/>
        <w:keepNext w:val="0"/>
        <w:keepLines w:val="0"/>
        <w:pageBreakBefore w:val="0"/>
        <w:widowControl/>
        <w:overflowPunct w:val="0"/>
        <w:bidi w:val="0"/>
        <w:snapToGrid/>
        <w:spacing w:line="216" w:lineRule="auto"/>
        <w:jc w:val="right"/>
        <w:textAlignment w:val="auto"/>
        <w:rPr>
          <w:rFonts w:ascii="Times New Roman" w:hAnsi="Times New Roman"/>
          <w:sz w:val="22"/>
          <w:szCs w:val="22"/>
        </w:rPr>
      </w:pPr>
      <w:r>
        <w:rPr>
          <w:rFonts w:ascii="Times New Roman" w:hAnsi="Times New Roman" w:cs="Times New Roman"/>
          <w:sz w:val="22"/>
          <w:szCs w:val="22"/>
        </w:rPr>
        <w:t>Primavera do Leste - MT,</w:t>
      </w:r>
      <w:r>
        <w:rPr>
          <w:rFonts w:hint="default" w:ascii="Times New Roman" w:hAnsi="Times New Roman" w:cs="Times New Roman"/>
          <w:sz w:val="22"/>
          <w:szCs w:val="22"/>
          <w:lang w:val="pt-BR"/>
        </w:rPr>
        <w:t xml:space="preserve"> 01 de julho </w:t>
      </w:r>
      <w:r>
        <w:rPr>
          <w:rFonts w:ascii="Times New Roman" w:hAnsi="Times New Roman" w:cs="Times New Roman"/>
          <w:sz w:val="22"/>
          <w:szCs w:val="22"/>
        </w:rPr>
        <w:t>de 2024.</w:t>
      </w:r>
    </w:p>
    <w:p w14:paraId="10815F43">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5DFBB9BB">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08818926">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1FA4922E">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542F7C01">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14:paraId="3498B099">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14:paraId="1224D9F3">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14:paraId="10C3986B">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hint="default" w:ascii="Times New Roman" w:hAnsi="Times New Roman" w:eastAsia="Times New Roman" w:cs="Times New Roman"/>
          <w:color w:val="000000"/>
          <w:sz w:val="24"/>
          <w:szCs w:val="24"/>
          <w:lang w:val="en-US" w:eastAsia="pt-BR"/>
        </w:rPr>
        <w:t>85</w:t>
      </w:r>
      <w:r>
        <w:rPr>
          <w:rFonts w:ascii="Times New Roman" w:hAnsi="Times New Roman" w:eastAsia="Times New Roman" w:cs="Times New Roman"/>
          <w:color w:val="000000"/>
          <w:sz w:val="24"/>
          <w:szCs w:val="24"/>
          <w:lang w:val="en-US" w:eastAsia="pt-BR"/>
        </w:rPr>
        <w:t>/2024</w:t>
      </w:r>
    </w:p>
    <w:p w14:paraId="2E264EE9">
      <w:pPr>
        <w:pStyle w:val="180"/>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14:paraId="7B80D0C4">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419D4236">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643B0516">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29D94F2A">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250058C4">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17C05FCD">
      <w:pPr>
        <w:pStyle w:val="180"/>
        <w:widowControl/>
        <w:overflowPunct w:val="0"/>
        <w:bidi w:val="0"/>
        <w:snapToGrid/>
        <w:spacing w:line="216" w:lineRule="auto"/>
        <w:jc w:val="both"/>
        <w:textAlignment w:val="auto"/>
        <w:rPr>
          <w:rFonts w:ascii="Times New Roman" w:hAnsi="Times New Roman" w:cs="Times New Roman"/>
          <w:color w:val="000000"/>
          <w:sz w:val="24"/>
          <w:szCs w:val="24"/>
        </w:rPr>
      </w:pPr>
    </w:p>
    <w:p w14:paraId="322BC674">
      <w:pPr>
        <w:pStyle w:val="180"/>
        <w:widowControl/>
        <w:overflowPunct w:val="0"/>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14:paraId="738BEF69">
      <w:pPr>
        <w:pStyle w:val="180"/>
        <w:keepNext w:val="0"/>
        <w:keepLines w:val="0"/>
        <w:pageBreakBefore w:val="0"/>
        <w:widowControl/>
        <w:overflowPunct w:val="0"/>
        <w:bidi w:val="0"/>
        <w:snapToGrid/>
        <w:spacing w:line="216" w:lineRule="auto"/>
        <w:jc w:val="center"/>
        <w:textAlignment w:val="auto"/>
        <w:rPr>
          <w:rFonts w:ascii="Times New Roman" w:hAnsi="Times New Roman" w:cs="Times New Roman"/>
          <w:sz w:val="24"/>
          <w:szCs w:val="24"/>
        </w:rPr>
      </w:pPr>
      <w:r>
        <w:rPr>
          <w:rFonts w:ascii="Times New Roman" w:hAnsi="Times New Roman" w:cs="Times New Roman"/>
          <w:sz w:val="24"/>
          <w:szCs w:val="24"/>
        </w:rPr>
        <w:t>Vereador Presidente</w:t>
      </w:r>
      <w:bookmarkStart w:id="58" w:name="_ANEXO_I_-"/>
      <w:bookmarkEnd w:id="58"/>
    </w:p>
    <w:p w14:paraId="7EC8C0AF">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sz w:val="24"/>
          <w:szCs w:val="24"/>
        </w:rPr>
      </w:pPr>
    </w:p>
    <w:p w14:paraId="34CC9ADD">
      <w:pPr>
        <w:pStyle w:val="248"/>
        <w:keepNext w:val="0"/>
        <w:keepLines w:val="0"/>
        <w:pageBreakBefore/>
        <w:widowControl/>
        <w:suppressLineNumbers w:val="0"/>
        <w:bidi w:val="0"/>
        <w:spacing w:before="0" w:beforeAutospacing="1" w:after="0" w:afterAutospacing="0" w:line="360" w:lineRule="auto"/>
        <w:ind w:left="0" w:right="0"/>
        <w:jc w:val="center"/>
        <w:rPr>
          <w:color w:val="000000"/>
        </w:rPr>
      </w:pPr>
      <w:r>
        <w:rPr>
          <w:rFonts w:hint="default" w:ascii="Times New Roman" w:hAnsi="Times New Roman" w:cs="Times New Roman"/>
          <w:b/>
          <w:bCs/>
          <w:color w:val="000000"/>
          <w:kern w:val="0"/>
          <w:sz w:val="24"/>
          <w:szCs w:val="24"/>
          <w:u w:val="single"/>
          <w:lang w:val="pt-BR" w:eastAsia="zh-CN" w:bidi="ar"/>
        </w:rPr>
        <w:t>TERMO DE REFERÊNCIA Nº 34 /2024</w:t>
      </w:r>
    </w:p>
    <w:p w14:paraId="13685A4D">
      <w:pPr>
        <w:pStyle w:val="248"/>
        <w:keepNext w:val="0"/>
        <w:keepLines w:val="0"/>
        <w:widowControl/>
        <w:suppressLineNumbers w:val="0"/>
        <w:bidi w:val="0"/>
        <w:spacing w:before="0" w:beforeAutospacing="1" w:after="0" w:afterAutospacing="0" w:line="360" w:lineRule="auto"/>
        <w:ind w:left="0" w:right="0"/>
        <w:jc w:val="center"/>
        <w:rPr>
          <w:color w:val="000000"/>
        </w:rPr>
      </w:pPr>
    </w:p>
    <w:tbl>
      <w:tblPr>
        <w:tblStyle w:val="14"/>
        <w:tblW w:w="915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9150"/>
      </w:tblGrid>
      <w:tr w14:paraId="1A61D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380" w:hRule="atLeast"/>
          <w:tblCellSpacing w:w="0" w:type="dxa"/>
        </w:trPr>
        <w:tc>
          <w:tcPr>
            <w:tcW w:w="8910"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top"/>
          </w:tcPr>
          <w:p w14:paraId="23744B77">
            <w:pPr>
              <w:pStyle w:val="248"/>
              <w:keepNext w:val="0"/>
              <w:keepLines w:val="0"/>
              <w:widowControl/>
              <w:suppressLineNumbers w:val="0"/>
              <w:bidi w:val="0"/>
              <w:spacing w:before="0" w:beforeAutospacing="1" w:after="0" w:afterAutospacing="0" w:line="0" w:lineRule="atLeast"/>
              <w:ind w:left="0" w:right="0"/>
              <w:jc w:val="center"/>
              <w:rPr>
                <w:color w:val="000000"/>
              </w:rPr>
            </w:pPr>
            <w:r>
              <w:rPr>
                <w:rFonts w:hint="default" w:ascii="Times New Roman" w:hAnsi="Times New Roman" w:cs="Times New Roman"/>
                <w:b/>
                <w:bCs/>
                <w:color w:val="000000"/>
                <w:kern w:val="0"/>
                <w:sz w:val="24"/>
                <w:szCs w:val="24"/>
                <w:lang w:val="en-US" w:eastAsia="zh-CN" w:bidi="ar"/>
              </w:rPr>
              <w:t>INFORMAÇÕES GERAIS</w:t>
            </w:r>
          </w:p>
        </w:tc>
      </w:tr>
    </w:tbl>
    <w:p w14:paraId="282606F6">
      <w:pPr>
        <w:pStyle w:val="248"/>
        <w:keepNext w:val="0"/>
        <w:keepLines w:val="0"/>
        <w:widowControl/>
        <w:suppressLineNumbers w:val="0"/>
        <w:bidi w:val="0"/>
        <w:spacing w:before="0" w:beforeAutospacing="0" w:after="0" w:afterAutospacing="0" w:line="360" w:lineRule="auto"/>
        <w:ind w:left="0" w:right="0"/>
        <w:jc w:val="both"/>
        <w:rPr>
          <w:color w:val="000000"/>
        </w:rPr>
      </w:pPr>
      <w:r>
        <w:rPr>
          <w:rFonts w:hint="default" w:ascii="Times New Roman" w:hAnsi="Times New Roman" w:cs="Times New Roman"/>
          <w:b/>
          <w:bCs/>
          <w:color w:val="000000"/>
          <w:kern w:val="0"/>
          <w:sz w:val="24"/>
          <w:szCs w:val="24"/>
          <w:lang w:val="pt-BR" w:eastAsia="zh-CN" w:bidi="ar"/>
        </w:rPr>
        <w:t xml:space="preserve">Órgão: </w:t>
      </w:r>
      <w:r>
        <w:rPr>
          <w:rFonts w:hint="default" w:ascii="Times New Roman" w:hAnsi="Times New Roman" w:cs="Times New Roman"/>
          <w:color w:val="000000"/>
          <w:kern w:val="0"/>
          <w:sz w:val="24"/>
          <w:szCs w:val="24"/>
          <w:lang w:val="pt-BR" w:eastAsia="zh-CN" w:bidi="ar"/>
        </w:rPr>
        <w:t>Câmara Municipal de Primavera do Leste - MT.</w:t>
      </w:r>
    </w:p>
    <w:p w14:paraId="71513D63">
      <w:pPr>
        <w:pStyle w:val="248"/>
        <w:keepNext w:val="0"/>
        <w:keepLines w:val="0"/>
        <w:widowControl/>
        <w:suppressLineNumbers w:val="0"/>
        <w:bidi w:val="0"/>
        <w:spacing w:before="0" w:beforeAutospacing="0" w:after="0" w:afterAutospacing="0" w:line="360" w:lineRule="auto"/>
        <w:ind w:left="0" w:right="0"/>
        <w:jc w:val="both"/>
        <w:rPr>
          <w:color w:val="000000"/>
        </w:rPr>
      </w:pPr>
      <w:r>
        <w:rPr>
          <w:rFonts w:hint="default" w:ascii="Times New Roman" w:hAnsi="Times New Roman" w:cs="Times New Roman"/>
          <w:b/>
          <w:bCs/>
          <w:color w:val="000000"/>
          <w:kern w:val="0"/>
          <w:sz w:val="24"/>
          <w:szCs w:val="24"/>
          <w:lang w:val="pt-BR" w:eastAsia="zh-CN" w:bidi="ar"/>
        </w:rPr>
        <w:t>Termo de Referência nº: 34 /2024</w:t>
      </w:r>
    </w:p>
    <w:p w14:paraId="6E4A0C9D">
      <w:pPr>
        <w:pStyle w:val="248"/>
        <w:keepNext w:val="0"/>
        <w:keepLines w:val="0"/>
        <w:widowControl/>
        <w:suppressLineNumbers w:val="0"/>
        <w:bidi w:val="0"/>
        <w:spacing w:before="0" w:beforeAutospacing="0" w:after="0" w:afterAutospacing="0" w:line="360" w:lineRule="auto"/>
        <w:ind w:left="0" w:right="0"/>
        <w:jc w:val="both"/>
        <w:rPr>
          <w:color w:val="000000"/>
        </w:rPr>
      </w:pPr>
      <w:r>
        <w:rPr>
          <w:rFonts w:hint="default" w:ascii="Times New Roman" w:hAnsi="Times New Roman" w:cs="Times New Roman"/>
          <w:b/>
          <w:bCs/>
          <w:color w:val="000000"/>
          <w:kern w:val="0"/>
          <w:sz w:val="24"/>
          <w:szCs w:val="24"/>
          <w:lang w:val="pt-BR" w:eastAsia="zh-CN" w:bidi="ar"/>
        </w:rPr>
        <w:t>Descrição da categoria:</w:t>
      </w:r>
      <w:r>
        <w:rPr>
          <w:rFonts w:hint="default" w:ascii="Times New Roman" w:hAnsi="Times New Roman" w:cs="Times New Roman"/>
          <w:color w:val="000000"/>
          <w:kern w:val="0"/>
          <w:sz w:val="24"/>
          <w:szCs w:val="24"/>
          <w:lang w:val="pt-BR" w:eastAsia="zh-CN" w:bidi="ar"/>
        </w:rPr>
        <w:t xml:space="preserve"> contratação de empresa especializada em prestação de serviços de confecção, montagem e instalação de móveis planejados e aquisição de cadeiras, poltronas e eletrodomésticos para atender o Plenário, os Gabinetes dos Vereadores existentes no prédio principal, o Anexo que contempla o Instituto de Memória, o Auditório e a Área Administrativa da Câmara Municipal de Primavera do Leste-MT.</w:t>
      </w:r>
    </w:p>
    <w:p w14:paraId="7CEB2763">
      <w:pPr>
        <w:pStyle w:val="248"/>
        <w:keepNext w:val="0"/>
        <w:keepLines w:val="0"/>
        <w:widowControl/>
        <w:suppressLineNumbers w:val="0"/>
        <w:bidi w:val="0"/>
        <w:spacing w:before="0" w:beforeAutospacing="0" w:after="0" w:afterAutospacing="0" w:line="360" w:lineRule="auto"/>
        <w:ind w:left="0" w:right="0"/>
        <w:jc w:val="both"/>
        <w:rPr>
          <w:color w:val="000000"/>
        </w:rPr>
      </w:pPr>
      <w:r>
        <w:rPr>
          <w:rFonts w:hint="default" w:ascii="Times New Roman" w:hAnsi="Times New Roman" w:cs="Times New Roman"/>
          <w:b/>
          <w:bCs/>
          <w:color w:val="000000"/>
          <w:kern w:val="0"/>
          <w:sz w:val="24"/>
          <w:szCs w:val="24"/>
          <w:lang w:val="pt-BR" w:eastAsia="zh-CN" w:bidi="ar"/>
        </w:rPr>
        <w:t xml:space="preserve">Setor Solicitante: </w:t>
      </w:r>
      <w:r>
        <w:rPr>
          <w:rFonts w:hint="default" w:ascii="Times New Roman" w:hAnsi="Times New Roman" w:cs="Times New Roman"/>
          <w:color w:val="000000"/>
          <w:kern w:val="0"/>
          <w:sz w:val="24"/>
          <w:szCs w:val="24"/>
          <w:lang w:val="pt-BR" w:eastAsia="zh-CN" w:bidi="ar"/>
        </w:rPr>
        <w:t>Coordenador Administrativo CMPVA/MT</w:t>
      </w:r>
    </w:p>
    <w:tbl>
      <w:tblPr>
        <w:tblStyle w:val="14"/>
        <w:tblW w:w="912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9120"/>
      </w:tblGrid>
      <w:tr w14:paraId="21F7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660" w:hRule="atLeast"/>
          <w:tblCellSpacing w:w="0" w:type="dxa"/>
        </w:trPr>
        <w:tc>
          <w:tcPr>
            <w:tcW w:w="8880" w:type="dxa"/>
            <w:tcBorders>
              <w:top w:val="single" w:color="000000" w:sz="6" w:space="0"/>
              <w:left w:val="single" w:color="000000" w:sz="6" w:space="0"/>
              <w:bottom w:val="single" w:color="000000" w:sz="6" w:space="0"/>
              <w:right w:val="single" w:color="000000" w:sz="6" w:space="0"/>
            </w:tcBorders>
            <w:shd w:val="clear" w:color="auto" w:fill="D9D9D9"/>
            <w:tcMar>
              <w:top w:w="0" w:type="dxa"/>
              <w:left w:w="0" w:type="dxa"/>
              <w:bottom w:w="0" w:type="dxa"/>
              <w:right w:w="0" w:type="dxa"/>
            </w:tcMar>
            <w:vAlign w:val="center"/>
          </w:tcPr>
          <w:p w14:paraId="2D05D284">
            <w:pPr>
              <w:pStyle w:val="248"/>
              <w:keepNext w:val="0"/>
              <w:keepLines w:val="0"/>
              <w:widowControl/>
              <w:suppressLineNumbers w:val="0"/>
              <w:bidi w:val="0"/>
              <w:spacing w:before="0" w:beforeAutospacing="1" w:after="0" w:afterAutospacing="0" w:line="0" w:lineRule="atLeast"/>
              <w:ind w:left="0" w:right="0"/>
              <w:jc w:val="center"/>
              <w:rPr>
                <w:color w:val="000000"/>
              </w:rPr>
            </w:pPr>
            <w:r>
              <w:rPr>
                <w:rFonts w:hint="default" w:ascii="Times New Roman" w:hAnsi="Times New Roman" w:cs="Times New Roman"/>
                <w:b/>
                <w:bCs/>
                <w:color w:val="000000"/>
                <w:kern w:val="0"/>
                <w:sz w:val="24"/>
                <w:szCs w:val="24"/>
                <w:lang w:val="en-US" w:eastAsia="zh-CN" w:bidi="ar"/>
              </w:rPr>
              <w:t>I – FUNDAMENTAÇÃO MÍNIMA PARA REGISTRO DE PREÇOS PARA FUTURA E EVENTUAL CONTRATAÇÃO</w:t>
            </w:r>
          </w:p>
        </w:tc>
      </w:tr>
    </w:tbl>
    <w:p w14:paraId="7F03D441">
      <w:pPr>
        <w:pStyle w:val="32"/>
        <w:keepNext w:val="0"/>
        <w:keepLines w:val="0"/>
        <w:widowControl/>
        <w:suppressLineNumbers w:val="0"/>
        <w:spacing w:after="0" w:afterAutospacing="0" w:line="360" w:lineRule="auto"/>
        <w:jc w:val="both"/>
      </w:pPr>
      <w:r>
        <w:rPr>
          <w:rFonts w:hint="default" w:ascii="Times New Roman" w:hAnsi="Times New Roman" w:cs="Times New Roman"/>
          <w:b/>
          <w:bCs/>
          <w:color w:val="000000"/>
          <w:sz w:val="24"/>
          <w:szCs w:val="24"/>
          <w:lang w:val="pt-BR"/>
        </w:rPr>
        <w:t>1.1OBJETO</w:t>
      </w:r>
      <w:r>
        <w:rPr>
          <w:rFonts w:hint="default" w:ascii="Times New Roman" w:hAnsi="Times New Roman" w:cs="Times New Roman"/>
          <w:color w:val="000000"/>
          <w:sz w:val="24"/>
          <w:szCs w:val="24"/>
          <w:lang w:val="pt-BR"/>
        </w:rPr>
        <w:t xml:space="preserve">: REGISTRO DE PREÇOS, embasado na lei 14.133/2021, a ser realizado pelo critério de julgamento </w:t>
      </w:r>
      <w:r>
        <w:rPr>
          <w:rFonts w:hint="default" w:ascii="Times New Roman" w:hAnsi="Times New Roman" w:cs="Times New Roman"/>
          <w:b/>
          <w:bCs/>
          <w:color w:val="000000"/>
          <w:sz w:val="24"/>
          <w:szCs w:val="24"/>
          <w:lang w:val="pt-BR"/>
        </w:rPr>
        <w:t>MENOR PREÇO POR LOTE</w:t>
      </w:r>
      <w:r>
        <w:rPr>
          <w:rFonts w:hint="default" w:ascii="Times New Roman" w:hAnsi="Times New Roman" w:cs="Times New Roman"/>
          <w:color w:val="000000"/>
          <w:sz w:val="24"/>
          <w:szCs w:val="24"/>
          <w:lang w:val="pt-BR"/>
        </w:rPr>
        <w:t>, para futura e eventual contratação de empresa especializada em prestação de serviços de confecção, montagem e instalação de móveis planejados e aquisição de cadeiras, poltronas e eletrodomésticos para atender o Plenário, os Gabinetes dos Vereadores existentes no prédio principal, o Anexo que contempla o Instituto de Memória, o Auditório e a Área Administrativa da Câmara Municipal de Primavera do Leste-MT, para prestação de serviços públicos, de acordo com as quantidades, exigências e especificações constantes neste Termo de Referência.</w:t>
      </w:r>
    </w:p>
    <w:p w14:paraId="428610E4">
      <w:pPr>
        <w:pStyle w:val="248"/>
        <w:keepNext w:val="0"/>
        <w:keepLines w:val="0"/>
        <w:widowControl/>
        <w:suppressLineNumbers w:val="0"/>
        <w:bidi w:val="0"/>
        <w:spacing w:before="0" w:beforeAutospacing="1" w:after="0" w:afterAutospacing="0" w:line="360" w:lineRule="auto"/>
        <w:ind w:right="0"/>
        <w:jc w:val="both"/>
      </w:pPr>
      <w:r>
        <w:rPr>
          <w:rFonts w:hint="default" w:ascii="Times New Roman" w:hAnsi="Times New Roman" w:cs="Times New Roman"/>
          <w:color w:val="000000"/>
          <w:kern w:val="0"/>
          <w:sz w:val="24"/>
          <w:szCs w:val="24"/>
          <w:lang w:val="pt-BR" w:eastAsia="zh-CN" w:bidi="ar"/>
        </w:rPr>
        <w:t>1.2 Do item da Categoria:</w:t>
      </w:r>
    </w:p>
    <w:tbl>
      <w:tblPr>
        <w:tblStyle w:val="14"/>
        <w:tblW w:w="9438"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9438"/>
      </w:tblGrid>
      <w:tr w14:paraId="0016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943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0BFCBDCB">
            <w:pPr>
              <w:pStyle w:val="248"/>
              <w:keepNext w:val="0"/>
              <w:keepLines w:val="0"/>
              <w:widowControl/>
              <w:suppressLineNumbers w:val="0"/>
              <w:tabs>
                <w:tab w:val="left" w:pos="9840"/>
              </w:tabs>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OBJETO/QUANTIDADE: OBJETO/QUANTIDADE: Contratação empresa especializada em prestação de serviços de confecção, montagem e instalação de móveis planejados e aquisição de cadeiras, poltronas e eletrodomésticos para o Poder Legislativo</w:t>
            </w:r>
          </w:p>
        </w:tc>
      </w:tr>
      <w:tr w14:paraId="530D5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rHeight w:val="443" w:hRule="atLeast"/>
          <w:tblCellSpacing w:w="0" w:type="dxa"/>
        </w:trPr>
        <w:tc>
          <w:tcPr>
            <w:tcW w:w="9438" w:type="dxa"/>
            <w:tcBorders>
              <w:top w:val="nil"/>
              <w:left w:val="single" w:color="000000" w:sz="6" w:space="0"/>
              <w:bottom w:val="single" w:color="000000" w:sz="6" w:space="0"/>
              <w:right w:val="single" w:color="000000" w:sz="6" w:space="0"/>
            </w:tcBorders>
            <w:shd w:val="clear" w:color="auto" w:fill="DDDDDD"/>
            <w:tcMar>
              <w:top w:w="0" w:type="dxa"/>
              <w:left w:w="0" w:type="dxa"/>
              <w:bottom w:w="0" w:type="dxa"/>
              <w:right w:w="0" w:type="dxa"/>
            </w:tcMar>
            <w:vAlign w:val="top"/>
          </w:tcPr>
          <w:p w14:paraId="636E7C4B">
            <w:pPr>
              <w:pStyle w:val="248"/>
              <w:keepNext w:val="0"/>
              <w:keepLines w:val="0"/>
              <w:widowControl/>
              <w:suppressLineNumbers w:val="0"/>
              <w:bidi w:val="0"/>
              <w:spacing w:before="0" w:beforeAutospacing="1" w:after="0" w:afterAutospacing="0" w:line="0" w:lineRule="atLeast"/>
              <w:ind w:left="0" w:right="0"/>
              <w:jc w:val="center"/>
              <w:rPr>
                <w:color w:val="000000"/>
              </w:rPr>
            </w:pPr>
            <w:r>
              <w:rPr>
                <w:rFonts w:hint="default" w:ascii="Times New Roman" w:hAnsi="Times New Roman" w:cs="Times New Roman"/>
                <w:b/>
                <w:bCs/>
                <w:color w:val="000000"/>
                <w:kern w:val="0"/>
                <w:sz w:val="24"/>
                <w:szCs w:val="24"/>
                <w:lang w:val="en-US" w:eastAsia="zh-CN" w:bidi="ar"/>
              </w:rPr>
              <w:t>LOTE 1</w:t>
            </w:r>
          </w:p>
        </w:tc>
      </w:tr>
    </w:tbl>
    <w:p w14:paraId="1F8EF8D8">
      <w:pPr>
        <w:rPr>
          <w:vanish/>
          <w:sz w:val="24"/>
          <w:szCs w:val="24"/>
        </w:rPr>
      </w:pPr>
    </w:p>
    <w:tbl>
      <w:tblPr>
        <w:tblStyle w:val="14"/>
        <w:tblW w:w="9457"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60" w:type="dxa"/>
          <w:left w:w="60" w:type="dxa"/>
          <w:bottom w:w="60" w:type="dxa"/>
          <w:right w:w="60" w:type="dxa"/>
        </w:tblCellMar>
      </w:tblPr>
      <w:tblGrid>
        <w:gridCol w:w="660"/>
        <w:gridCol w:w="675"/>
        <w:gridCol w:w="675"/>
        <w:gridCol w:w="4484"/>
        <w:gridCol w:w="1575"/>
        <w:gridCol w:w="1388"/>
      </w:tblGrid>
      <w:tr w14:paraId="3A6A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428103B">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ITEM</w:t>
            </w:r>
          </w:p>
        </w:tc>
        <w:tc>
          <w:tcPr>
            <w:tcW w:w="67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CAF26E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QTD</w:t>
            </w:r>
          </w:p>
        </w:tc>
        <w:tc>
          <w:tcPr>
            <w:tcW w:w="67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ABA2604">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UNID</w:t>
            </w:r>
          </w:p>
        </w:tc>
        <w:tc>
          <w:tcPr>
            <w:tcW w:w="4484"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66B285C">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DESCRIÇÃO (DETALHADA)</w:t>
            </w:r>
          </w:p>
        </w:tc>
        <w:tc>
          <w:tcPr>
            <w:tcW w:w="157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847270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VALOR UNIT</w:t>
            </w:r>
          </w:p>
        </w:tc>
        <w:tc>
          <w:tcPr>
            <w:tcW w:w="138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0CE400">
            <w:pPr>
              <w:pStyle w:val="248"/>
              <w:keepNext w:val="0"/>
              <w:keepLines w:val="0"/>
              <w:widowControl/>
              <w:suppressLineNumbers w:val="0"/>
              <w:tabs>
                <w:tab w:val="left" w:pos="1200"/>
              </w:tabs>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VALOR TOTAL</w:t>
            </w:r>
          </w:p>
        </w:tc>
      </w:tr>
      <w:tr w14:paraId="2408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29DB05F">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01</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7725E30">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56</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A150938">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UN</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80C6EC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POLTRONA PARA AUDITÓRIO COM PORTA COPO (cor a ser definida pela administração):</w:t>
            </w:r>
            <w:r>
              <w:rPr>
                <w:rFonts w:hint="default" w:ascii="Times New Roman" w:hAnsi="Times New Roman" w:cs="Times New Roman"/>
                <w:color w:val="000000"/>
                <w:kern w:val="0"/>
                <w:sz w:val="24"/>
                <w:szCs w:val="24"/>
                <w:lang w:val="en-US" w:eastAsia="zh-CN" w:bidi="ar"/>
              </w:rPr>
              <w:t xml:space="preserve"> A estrutura da poltrona deve ser desenvolvida por tubos industriais de construção mecânica de aço carbono ABNT 1008/1020, nas dimensões de diâmetro 22,22 mm e deve ter espessura média de 1,5 mm, conformados pelo processo mecânico de dobramento de tubos. Na localização superior da estrutura do assento deve ser soldada uma armação que deverá possuir a funcionalidade de articular posições de sentar e sair, nela deve ser fixada uma chapa de aço carbono ABNT 1008/1020 com espessura média de 2,65 mm para perfeita fixação do assento, na ponta do tubo deve ser fixada uma mola helicoidal de retrocesso que deverá ser fabricada em arame EB2050, com diâmetro das aspiras de 4,0 mm de alta resistência e durabilidade a fadiga dinâmica, deve ser utilizada para articulação sincronizada do conjunto com suporte em termoplástico de engenharia (Copolímero de Polipropileno) com 38 mm de largura e 42 mm de profundidade, com seus cantos arredondados. Deve possuir ainda dois tubos industriais de construção mecânica de aço carbono ABNT 1008/1020, na configuração frontal com diâmetro 25,4 mm e com espessura de 1,5 mm e comprimento total de 355 mm, já na configuração traseira as dimensões devem girar em torno de 605 mm com diâmetro de 25,4 mm, espessura média de 1,5 mm, com uma extensão maior que a do pé frontal. Para que este suporte (Pedestal) se fixe a estrutura do assento deve ser desenvolvido um calço em termoplástico de engenharia (Copolímero de Polipropileno) com dimensões de 244 mm de comprimento 31 mm de largura. Na configuração para porta copos devem ser soldado ao suporte (pedestal) uma chapa de aço Sliter 1006/1010 com 227,8 mm de comprimento e 50,0 mm de largura. Para que toda a estrutura se mantenha estável e com alto grau de estabilidade deve ser desenvolvida uma chapa para fixação ao piso de aço carbono ABNT 1010/1020 com acabamento bruto superficial oleado de 305 mm de comprimento e 1,9 mm de espessura, que deverá ter seus cantos arredondados, cobertos por ponteiras plásticas em termoplástico de engenharia (Copolímero de Polipropileno), Por fim deve ser fabricada uma blindagem plástica para cobrir toda a extensão do suporte (Pedestal) em termoplástico de engenharia (Copolímero de Polipropileno) e sua parte externa com nervuras, com 335 mm de comprimento e 180 mm de largura, devem ser fabricados pelo processo de injeção. Toda estrutura deve receber uma proteção de preparação de superfície metálica em nanotecnologia (Nano – Cerâmica) e revestimento eletrostático epóxi pó, que deve garantir proteção e maior vida útil ao produto. Para montagem da estrutura deve ser utilizado os parafusos Cab. Panela Auto Atarraxante Phillips ZB Diâmetro 4,8x19, Parafuso Maquina Cab. Lentilha Fenda Phillips ZB 1/4x1.1/2, Porca SX Autotrav NC ZP ¼, Arruela Lisa ZP EXT 17 mm INT 6,35 mm ESP. 1,2 mm, Parafuso Sextavado Rosca Soberba ZB 3/8 x 60 mm, Bucha S12, Ponteira Plástica Abaulada D 34x2,50 mm preto. O apoio de braço retrátil em termoplástico de engenharia (Copolímero de Polipropileno) deve ser fabricado pelo processo de injeção, com 257 mm de comprimento e 50 mm de largura, deve possuir também conexão do braço retrátil onde deverá proporcionar sua funcionalidade, com diâmetro de 13,50 mm e 41 mm de comprimento, para seu perfeito funcionamento deve ser desenvolvida uma mola helicoidal com filetes de diâmetro 0,60 mm com diâmetro total de 5,3 mm e 18,6 mm de comprimento, por fim para acoplamento do conjunto deve ser fabricada uma conexão em forma de bucha onde deverá facilitar a montagem em termoplástico de engenharia (Copolímero de Polipropileno) nervurada, com 29 mm de largura e 69 mm de comprimento, fabricada pelo processo de injeção. A configuração do braço deverá possuir também a opção de porta copos, que deve ser desenvolvido em termoplástico de engenharia (Copolímero de Polipropileno) e deve ser fabricado pelo processo de injeção, com 58,4 mm de largura e 308,4 mm de comprimento com seus cantos arredondados, para montagem a estrutura deverão ser colocados parafusos sextavado flangeado aço 1045 UNC</w:t>
            </w:r>
            <w:r>
              <w:rPr>
                <w:rFonts w:hint="default" w:ascii="Times New Roman" w:hAnsi="Times New Roman" w:cs="Times New Roman"/>
                <w:color w:val="000000"/>
                <w:kern w:val="0"/>
                <w:sz w:val="24"/>
                <w:szCs w:val="24"/>
                <w:lang w:val="en-US" w:eastAsia="zh-CN" w:bidi="ar"/>
              </w:rPr>
              <w:t xml:space="preserve"> ZP ¼ x 1.3/4 e ponteira para acabamento preta, plástica. O assento deve ser constituído por uma estrutura plástica injetada em termoplástico de engenharia (Copolímero de polipropileno) que deve ser fabricado pelo processo de injeção, com nervuras internas para reforçar ainda mais o componente, que deve ser parafusado a uma alma plástica também deve ser injetada em termoplástico de engenharia (Copolímero de Polipropileno) onde deverá ser fabricado pelo processo de injeção. Deve possuir uma espuma laminada com densidade de 52 kg/m³ podendo ocorrer variações na ordem de +- 2 kg/m³. O assento deve ser revestido pelo processo de tapeçamento convencional. Suas dimensões devem girar em torno de 442 mm de largura, 455 mm de profundidade. Sua geometria deve apresentar em suas extremidades cantos arredondados para diminuir a pressão arterial dos membros inferiores. O encosto deve ser fabricado pelo processo de injeção, na extremidade frontal deve ser parafusado a alma plástica em termoplástico de engenharia (Copolímero de Polipropileno), deverá possuir ainda uma espuma injetada com densidade de 26 kg/m³ podendo ocorrer variações na ordem de +- 2 kg/m³. O encosto deve ser revestido pelo processo de tapaçamento convencional. Suas dimensões devem girar em torno de 460 mm de largura 445 mm de profundidade. Sua geometria deve apresentar em suas extremidades cantos arredondados para diminuir a pressão arterial dos membros superiores. Para montagem da alma plástica a estrutura do encosto deve ser utilizada os parafusos Fixer FL Phillips ZP D 4,5x16 mm. </w:t>
            </w:r>
          </w:p>
          <w:p w14:paraId="332D07F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APRESENTAR JUNTO COM A PROPOSTA COMERCIAL</w:t>
            </w:r>
          </w:p>
          <w:p w14:paraId="3F1C484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esgarçamento máximo da costura padrão, do tecido, no mínimo de 4,5 mm para ambos os sentidos conforme ABNT NBR 9925:2009 ou posterior.</w:t>
            </w:r>
          </w:p>
          <w:p w14:paraId="2EE1CDE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densidade de fios de no mínimo 16 fios/cm, para ambos os sentidos conforme ABNT NBR 10588:2005 ou posterior.</w:t>
            </w:r>
          </w:p>
          <w:p w14:paraId="78A2394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gramatura da superfície têxtil do tecido de no mínimo 250 gm², conforme ABNT NBR 10591:2008 ou posterior.</w:t>
            </w:r>
          </w:p>
          <w:p w14:paraId="539670B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espessura laminado sintético do vinil, de no mínimo 0,90 mm de espessura, conforme ABNT NBR 14099: 2016 ou posterior.</w:t>
            </w:r>
          </w:p>
          <w:p w14:paraId="4B177649">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da resistência a tração e alongamento da ruptura sintético do vinil, de no mínimo 75 n/cm de força de rompimento e no mínimo 34% de alongamento, conforme ABNT NBR 14552: 2021 ou posterior. Relatório de ensaio emitido por laboratório acreditado pelo Inmetro, determinação da massa por unidade de área sintética do vinil, com gramatura mínima de 550 gm², conforme ABNT NBR 14554: 2016 ou posterior.Relatório de ensaio emitido por laboratório acreditado pelo Inmetro, determinação da força máxima e alongamento a força máxima utilizando o método de tira do tecido, de no mínimo 1250 N de força máxima no sentido da trama e alongamento a força máxima 40% no sentido da trama, conforme ABNT NBR 13934: 2016 ou posterior. Relatório de ensaio emitido por laboratório acreditado pelo Inmetro, determinação da força máxima e alongamento a força máxima utilizando o método de tira do tecido, de no mínimo 950 N de força máxima no sentido da trama e alongamento a força máxima 20% no sentido da urdime, conforme ABNT NBR 13934: 2016 ou posterior. Relatório de ensaio emitido por laboratório acreditado pelo Inmetro, comportamento ao fogo, determinação da facilidade de ignição de corpo de prova orientados verticalmente, conforme a ISO 6940: 2014 ou posterior. Relatório de ensaio emitido por laboratório, que a espuma utilizada na fabricação do produto é isenta de CFC. Relatório de ensaio emitido por laboratório acreditado pelo Inmetro, determinação das características da queima, de material poliméricos celulares flexíveis, conforme ABNT NBR 9178: 2022 ou posterior. Certificado de conformidade emitido por uma OCP, comprovando que o fabricante tem seu processo de preparação e pintura de superfícies metálicas, garantindo o atendimento e conformidade às normas ABNT NBR 17088, ABNT NBR 8095, ABNT NBR 8096, ABNT NBR 10443, ABNT NBR 11003, ASTM D 523, ASTM D 3359, ASTM D 3363, ABNT NBR 10545, ASTM D 7091, NBR 5841, ASTM D 2794, NBR ISO 4628-3. Certificado de cadeia de custódia, ou similares, para produtos de origem Florestal (Forestry Stewardship Council - FSC ou Certificação Florestal / Programme for the Endorsement of Forest Certification - Cerflor/Pefc). Caso a empresa classificada não seja fabricante, ela deve apresentar documento que comprove que o fabricante do produto possui tal certificação, ou declaração que seu fornecedor de matéria prima é certificado. Relatório de ensaio emitido por laboratório acreditado pelo Inmetro de acordo com a NBR 8515/2020 – espuma flexível de poliuretano – determinação da resistência à tração.Relatório de ensaio emitido por laboratório acreditado pelo Inmetro de acordo com a NBR 8516:2015 – espuma flexível de poliuretano – determinação da resistência ao rasgamento. Relatório de ensaio emitido por laboratório acreditado pelo Inmetro de acordo com a NBR 8537:2015 – espuma flexível de poliuretano – determinação da densidade. Relatório de ensaio emitido por laboratório acreditado pelo Inmetro de acordo com a NBR 8797:2017 – espuma flexível de poliuretano – determinação da deformação permanente à compressão. Relatório de ensaio emitido por laboratório acreditado pelo Inmetro de acordo com a NBR 9177:2003 – espuma flexível de poliuretano – determinação da fadiga dinâmica.</w:t>
            </w:r>
          </w:p>
          <w:p w14:paraId="79C53B6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9176/2016 para determinação da força necessária para se produzir uma compressão pré-fixada sobre uma amostra de espuma flexível de poliuretano, aplicada sobre uma área determinada. Relatório de ensaio emitido por laboratório acreditado pelo Inmetro de acordo com a NBR 14961/2016 determinação do teor de cinzas em espumas flexíveis de poliuretano.</w:t>
            </w:r>
          </w:p>
          <w:p w14:paraId="33AADBE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8619/15 determinação da resiliência em espumas flexíveis de poliuretano.</w:t>
            </w:r>
          </w:p>
          <w:p w14:paraId="6C058B4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8910/2016, determinação da resistência à compressão de espumas flexí¬veis de poliuretano.</w:t>
            </w:r>
          </w:p>
          <w:p w14:paraId="1E4D643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com a NBR 9209/86 atestando que os produtos possuem revestimento em fosfato com massa igual ou superior a 1,55g/m²;</w:t>
            </w:r>
          </w:p>
          <w:p w14:paraId="6744615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quanto a tinta aplicada espessura e camada de tinta NBR 10443/08, com no mínimo 70 micros, com ensaio feito a partir de chapa de aço A36 6.35x76,20mm;</w:t>
            </w:r>
          </w:p>
          <w:p w14:paraId="5E95C99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66FF09D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09B061B8">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xml:space="preserve">Relatório de ensaio emitido por laboratório acreditado pelo Inmetro quanto a resistência a flexão do assento e encosto, carteiras e pranchetas em resina termoplástica copolímero de polipropileno – norma ASTM D790; </w:t>
            </w:r>
          </w:p>
          <w:p w14:paraId="45113714">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xml:space="preserve">Relatório de ensaio emitido por laboratório acreditado pelo Inmetro de acordo com a ISO 178 quanto a resistência a tensão por flexão do assento e encosto, carteiras e pranchetas em resina termoplástica copolímero de polipropileno; </w:t>
            </w:r>
          </w:p>
          <w:p w14:paraId="30E771A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acreditado pelo Inmetro, atestando a análise de materiais por espectroscopia no infravermelho (FTIR) em plástico pp(polipropileno), norma ASTM E1252:1998;</w:t>
            </w:r>
          </w:p>
          <w:p w14:paraId="60AD3736">
            <w:pPr>
              <w:pStyle w:val="248"/>
              <w:keepNext w:val="0"/>
              <w:keepLines w:val="0"/>
              <w:widowControl/>
              <w:suppressLineNumbers w:val="0"/>
              <w:bidi w:val="0"/>
              <w:spacing w:before="0" w:beforeAutospacing="1" w:after="0" w:afterAutospacing="0" w:line="0" w:lineRule="atLeast"/>
              <w:ind w:left="0" w:right="0"/>
              <w:jc w:val="both"/>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Laudo emitido por laboratório quando a atividade anti-viral de acordo com a ISO 21702:2019 em produtos porosos e não porosos (Polipropileno), para a família do SARS-CoV-2 (Corona-Vírus).</w:t>
            </w:r>
          </w:p>
          <w:p w14:paraId="50224535">
            <w:pPr>
              <w:pStyle w:val="248"/>
              <w:keepNext w:val="0"/>
              <w:keepLines w:val="0"/>
              <w:widowControl/>
              <w:suppressLineNumbers w:val="0"/>
              <w:bidi w:val="0"/>
              <w:spacing w:before="0" w:beforeAutospacing="1" w:after="0" w:afterAutospacing="0" w:line="0" w:lineRule="atLeast"/>
              <w:ind w:left="0" w:right="0"/>
              <w:jc w:val="center"/>
              <w:rPr>
                <w:rFonts w:hint="default" w:ascii="Times New Roman" w:hAnsi="Times New Roman" w:cs="Times New Roman"/>
                <w:color w:val="000000"/>
                <w:kern w:val="0"/>
                <w:sz w:val="24"/>
                <w:szCs w:val="24"/>
                <w:lang w:val="en-US" w:eastAsia="zh-CN" w:bidi="ar"/>
              </w:rPr>
            </w:pPr>
            <w:r>
              <w:drawing>
                <wp:inline distT="0" distB="0" distL="114300" distR="114300">
                  <wp:extent cx="1048385" cy="1515110"/>
                  <wp:effectExtent l="0" t="0" r="18415" b="889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
                          <pic:cNvPicPr>
                            <a:picLocks noChangeAspect="1"/>
                          </pic:cNvPicPr>
                        </pic:nvPicPr>
                        <pic:blipFill>
                          <a:blip r:embed="rId12"/>
                          <a:stretch>
                            <a:fillRect/>
                          </a:stretch>
                        </pic:blipFill>
                        <pic:spPr>
                          <a:xfrm>
                            <a:off x="0" y="0"/>
                            <a:ext cx="1048385" cy="1515110"/>
                          </a:xfrm>
                          <a:prstGeom prst="rect">
                            <a:avLst/>
                          </a:prstGeom>
                          <a:noFill/>
                          <a:ln>
                            <a:noFill/>
                          </a:ln>
                        </pic:spPr>
                      </pic:pic>
                    </a:graphicData>
                  </a:graphic>
                </wp:inline>
              </w:drawing>
            </w:r>
          </w:p>
          <w:p w14:paraId="04995B2D">
            <w:pPr>
              <w:pStyle w:val="248"/>
              <w:keepNext w:val="0"/>
              <w:keepLines w:val="0"/>
              <w:widowControl/>
              <w:suppressLineNumbers w:val="0"/>
              <w:bidi w:val="0"/>
              <w:spacing w:before="0" w:beforeAutospacing="1" w:after="0" w:afterAutospacing="0" w:line="0" w:lineRule="atLeast"/>
              <w:ind w:left="0" w:right="0"/>
              <w:jc w:val="both"/>
              <w:rPr>
                <w:color w:val="000000"/>
              </w:rPr>
            </w:pPr>
            <w:bookmarkStart w:id="59" w:name="Imagem 5"/>
            <w:bookmarkEnd w:id="59"/>
            <w:r>
              <w:rPr>
                <w:rFonts w:hint="default" w:ascii="Times New Roman" w:hAnsi="Times New Roman" w:cs="Times New Roman"/>
                <w:color w:val="000000"/>
                <w:kern w:val="0"/>
                <w:sz w:val="24"/>
                <w:szCs w:val="24"/>
                <w:lang w:val="en-US" w:eastAsia="zh-CN" w:bidi="ar"/>
              </w:rPr>
              <w:t>** imagem ilustrativa</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489439D">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1.815,40</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C6F81E">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101.662,40</w:t>
            </w:r>
          </w:p>
        </w:tc>
      </w:tr>
      <w:tr w14:paraId="12E8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34F3E32">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02</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BA1994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02</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1E21C19">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UN</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04CC4B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POLTRONA AUDITÓRIO - PLUS SIZE (cor a ser definida pela administração)</w:t>
            </w:r>
            <w:r>
              <w:rPr>
                <w:rFonts w:hint="default" w:ascii="Times New Roman" w:hAnsi="Times New Roman" w:cs="Times New Roman"/>
                <w:color w:val="000000"/>
                <w:kern w:val="0"/>
                <w:sz w:val="24"/>
                <w:szCs w:val="24"/>
                <w:lang w:val="en-US" w:eastAsia="zh-CN" w:bidi="ar"/>
              </w:rPr>
              <w:t xml:space="preserve"> - A estrutura da poltrona deve ser desenvolvida por tubos industriais de construção mecânica de aço carbono ABNT 1008 / 1020, nas dimensões de diâmetro de 25,40 mm e espessura da parede de 1,90 mm, onde devem ser conformados pelo processo mecânico de curvamento de tubos, e deverão ser conectadas duas chapas de aço denominadas suportes, os quais devem ser fabricados de aço carbono ABNT 1008/1020, nas espessuras de 2,75 mm, e devem ser conformados pelo processo de estampagem (Corte / Dobra / Repuxo) e por fim serão fixados pelo processo de soldagem MIG. Um desses suportes deve ser utilizado para fixação do conjunto no piso, por meio de arruelas lisas e parafusos métricos sextavados M8 x 49,0 mm ou parafusos auto atarraxastes com buchas expansivas. Já o outro suporte deve ser constituído por dois rebites com porcas, que devem ser fabricados em aço carbono com acabamento bicromatizado, que deverá ser utilizados para montagem do mecanismo. Toda a estrutura deve receber uma proteção de preparação de superfície metálica em nanotecnologia (nanocerâmica), e deve ser revestido em eletroestático epóxi em pó, que deverá garantir proteção e maior vida útil ao produto. O conjunto mecânico deve ser constituído por três suportes de sustentação, sendo que dois devem ser fabricados em chapa de aço carbono ABNT 1008/1020, na espessura de 2,0 mm, onde devem ser conformados e furados pelo processo de estampagem. Na localização dos furos deve ser montado uma bucha, que deverá ser fabricada em material termoplástico poliacetal natural (POM), a qual deve ser produzida pelo processo de injeção, que terá a finalidade de redução de atrito e vibrações do conjunto e um tubo de aço carbono ABNT 1008/1020, nas medidas de 18,0 mm de diâmetro e espessura da parede na ordem de 1,7 mm, que deve ser fixado pelo processo de soldagem MIG. O outro suporte, denominado biela, deve ser fabricado em chapa de aço carbono ABNT 1008/1020, com espessura de 4,90 mm, onde deverá ser utilizado para montagem do conjunto encosto. Este conjunto deve ser montado entre si, através de um eixo que deverá ser fabricado em aço carbono trefilado ABNT 1008/1020, com diâmetro de 12,0 mm com quatro ranhuras, onde deverá ser protegido contra corrosão a base de eletrodeposição a zinco (zincado natural) e deverão ser fixados por anéis elásticos produzidos em aço carbono com arruelas, as quais devem ser fabricadas em material termoplástico poliacetal (POM), pelo processo de injeção, que devem ter a finalidade de redução de atrito e vibrações. Para montagem do assento/encosto, devem ser utilizados dois mecanismos sendo que o mecanismo (lado esquerdo do usuário), deve ser composto por uma mola helicoidal de retrocesso, que deverá ser fabricada em arame EB2050, e deverá ter um diâmetro das espiras de 4,0 mm de alta resistência e durabilidade a fadiga dinâmica que deve ser utilizada para a articulação sincronizada do conjunto. Toda a estrutura deve receber uma proteção de preparação de superfície metálica em nanotecnologia (nanocerâmica), e deve ser revestida em eletroestático epóxi em pó, que garantirá proteção e maior vida útil ao produto. Este conjunto deve possuir painéis de proteção e acabamento com iluminação de led nas laterais onde devem ir os corredores para mostrar a numeração das filas do auditório bem como os corredores, onde deverá servir também como luz de cortesia. Esses acabamentos laterais devem ser fabricados pelo processo de injeção de termoplásticos em polipropileno (PP) com espessura de 3 mm onde devem ser fixados uns aos outros por meio de parafusos para plástico, que deverá garantir assim, o acabamento e configurações do produto. O assento deve possuir 0,93 m de largura atendendo a norma NBR 9050/2020. Deve ter uma estrutura em tubos de aço carbono 1008/1020 de seção quadrada 20x20 mm com parede 1,2 mm de espessura que deve receber uma proteção contra corrosão, essa deve ser caracterizada pelo processo de preparação de superfície metálica por fosfatização a base de zinco e deve ser revestida por pintura eletrostática ep</w:t>
            </w:r>
            <w:r>
              <w:rPr>
                <w:rFonts w:hint="default" w:ascii="Times New Roman" w:hAnsi="Times New Roman" w:cs="Times New Roman"/>
                <w:color w:val="000000"/>
                <w:kern w:val="0"/>
                <w:sz w:val="24"/>
                <w:szCs w:val="24"/>
                <w:lang w:val="en-US" w:eastAsia="zh-CN" w:bidi="ar"/>
              </w:rPr>
              <w:t xml:space="preserve">óxi pó, onde deverá reforçar o assento de modo a suportar os 250 Kg exigidos pela norma NBR 9050/2020. O assento deve ser revestido com uma peça em ABS que deve ser fabricada através do processo de vacum forming para acabamento. O apoio de braço fixo deve ser constituído por duas peças montadas entre si que devem ser fabricadas pelo processo de injeção de termoplásticos, os quais devem ser desenhados na configuração retangular de forma a se obter o máximo de desempenho anatômico para o apoio dos braços, e deve ser fabricado por polipropileno (PP) com espessura de 3mm. Para a fixação do apoio de braço na estrutura, a peça deve possuir em sua extremidade inferior o formato de duas buchas com estrias levemente conificadas que devem ser fixadas aos tubos de diâmetro de 25mm através de interferência mecânica. O encosto deve possuir tamanho de 0,93 m de largura atendendo a norma NBR 9050/2020. Deve possuir uma estrutura em tubos de aço carbono 1008/1020 de seção quadrada 20x20 mm, onde deve ter uma parede de 1,2 mm de espessura que deverá receber uma proteção contra corrosão, e assim deverá ser caracterizada pelo processo de preparação de superfície metálica por fosfatização a base de zinco e deve ser revestida por pintura eletrostática epóxi pó, onde deve reforçar o encosto para que deva suportar os 250 Kg exigidos pela norma NBR 9050/2020. Esse assento deve ser revestido com uma peça, a qual deve ser fabricada em ABS através do processo de vacum forming para acabamento. </w:t>
            </w:r>
          </w:p>
          <w:p w14:paraId="0F6C1C18">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APRESENTAR JUNTO COM A PROPOSTA COMERCIAL</w:t>
            </w:r>
          </w:p>
          <w:p w14:paraId="0E9A54F8">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esgarçamento máximo da costura padrão, do tecido, no mínimo de 4,5 mm para ambos os sentidos conforme abnt nbr 9925:2009 ou posterior.</w:t>
            </w:r>
          </w:p>
          <w:p w14:paraId="524318A7">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densidade de fios de no mínimo 16 fios/cm, para ambos os sentidos conforme abnt nbr 10588:2005 ou posterior.</w:t>
            </w:r>
          </w:p>
          <w:p w14:paraId="7697ED68">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gramatura da superfície têxtil do tecido de no mínimo 250 gm², conforme abnt nbr 10591:2008 ou posterior.</w:t>
            </w:r>
          </w:p>
          <w:p w14:paraId="7E46F849">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espessura laminado sintético do vinil, de no mínimo 0,90 mm de espessura, conforme abnt nbr 14099: 2016 ou posterior.</w:t>
            </w:r>
          </w:p>
          <w:p w14:paraId="62F3F461">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da resistência a tração e alongamento da ruptura sintético do vinil, de no mínimo 75 n/cm de força de rompimento e no mínimo 34% de alongamento, conforme abnt nbr 14552: 2021 ou posterior.</w:t>
            </w:r>
          </w:p>
          <w:p w14:paraId="6CAA71BC">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massa por unidade de área sintética do vinil, com gramatura mínima de 550 gm², conforme abnt nbr 14554: 2016 ou posterior.</w:t>
            </w:r>
          </w:p>
          <w:p w14:paraId="14014094">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á força máxima utilizando o método de tira do tecido, de no mínimo 1250 n de força máxima no sentido da trama e alongamento a força máxima 40% no sentido da trama, conforme abnt nbr 13934: 2016 ou posterior.</w:t>
            </w:r>
          </w:p>
          <w:p w14:paraId="766186D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á força máxima utilizando o método de tira do tecido, de no mínimo 950 n de força máxima no sentido da trama e alongamento a força máxima 20% no sentido da urdime, conforme abnt nbr 13934: 2016 ou posterior.</w:t>
            </w:r>
          </w:p>
          <w:p w14:paraId="5E3DE19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comportamento ao fogo, determinação da facilidade de ignição de corpo de prova orientados verticalmente, conforme a iso 6940 : 2014 ou posterior.</w:t>
            </w:r>
          </w:p>
          <w:p w14:paraId="5130965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que a espuma utilizada na fabricação do produto é isenta de cfc.</w:t>
            </w:r>
          </w:p>
          <w:p w14:paraId="2D955664">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das características da queima, de material poliméricos celulares flexíveis, conforme abnt nbr 9178: 2022 ou posterior.</w:t>
            </w:r>
          </w:p>
          <w:p w14:paraId="6E5A860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Certificado de conformidade emitido por uma OCP, comprovando que o fabricante tem seu processo de preparação e pintura de superfícies metálicas, garantindo o atendimento e conformidade às normas ABNT NBR 17088, ABNT NBR 8095, ABNT NBR 8096, ABNT NBR 10443, ABNT NBR 11003, ASTM D 523, ASTM D 3359, ASTM D 3363, ABNT NBR 10545, ASTM D 7091, NBR 5841, ASTM D 2794, NBR ISO 4628-3.</w:t>
            </w:r>
          </w:p>
          <w:p w14:paraId="6FEDC17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xml:space="preserve">Certificado de cadeia de custódia, ou similares, para produtos de origem florestal (forestry stewardship council - fsc ou certificação florestal / programme for the endorsement of forest certification - cerflor/pefc). Caso a empresa classificada não seja fabricante, ela deve apresentar documento que comprove que o fabricante do produto possui tal certificação, ou declaração que seu fornecedor de matéria prima é certificado. </w:t>
            </w:r>
          </w:p>
          <w:p w14:paraId="738B8FD2">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8515/2020 – espuma flexível de poliuretano – determinação da resistência à tração.</w:t>
            </w:r>
          </w:p>
          <w:p w14:paraId="58267AA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8516:2015 – espuma flexível de poliuretano – determinação da resistência ao rasgamento.</w:t>
            </w:r>
          </w:p>
          <w:p w14:paraId="5F5E0EC4">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8537:2015 – espuma flexível de poliuretano – determinação da densidade.</w:t>
            </w:r>
          </w:p>
          <w:p w14:paraId="1702AAF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8797:2017 – espuma flexível de poliuretano – determinação da deformação permanente à compressão.</w:t>
            </w:r>
          </w:p>
          <w:p w14:paraId="714D0112">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9177:2003 – espuma flexível de poliuretano – determinação da fadiga dinâmica.</w:t>
            </w:r>
          </w:p>
          <w:p w14:paraId="015E0621">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9176/2016 para determinação da força necessária para se produzir uma compressão pré-fixada sobre uma amostra de espuma flexível de poliuretano, aplicada sobre uma área determinada.</w:t>
            </w:r>
          </w:p>
          <w:p w14:paraId="7B6592E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14961/2016 determinação do teor de cinzas em espumas flexíveis de poliuretano.</w:t>
            </w:r>
          </w:p>
          <w:p w14:paraId="0492892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8619/15 determinação da resiliência em espumas flexíveis de poliuretano.</w:t>
            </w:r>
          </w:p>
          <w:p w14:paraId="3BA555C2">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8910/2016, determinação da resistência à compressão de espumas flexí¬veis de poliuretano.</w:t>
            </w:r>
          </w:p>
          <w:p w14:paraId="5B8EAEF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com a nbr 9209/86 atestando que os produtos possuem revestimento em fosfato com massa igual ou superior a 1,55g/m²;</w:t>
            </w:r>
          </w:p>
          <w:p w14:paraId="7918AA2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quanto a tinta aplicada espessura e camada de tinta nbr 10443/08, com no mínimo 70 micros, com ensaio feito a partir de chapa de aço a36 6.35x76,20mm;</w:t>
            </w:r>
          </w:p>
          <w:p w14:paraId="7F4B659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5D8A4FEB">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07F09668">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conforme normas abnt nbr 15878-2010-em1-2011 – móveis assentos para espectadores.</w:t>
            </w:r>
          </w:p>
          <w:p w14:paraId="5DFEF5CD">
            <w:pPr>
              <w:pStyle w:val="248"/>
              <w:keepNext w:val="0"/>
              <w:keepLines w:val="0"/>
              <w:widowControl/>
              <w:suppressLineNumbers w:val="0"/>
              <w:bidi w:val="0"/>
              <w:spacing w:before="0" w:beforeAutospacing="1" w:after="0" w:afterAutospacing="0" w:line="0" w:lineRule="atLeast"/>
              <w:ind w:left="0" w:right="0"/>
              <w:jc w:val="both"/>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iso 354:2003 de reverberação acústica para poltronas de auditório.</w:t>
            </w:r>
          </w:p>
          <w:p w14:paraId="7AB6C6CC">
            <w:pPr>
              <w:pStyle w:val="248"/>
              <w:keepNext w:val="0"/>
              <w:keepLines w:val="0"/>
              <w:widowControl/>
              <w:suppressLineNumbers w:val="0"/>
              <w:bidi w:val="0"/>
              <w:spacing w:before="0" w:beforeAutospacing="1" w:after="0" w:afterAutospacing="0" w:line="0" w:lineRule="atLeast"/>
              <w:ind w:left="0" w:right="0"/>
              <w:jc w:val="center"/>
              <w:rPr>
                <w:color w:val="000000"/>
              </w:rPr>
            </w:pPr>
            <w:r>
              <w:drawing>
                <wp:inline distT="0" distB="0" distL="114300" distR="114300">
                  <wp:extent cx="1631950" cy="1631950"/>
                  <wp:effectExtent l="0" t="0" r="0"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2"/>
                          <pic:cNvPicPr>
                            <a:picLocks noChangeAspect="1"/>
                          </pic:cNvPicPr>
                        </pic:nvPicPr>
                        <pic:blipFill>
                          <a:blip r:embed="rId13"/>
                          <a:stretch>
                            <a:fillRect/>
                          </a:stretch>
                        </pic:blipFill>
                        <pic:spPr>
                          <a:xfrm>
                            <a:off x="0" y="0"/>
                            <a:ext cx="1631950" cy="1631950"/>
                          </a:xfrm>
                          <a:prstGeom prst="rect">
                            <a:avLst/>
                          </a:prstGeom>
                          <a:noFill/>
                          <a:ln>
                            <a:noFill/>
                          </a:ln>
                        </pic:spPr>
                      </pic:pic>
                    </a:graphicData>
                  </a:graphic>
                </wp:inline>
              </w:drawing>
            </w:r>
            <w:bookmarkStart w:id="60" w:name="Imagem 3"/>
            <w:bookmarkEnd w:id="60"/>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FC7DBB8">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4.667,19</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F99B1B">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9.334,38</w:t>
            </w:r>
          </w:p>
        </w:tc>
      </w:tr>
      <w:tr w14:paraId="5976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494" w:type="dxa"/>
            <w:gridSpan w:val="4"/>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A244BA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TOTAL LOTE 1</w:t>
            </w:r>
          </w:p>
        </w:tc>
        <w:tc>
          <w:tcPr>
            <w:tcW w:w="2963"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0CEF3E">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b/>
                <w:bCs/>
                <w:color w:val="000000"/>
                <w:kern w:val="0"/>
                <w:lang w:val="en-US" w:eastAsia="zh-CN" w:bidi="ar"/>
              </w:rPr>
              <w:t>R$ 110.996,78</w:t>
            </w:r>
          </w:p>
        </w:tc>
      </w:tr>
      <w:tr w14:paraId="5716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9457" w:type="dxa"/>
            <w:gridSpan w:val="6"/>
            <w:tcBorders>
              <w:top w:val="nil"/>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top"/>
          </w:tcPr>
          <w:p w14:paraId="1F5FDFBA">
            <w:pPr>
              <w:pStyle w:val="248"/>
              <w:keepNext w:val="0"/>
              <w:keepLines w:val="0"/>
              <w:widowControl/>
              <w:suppressLineNumbers w:val="0"/>
              <w:tabs>
                <w:tab w:val="left" w:pos="1200"/>
              </w:tabs>
              <w:bidi w:val="0"/>
              <w:spacing w:before="0" w:beforeAutospacing="1" w:after="0" w:afterAutospacing="0" w:line="0" w:lineRule="atLeast"/>
              <w:ind w:left="0" w:right="0"/>
              <w:jc w:val="center"/>
              <w:rPr>
                <w:color w:val="000000"/>
              </w:rPr>
            </w:pPr>
            <w:r>
              <w:rPr>
                <w:rFonts w:hint="default" w:ascii="Times New Roman" w:hAnsi="Times New Roman" w:cs="Times New Roman"/>
                <w:b/>
                <w:bCs/>
                <w:color w:val="000000"/>
                <w:kern w:val="0"/>
                <w:sz w:val="24"/>
                <w:szCs w:val="24"/>
                <w:lang w:val="en-US" w:eastAsia="zh-CN" w:bidi="ar"/>
              </w:rPr>
              <w:t>LOTE 2</w:t>
            </w:r>
          </w:p>
        </w:tc>
      </w:tr>
      <w:tr w14:paraId="37A5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7BE4DA2">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01</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7651B4B">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70</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1F81C1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UN</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AA358C2">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CADEIRA PRESIDENTE TELA (na cor preta)</w:t>
            </w:r>
            <w:r>
              <w:rPr>
                <w:rFonts w:hint="default" w:ascii="Times New Roman" w:hAnsi="Times New Roman" w:cs="Times New Roman"/>
                <w:color w:val="000000"/>
                <w:kern w:val="0"/>
                <w:sz w:val="24"/>
                <w:szCs w:val="24"/>
                <w:lang w:val="en-US" w:eastAsia="zh-CN" w:bidi="ar"/>
              </w:rPr>
              <w:t xml:space="preserve"> A cadeira deverá possuir cinco rodízios, sendo que cada um deles deverá ser constituído de 2 (duas) roldanas circulares na dimensão de 50 mm de diâmetro e deverão ser fabricadas em termoplástico denominado de poliamida (PA 6,6) e PU em sua extremidade, onde serão dedicadas para serem utilizadas em pisos rígidos. O corpo do rodízio deverá ser confeccionado de forma semicircular e deverá ser fabricado em material termoplástico denominado de poliamida (PA 6,6). As roldanas serão fixadas neste corpo através de um eixo horizontal de aço carbono ABNT 1005/10 na dimensão de 6 mm que deverá ser submetido a um processo de lubrificação através de graxa específica para redução de atrito na operação de rolamento sob o piso. O corpo do rodízio deverá ser constituído por um eixo vertical (perpendicular ao piso) de aço carbono ABNT 1008/10 na dimensão de 11 mm e protegido contra corrosão pelo processo de eletrodeposição a zinco onde se encontrará montado através de um anel elástico sob pressão no corpo do rodízio, que receberá lubrificação para reduzir o atrito no deslocamento rotativo. A base deverá ter uma configuração em forma de pentágono, obtendo um diâmetro na ordem de 690 mm e deverá ser constituída com 5 (cinco) pás de apoio em formato piramidal e com acabamento texturizado, onde deverá ser fabricada pelo processo de injeção de termoplástico em poliamida, aditivada com 30% de fibra de vidro, que deverá possuir na extremidade de cada pá integrada em peça única o alojamento para o encaixe dos rodízios. A coluna a gás deverá ser constituída de um corpo cilíndrico denominado câmara, que deverá ser fabricado com tubo de construção mecânica de precisão de aço carbono ABNT 1008/1020 na medida externa de 50 mm e deverá ser conformado em uma de suas extremidades pelo processo de conificação para perfeita fixação na base. A coluna deve possuir curso de 115 mm. O conjunto câmara deve receber proteção contra corrosão através de um revestimento de pintura eletrostática epóxi preto e no cartucho a gás uma camada de eletrodeposição de cromo (Cromeação). O mecanismo deve receber uma proteção de preparação de superfície metálica e revestimento eletroestático epóxi em pó, onde deverá garantir proteção e maior vida útil ao produto. Deve possuir três alavancas sendo que duas delas devem funcionar por meio de giro, uma localizada no lado direito, que comandará o acionamento da coluna a gás, para regulagem de altura da cadeira, e a outra deverá estar localizada no lado esquerdo, que travará e destravará o movimento de reclinação do encosto. A terceira alavanca deverá estar localizada também no lado direito, porém localizada um pouco mais à frente, onde deverá liberar e travar o mecanismo de slider. O mecanismo deve possuir os recursos de movimento sincronizado de reclinação do encosto/assento que deverá ter cinco posições de travamento, e relação de inclinação de 2:1, o sistema de anti-impacto em todas as posições de travamento do encosto, o qual não deverá liberar o movimento apenas com o acionamento da alavanca, dessa forma evitará o impacto repentino do encosto no usuário. Para que o sistema seja liberado, deverá ser submetido o encosto a uma leve pressão para trás aliado ao acionamento da alavanca. A opção de livre flutuação, onde o encosto encontra-se livre para movimentação, deve manter o mesmo sempre em contato e sob pressão com as costas do usuário. Essa pressão deverá ser ajustada através de um knob na parte frontal do mecanismo. O slider, que deverá permitir regular horizontalmente o avanço e recuo do assento em 50 mm, deve possuir cinco posições distintas. O assento deve ser constituído por compensado multilaminado de madeira com 12 mm de espessura. Deverá possuir porcas garra ¼” que serão inseridas nos pontos de montagem da madeira, que devem ser fabricadas em aço carbono e serem revestidas pelo processo de eletrodeposição à zinco. Na estrutura do assento deverá ser fixada 1 (uma) almofada de espuma ergonômica e flexível à base de poliuretano (PU), que deverá ser fabricada através de siste</w:t>
            </w:r>
            <w:r>
              <w:rPr>
                <w:rFonts w:hint="default" w:ascii="Times New Roman" w:hAnsi="Times New Roman" w:cs="Times New Roman"/>
                <w:color w:val="000000"/>
                <w:kern w:val="0"/>
                <w:sz w:val="24"/>
                <w:szCs w:val="24"/>
                <w:lang w:val="en-US" w:eastAsia="zh-CN" w:bidi="ar"/>
              </w:rPr>
              <w:t xml:space="preserve">mas químicos à base de poliol/isocianato pelo processo de injeção sob pressão. Esta almofada deverá possuir densidade controlada de 55 kg/m³ podendo ocorrer variações na ordem de +/- 2 kg/m³. O conjunto deve ser revestido com tecido pelo processo de tapeçamento convencional. Suas dimensões devem ser aproximadamente 500 mm (largura) x 450 mm (profundidade) que devem apresentar em suas extremidades cantos arredondados. O assento ainda deverá possuir uma blindagem plástica que deve ser fabricada pelo processo de injeção em termoplástico de engenharia (Copolímero de Polipropileno). O apoio de braço deverá ter três tipos de regulagem, sendo o de altura, avanço horizontal e giro sobre seu próprio eixo. A regulagem de altura deve ser pelo pressionamento de um botão na lateral externa do apoio de braço, já o avanço horizontal e o giro deverão ser de maneira simples, bastando que o usuário exerça força sobre o mesmo e o posicione na posição desejada. Deverá possuir 60 mm de curso para a regulagem de altura, a regulagem horizontal deverá permitir 22 mm de avanço e recuo do apoia braços e a regulagem de giro deverá permitir 24° de rotação para cada sentido. A alma do apoio de braço deve ser fabricada em chapa de aço 1008/1020 com 6,35 mm de espessura, já os componentes e mecanismos estruturais devem ser fabricados em poliamida aditivada com 30% de fibra de vidro, com peças de acabamento em copolímero de polipropileno. Para montar o braço no assento, devem ser utilizados dois parafusos sextavados para cada braço. O encosto deve ser fabricado em ABS, pelo processo de injeção de termoplásticos, enquanto a estrutura do encosto deverá ser fabricada em termoplástico de engenharia (Copolímero de Polipropileno), reforçado com fibra de vidro. Deverá possuir dimensões aproximadas de 460 mm de largura por 550 mm de altura. A superfície de contato com o usuário deverá ser formada por uma tela 100% Poliéster tencionada, que será unida à moldura que por sua vez deverá ser fixada na estrutura por meio de cliques de encaixe, dispensando o uso de parafusos, trazendo maior conforto e qualidade ao componente. A estrutura do encosto deverá receber quatro buchas americanas em seus pontos de união com o mecanismo e após, esse conjunto ser fixado ao mecanismo deverá proporcionar a ligação do encosto/mecanismo com o assento. O apoio lombar deverá ser fabricado em uma mistura de polipropileno e EVA, onde utilizará o processo de injeção de termoplástico. Este apoio deverá ser posicionado atrás da tela e permitirá um ajuste na altura do apoio lombar em nove posições distintas que deverão percorrer um curso de 40 mm. Deverá possuir um sistema semelhante à catraca para a regulagem da posição, bastando ser movido para cima ou para baixo até a posição desejada. O apoio de cabeça deve ser fabricado em uma mistura de poliamida 6.0 e poliamida 6.6 com fibra de vidro, em um processo de injeção de termoplásticos. Esse apoio deverá possuir uma moldura onde deverá ser fixada uma tela 100% poliéster e um trilho guia que deverá permitir a regulagem de altura, contemplando uma faixa de 50 mm de curso através do deslocamento da haste sobre o trilho. Também deverá possuir uma regulagem de angulação do apoio, onde deverá ser adicionado ao mesmo um acoplamento com uma haste articulada que irá permitir o ajuste de angulação em três posições diferentes abrangendo uma faixa de 45°, essa haste se conecta ao trilho já citado. Esse conjunto deverá ser fixado à carenagem por meio de encaixes com grampos metálicos em forma de estrela que deverão ser fixados à moldura com parafusos e, dessa forma, os mesmos não devem ficar aparentes na montagem. </w:t>
            </w:r>
          </w:p>
          <w:p w14:paraId="19EBB54B">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APRESENTAR JUNTO COM A PROPOSTA COMERCIAL:</w:t>
            </w:r>
          </w:p>
          <w:p w14:paraId="4CB465E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esgarçamento máximo da costura padrão, do tecido, no mínimo de 4,5 mm para ambos os sentidos conforme ABNT NBR 9925:2009 ou posterior.</w:t>
            </w:r>
          </w:p>
          <w:p w14:paraId="5B49A1B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esgarçamento máximo da costura padrão, da tela do encosto, no mínimo de 0,5 mm para ambos os sentidos conforme ABNT NBR 9925:2009 ou posterior.</w:t>
            </w:r>
          </w:p>
          <w:p w14:paraId="1AF3E566">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densidade de fios de no mínimo 16 fios/cm, para ambos os sentidos conforme ABNT NBR 10588:2005 ou posterior.</w:t>
            </w:r>
          </w:p>
          <w:p w14:paraId="25BA8D39">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gramatura da superfície têxtil do tecido de no mínimo 250 gm², conforme ABNT NBR 10591:2008 ou posterior.</w:t>
            </w:r>
          </w:p>
          <w:p w14:paraId="5353FDC2">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gramatura da superfície têxtil da tela de no mínimo 390 gm², conforme ABNT NBR 10591:2008 ou posterior.</w:t>
            </w:r>
          </w:p>
          <w:p w14:paraId="5D0A3E8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espessura laminado sintético do vinil, de no mínimo 0,90 mm de espessura, conforme ABNT NBR 14099: 2016 ou posterior.</w:t>
            </w:r>
          </w:p>
          <w:p w14:paraId="614F9C9B">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da resistência a tração e alongamento da ruptura sintético do vinil, de no mínimo 75 n/cm de força de rompimento e no mínimo 34% de alongamento, conforme ABNT NBR 14552: 2021 ou posterior.</w:t>
            </w:r>
          </w:p>
          <w:p w14:paraId="2A86B161">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massa por unidade de área sintética do vinil, com gramatura mínima de 550 gm², conforme ABNT NBR 14554: 2016 ou posterior.</w:t>
            </w:r>
          </w:p>
          <w:p w14:paraId="2B8DEF9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á força máxima utilizando o método de tira do tecido, de no mínimo 1250 n de força máxima no sentido da trama e alongamento a força máxima 40% no sentido da trama, conforme ABNT NBR 13934: 2016 ou posterior.</w:t>
            </w:r>
          </w:p>
          <w:p w14:paraId="55D4B84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á força máxima utilizando o método de tira do tecido, de no mínimo 950 N de força máxima no sentido da trama e alongamento a força máxima 20% no sentido da urdime, conforme ABNT NBR 13934: 2016 ou posterior.</w:t>
            </w:r>
          </w:p>
          <w:p w14:paraId="59763AC6">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a força máxima utilizando o método de tira da tela, de no mínimo 1100n de força máxima no sentido transversal e alongamento a força máxima 120%, conforme ABNT NBR 13934: 2016 ou posterior.</w:t>
            </w:r>
          </w:p>
          <w:p w14:paraId="41352FB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a força máxima utilizando o método de tira da tela, de no mínimo 1550n de força máxima no sentido longitudinal e alongamento a força máxima 50%, conforme ABNT NBR 13934: 2016 ou posterior.</w:t>
            </w:r>
          </w:p>
          <w:p w14:paraId="3367E39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comportamento ao fogo, determinação da facilidade de ignição de corpo de prova orientados verticalmente, conforme a ISO 6940: 2014 ou posterior.</w:t>
            </w:r>
          </w:p>
          <w:p w14:paraId="66634876">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que a espuma utilizada na fabricação do produto é isenta de CFC.</w:t>
            </w:r>
          </w:p>
          <w:p w14:paraId="70EE3F9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das características da queima, de material poliméricos celulares flexíveis, conforme ABNT NBR 9178: 2022 ou posterior.</w:t>
            </w:r>
          </w:p>
          <w:p w14:paraId="4CBC1BE2">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Certificado de conformidade emitido por uma OCP, comprovando que o fabricante tem seu processo de preparação e pintura de superfícies metálicas, garantindo o atendimento e conformidade às normas ABNT NBR 17088, ABNT NBR 8095, ABNT NBR 8096, ABNT NBR 10443, ABNT NBR 11003, ASTM D 523, ASTM D 3359, ASTM D 3363, ABNT NBR 10545, ASTM D 7091, NBR 5841, ASTM D 2794, NBR ISO 4628-3. O certificado de conformidade deverá vir acompanhado dos relatórios/laudos de ensaios completos.</w:t>
            </w:r>
          </w:p>
          <w:p w14:paraId="014A776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Certificado de cadeia de custódia, ou similares, para produtos de origem Florestal (Forestry Stewardship Council - FSC ou Certificação Florestal / Programme for the Endorsement of Forest Certification - Cerflor/Pefc). Caso a empresa classificada não seja fabricante, ela deve apresentar documento que comprove que o fabricante do produto possui tal certificação, ou declaração que seu fornecedor de matéria prima é certificado.</w:t>
            </w:r>
          </w:p>
          <w:p w14:paraId="305D1E8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Certificado de conformidade comprovando a norma NBR 13962:2018 móveis para escritório – cadeiras – requisitos e métodos de ensaios, pelo modelo de certificação 5. O certificado de conformidade deverá vir acompanhado do relatório/laudo de ensaio completo.</w:t>
            </w:r>
          </w:p>
          <w:p w14:paraId="06885C72">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8515/2020 – espuma flexível de poliuretano – determinação da resistência à tração.</w:t>
            </w:r>
          </w:p>
          <w:p w14:paraId="7BC7FCC1">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8516:2015 – espuma flexível de poliuretano – determinação da resistência ao rasgamento.</w:t>
            </w:r>
          </w:p>
          <w:p w14:paraId="11A27EA2">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8537:2015 – espuma flexível de poliuretano – determinação da densidade.</w:t>
            </w:r>
          </w:p>
          <w:p w14:paraId="00F7EC9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8797:2017 – espuma flexível de poliuretano – determinação da deformação permanente à compressão.</w:t>
            </w:r>
          </w:p>
          <w:p w14:paraId="76BC0242">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9177:2003 – espuma flexível de poliuretano – determinação da fadiga dinâmica.</w:t>
            </w:r>
          </w:p>
          <w:p w14:paraId="26CAC48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9176/2016 para determinação da força necessária para se produzir uma compressão pré-fixada sobre uma amostra de espuma flexível de poliuretano, aplicada sobre uma área determinada.</w:t>
            </w:r>
          </w:p>
          <w:p w14:paraId="5933111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14961/2016 determinação do teor de cinzas em espumas flexíveis de poliuretano.</w:t>
            </w:r>
          </w:p>
          <w:p w14:paraId="5A716036">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8619/15 determinação da resiliência em espumas flexíveis de poliuretano.</w:t>
            </w:r>
          </w:p>
          <w:p w14:paraId="6213A0E7">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8910/2016, determinação da resistência à compressão de espumas flexí¬veis de poliuretano.</w:t>
            </w:r>
          </w:p>
          <w:p w14:paraId="2A9BA90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com a NBR 9209/86 atestando que os produtos possuem revestimento em fosfato com massa igual ou superior a 1,55g/m².</w:t>
            </w:r>
          </w:p>
          <w:p w14:paraId="6651222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quanto a tinta aplicada espessura e camada de tinta NBR 10443/08, com no mínimo 70 micros, com ensaio feito a partir de chapa de aço A36 6.35x76,20mm.</w:t>
            </w:r>
          </w:p>
          <w:p w14:paraId="4793B8B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018CE01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7BA05B47">
            <w:pPr>
              <w:pStyle w:val="248"/>
              <w:keepNext w:val="0"/>
              <w:keepLines w:val="0"/>
              <w:widowControl/>
              <w:suppressLineNumbers w:val="0"/>
              <w:bidi w:val="0"/>
              <w:spacing w:before="0" w:beforeAutospacing="1" w:after="0" w:afterAutospacing="0" w:line="0" w:lineRule="atLeast"/>
              <w:ind w:left="0" w:right="0"/>
              <w:jc w:val="center"/>
              <w:rPr>
                <w:color w:val="000000"/>
              </w:rPr>
            </w:pPr>
            <w:r>
              <w:rPr>
                <w:color w:val="000000"/>
                <w:kern w:val="0"/>
                <w:lang w:val="en-US" w:eastAsia="zh-CN" w:bidi="ar"/>
              </w:rPr>
              <w:drawing>
                <wp:inline distT="0" distB="0" distL="114300" distR="114300">
                  <wp:extent cx="304800" cy="304800"/>
                  <wp:effectExtent l="0" t="0" r="0" b="0"/>
                  <wp:docPr id="2" name="Imagem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IMG_258"/>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bookmarkStart w:id="61" w:name="Imagem 8"/>
            <w:bookmarkEnd w:id="61"/>
            <w:r>
              <w:drawing>
                <wp:inline distT="0" distB="0" distL="114300" distR="114300">
                  <wp:extent cx="1347470" cy="2571750"/>
                  <wp:effectExtent l="0" t="0" r="508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3"/>
                          <pic:cNvPicPr>
                            <a:picLocks noChangeAspect="1"/>
                          </pic:cNvPicPr>
                        </pic:nvPicPr>
                        <pic:blipFill>
                          <a:blip r:embed="rId15"/>
                          <a:stretch>
                            <a:fillRect/>
                          </a:stretch>
                        </pic:blipFill>
                        <pic:spPr>
                          <a:xfrm>
                            <a:off x="0" y="0"/>
                            <a:ext cx="1347470" cy="2571750"/>
                          </a:xfrm>
                          <a:prstGeom prst="rect">
                            <a:avLst/>
                          </a:prstGeom>
                          <a:noFill/>
                          <a:ln>
                            <a:noFill/>
                          </a:ln>
                        </pic:spPr>
                      </pic:pic>
                    </a:graphicData>
                  </a:graphic>
                </wp:inline>
              </w:drawing>
            </w:r>
          </w:p>
          <w:p w14:paraId="64179686">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imagem ilustrativa</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2EE0E3E">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1.769,61</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08F79D">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123.872,70</w:t>
            </w:r>
          </w:p>
        </w:tc>
      </w:tr>
      <w:tr w14:paraId="7E37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BABC2ED">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02</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C6562D4">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10</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421CA57">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UN</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DDDCC3B">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 xml:space="preserve">CADEIRA APROXIMAÇÃO TELA (na cor preta) </w:t>
            </w:r>
            <w:r>
              <w:rPr>
                <w:rFonts w:hint="default" w:ascii="Times New Roman" w:hAnsi="Times New Roman" w:cs="Times New Roman"/>
                <w:color w:val="000000"/>
                <w:kern w:val="0"/>
                <w:sz w:val="24"/>
                <w:szCs w:val="24"/>
                <w:lang w:val="en-US" w:eastAsia="zh-CN" w:bidi="ar"/>
              </w:rPr>
              <w:t xml:space="preserve">: A base deve ser definida por uma estrutura fixa fabricada em tubo industrial de construção mecânica de aço carbono ABNT 1008/1020 que deverá ser laminado a frio com diâmetro de 25,4mm com parede de 2,25 mm na base e 1,9 mm no suporte do assento. A base e suporte deverão ser fabricados pelo processo mecânico de curvamento de tubos e deverão ser unidos entre si pelo processo de soldagem MIG. A estrutura contém quatro deslizadores fixos, desenvolvidos para manter a base apoiada sobre o piso e principalmente evitar o contato direto do metal com a superfície de apoio. Os deslizadores devem ser fabricados em material termoplástico de engenharia denominado Polipropileno, pelo processo de injeção. A estrutura deverá ser fixada ao assento por 4 (quatro) parafusos sextavados flangeados ¼” x 2.¼”. Toda a estrutura deverá receber uma proteção de preparação de superfície metálica em nanotecnologia (nanocerâmica), e deverá ter revestimento eletroestático epóxi em pó, que deverá garantir proteção e maior vida útil ao produto. O assento deve ser constituído por compensado multilaminado de madeira com 12 mm de espessura. Deverá possuir porcas garra ¼” que serão inseridas nos pontos de montagem da madeira, que devem ser fabricadas em aço carbono e serem revestidas pelo processo de eletrodeposição à zinco. Na estrutura do assento deverá ser fixada uma almofada de espuma ergonômica e flexível à base de poliuretano (PU), que deverá ser fabricada através de sistemas químicos à base de poliol/isocianato pelo processo de injeção sob pressão. Esta almofada deverá possuir densidade controlada de 55 kg/m³ podendo ocorrer variações na ordem de +/- 2 kg/m³. O conjunto deve ser revestido com tecido pelo processo de tapeçamento convencional. Suas dimensões devem ser aproximadamente 500 mm (largura) x 450 mm (profundidade) que devem apresentar em suas extremidades cantos arredondados. O assento ainda deverá possuir uma blindagem plástica que deve ser fabricada pelo processo de injeção em termoplástico de engenharia (Copolímero de Polipropileno). O apoio de braço fixado à estrutura deverá ser fabricado pelo processo de injeção em termoplástico de engenharia (Copolímero de Polipropileno) e deverá possuir dimensões aproximadas de 250 mm de comprimento, 50 mm de largura e 4,5 mm de espessura. Para a montagem do apoio à estrutura deverão ser utilizados 2 (dois) parafusos flangeados para plástico com dimensões de 4,0 x 25 mm para cada braço. O encosto deve ser constituído por uma moldura que deve ser fabricada em ABS, pelo processo de injeção de termoplásticos, enquanto a estrutura do encosto deverá ser fabricada em termoplástico de engenharia (Copolímero de Polipropileno), reforçado com fibra de vidro. Deverá possuir dimensões aproximadas de 460 mm de largura por 390 mm de altura. A superfície de contato com o usuário deve ser formada por uma tela 100% Poliéster tencionada, que deverá ser fixada à moldura que por sua vez e onde deverá ser parafusada na estrutura com oito parafusos para plástico com dimensões de 5,0x12 mm. A estrutura deve receber quatro buchas americanas em seus pontos de união com a lâmina e após, o conjunto deverá ser fixado em uma lâmina de aço que fará a ligação do encosto com o assento. </w:t>
            </w:r>
          </w:p>
          <w:p w14:paraId="38CC26AC">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APRESENTAR JUNTO COM A PROPOSTA COMERCIAL:</w:t>
            </w:r>
          </w:p>
          <w:p w14:paraId="0FF5290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esgarçamento máximo da costura padrão, do tecido, no mínimo de 4,5 mm para ambos os sentidos conforme ABNT NBR 9925:2009 ou posterior.</w:t>
            </w:r>
          </w:p>
          <w:p w14:paraId="118B13B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esgarçamento máximo da costura padrão, da tela do encosto, no mínimo de 0,5 mm para ambos os sentidos conforme ABNT NBR 9925:2009 ou posterior.</w:t>
            </w:r>
          </w:p>
          <w:p w14:paraId="55040707">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densidade de fios de no mínimo 16 fios/cm, para ambos os sentidos conforme ABNT NBR 10588:2005 ou posterior.</w:t>
            </w:r>
          </w:p>
          <w:p w14:paraId="7266100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gramatura da superfície têxtil do tecido de no mínimo 250 gm², conforme ABNT NBR 10591:2008 ou posterior.</w:t>
            </w:r>
          </w:p>
          <w:p w14:paraId="47C6C639">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gramatura da superfície têxtil da tela de no mínimo 390 gm², conforme ABNT NBR 10591:2008 ou posterior.</w:t>
            </w:r>
          </w:p>
          <w:p w14:paraId="2380239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espessura laminado sintético do vinil, de no mínimo 0,90 mm de espessura, conforme ABNT NBR 14099: 2016 ou posterior.</w:t>
            </w:r>
          </w:p>
          <w:p w14:paraId="669EF2D1">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da resistência a tração e alongamento da ruptura sintético do vinil, de no mínimo 75 n/cm de força de rompimento e no mínimo 34% de alongamento, conforme ABNT NBR 14552: 2021 ou posterior.</w:t>
            </w:r>
          </w:p>
          <w:p w14:paraId="204E369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massa por unidade de área sintética do vinil, com gramatura mínima de 550 gm², conforme ABNT NBR 14554: 2016 ou posterior.</w:t>
            </w:r>
          </w:p>
          <w:p w14:paraId="361480F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á força máxima utilizando o método de tira do tecido, de no mínimo 1250 n de força máxima no sentido da trama e alongamento a força máxima 40% no sentido da trama, conforme ABNT NBR 13934: 2016 ou posterior.</w:t>
            </w:r>
          </w:p>
          <w:p w14:paraId="54F0AA89">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á força máxima utilizando o método de tira do tecido, de no mínimo 950 n de força máxima no sentido da trama e alongamento a força máxima 20% no sentido da urdime, conforme ABNT NBR 13934: 2016 ou posterior.</w:t>
            </w:r>
          </w:p>
          <w:p w14:paraId="71101C6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á força máxima utilizando o método de tira da tela, de no mínimo 1100n de força máxima no sentido transversal e alongamento a força máxima 120%, conforme ABNT NBR 13934: 2016 ou posterior.</w:t>
            </w:r>
          </w:p>
          <w:p w14:paraId="15960CC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á força máxima utilizando o método de tira da tela, de no mínimo 1550n de força máxima no sentido longitudinal e alongamento a força máxima 50%, conforme ABNT NBR 13934: 2016 ou posterior.</w:t>
            </w:r>
          </w:p>
          <w:p w14:paraId="31D496A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comportamento ao fogo, determinação da facilidade de ignição de corpo de prova orientados verticalmente, conforme a ISO 6940: 2014 ou posterior.</w:t>
            </w:r>
          </w:p>
          <w:p w14:paraId="7E06FBC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que a espuma utilizada na fabricação do produto é isenta de CFC.</w:t>
            </w:r>
          </w:p>
          <w:p w14:paraId="31816BA1">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das características da queima, de material poliméricos celulares flexíveis, conforme ABNT NBR 9178: 2022 ou posterior.</w:t>
            </w:r>
          </w:p>
          <w:p w14:paraId="01D0FF8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Certificado de conformidade emitido por uma OCP, comprovando que o fabricante tem seu processo de preparação e pintura de superfícies metálicas, garantindo o atendimento e conformidade às normas ABNT NBR 17088, ABNT NBR 8095, ABNT NBR 8096, ABNT NBR 10443, ABNT NBR 11003, ASTM D 523, ASTM D 3359, ASTM D 3363, ABNT NBR 10545, ASTM D 7091, NBR 5841, ASTM D 2794, NBR ISO 4628-3. O certificado de conformidade deverá vir acompanhado dos relatórios/laudos de ensaios completos.</w:t>
            </w:r>
          </w:p>
          <w:p w14:paraId="70388B4C">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Certificado de cadeia de custódia, ou similares, para produtos de origem Florestal (Forestry Stewardship Council - FSC ou Certificação Florestal / Programme for the Endorsement of Forest Certification - Cerflor/PEFC). Caso a empresa classificada não seja fabricante, ela deve apresentar documento que comprove que o fabricante do produto possui tal certificação, ou declaração que seu fornecedor de matéria prima é certificado. Certificado de conformidade comprovando a norma NBR 13962:2018 móveis para escritório – cadeiras – requisitos e métodos de ensaios, pelo modelo de certificação 5. O certificado de conformidade deverá vir acompanhado do relatório/laudo de ensaio completo. Relatório de ensaio emitido por laboratório acreditado pelo Inmetro de acordo com a NBR 8515/2020 – espuma flexível de poliuretano – determinação da resistência à tração. Relatório de ensaio emitido por laboratório acreditado pelo Inmetro de acordo com a NBR 8516:2015 – espuma flexível de poliuretano – determinação da resistência ao rasgamento. Relatório de ensaio emitido por laboratório acreditado pelo Inmetro de acordo com a NBR 8537:2015 – espuma flexível de poliuretano – determinação da densidade. Relatório de ensaio emitido por laboratório acreditado pelo Inmetro de acordo com a NBR 8797:2017 – espuma flexível de poliuretano – determinação da deformação permanente à compressão. Relatório de ensaio emitido por laboratório acreditado pelo Inmetro de acordo com a NBR 9177:2003 – espuma flexível de poliuretano – determinação da fadiga dinâmica. Relatório de ensaio emitido por laboratório acreditado pelo Inmetro de acordo com a NBR 9176/2016 para determinação da força necessária para se produzir uma compressão pré-fixada sobre uma amostra de espuma flexível de poliuretano, aplicada sobre uma área determinada.</w:t>
            </w:r>
          </w:p>
          <w:p w14:paraId="323FB74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14961/2016 determinação do teor de cinzas em espumas flexíveis de poliuretano. Relatório de ensaio emitido por laboratório acreditado pelo Inmetro de acordo com a NBR 8619/15 determinação da resiliência em espumas flexíveis de poliuretano. Relatório de ensaio emitido por laboratório acreditado pelo Inmetro de acordo com a NBR 8910/2016, determinação da resistência à compressão de espumas flexíveis de poliuretano. Relatório de ensaio emitido por laboratório acreditado pelo Inmetro com a NBR 9209/86 atestando que os produtos possuem revestimento em fosfato com massa igual ou superior a 1,55g/m².</w:t>
            </w:r>
          </w:p>
          <w:p w14:paraId="4F666F58">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quanto a tinta aplicada espessura e camada de tinta NBR 10443/08, com no mínimo 70 micros, com ensaio feito a partir de chapa de aço A36 6.35x76,20mm.Laudo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 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5358E534">
            <w:pPr>
              <w:pStyle w:val="248"/>
              <w:keepNext w:val="0"/>
              <w:keepLines w:val="0"/>
              <w:widowControl/>
              <w:suppressLineNumbers w:val="0"/>
              <w:bidi w:val="0"/>
              <w:spacing w:before="0" w:beforeAutospacing="1" w:after="0" w:afterAutospacing="0" w:line="0" w:lineRule="atLeast"/>
              <w:ind w:left="0" w:right="0"/>
              <w:jc w:val="center"/>
              <w:rPr>
                <w:color w:val="000000"/>
              </w:rPr>
            </w:pPr>
            <w:r>
              <w:rPr>
                <w:color w:val="000000"/>
                <w:kern w:val="0"/>
                <w:lang w:val="en-US" w:eastAsia="zh-CN" w:bidi="ar"/>
              </w:rPr>
              <w:drawing>
                <wp:inline distT="0" distB="0" distL="114300" distR="114300">
                  <wp:extent cx="304800" cy="304800"/>
                  <wp:effectExtent l="0" t="0" r="0" b="0"/>
                  <wp:docPr id="3" name="Imagem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IMG_259"/>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bookmarkStart w:id="62" w:name="Imagem 10"/>
            <w:bookmarkEnd w:id="62"/>
            <w:r>
              <w:drawing>
                <wp:inline distT="0" distB="0" distL="114300" distR="114300">
                  <wp:extent cx="1506220" cy="2245995"/>
                  <wp:effectExtent l="0" t="0" r="17780" b="1905"/>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4"/>
                          <pic:cNvPicPr>
                            <a:picLocks noChangeAspect="1"/>
                          </pic:cNvPicPr>
                        </pic:nvPicPr>
                        <pic:blipFill>
                          <a:blip r:embed="rId16"/>
                          <a:stretch>
                            <a:fillRect/>
                          </a:stretch>
                        </pic:blipFill>
                        <pic:spPr>
                          <a:xfrm>
                            <a:off x="0" y="0"/>
                            <a:ext cx="1506220" cy="2245995"/>
                          </a:xfrm>
                          <a:prstGeom prst="rect">
                            <a:avLst/>
                          </a:prstGeom>
                          <a:noFill/>
                          <a:ln>
                            <a:noFill/>
                          </a:ln>
                        </pic:spPr>
                      </pic:pic>
                    </a:graphicData>
                  </a:graphic>
                </wp:inline>
              </w:drawing>
            </w:r>
          </w:p>
          <w:p w14:paraId="6BEC2C0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imagem ilustrativa</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66FBA50">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1.311,97</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62950B">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13.119,70</w:t>
            </w:r>
          </w:p>
        </w:tc>
      </w:tr>
      <w:tr w14:paraId="0619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49D2802">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03</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9289D0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30</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63B22E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UN</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C5F52C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CADEIRA PRESIDENTE SEM APOIO DE CABEÇA (na cor preta) :</w:t>
            </w:r>
            <w:r>
              <w:rPr>
                <w:rFonts w:hint="default" w:ascii="Times New Roman" w:hAnsi="Times New Roman" w:cs="Times New Roman"/>
                <w:color w:val="000000"/>
                <w:kern w:val="0"/>
                <w:sz w:val="24"/>
                <w:szCs w:val="24"/>
                <w:lang w:val="en-US" w:eastAsia="zh-CN" w:bidi="ar"/>
              </w:rPr>
              <w:t xml:space="preserve"> A cadeira deverá possuir cinco rodízios, sendo que cada um deles deverá ser constituído de 2 (duas) roldanas circulares na dimensão de 55 mm de diâmetro e deverão ser fabricadas em termoplástico denominado de poliamida (PA 6,6) e PU em sua extremidade, onde serão dedicadas para serem utilizadas em pisos rígidos. O corpo do rodízio deverá ser confeccionado de forma semicircular e deverá ser fabricado em material termoplástico denominado de poliamida (PA 6,6). As roldanas serão fixadas neste corpo através de um eixo horizontal de aço carbono ABNT 1005/10 na dimensão de 6 mm que deverá ser submetido a um processo de lubrificação através de graxa específica para redução de atrito na operação de rolamento sob o piso. O corpo do rodízio deverá ser constituído por um eixo vertical (perpendicular ao piso) de aço carbono ABNT 1008/10 na dimensão de 11 mm e protegido contra corrosão pelo processo de eletrodeposição a zinco onde se encontrará montado através de um anel elástico sob pressão no corpo do rodízio, que receberá lubrificação para reduzir o atrito no deslocamento rotativo. A base deverá ter uma configuração em forma de pentágono, onde terá um diâmetro na ordem de 710 mm e deverá ser constituída com 5 (cinco) pás de apoio para fixação dos rodízios e uma furação central conificada para acoplamento da coluna a gás. O conjunto deverá ser fabricado em material de liga de alumínio (SAE 305), pelo processo de injeção sob pressão e deverá ser submetido a um procedimento de pré-afinamento superficial pelo processo de lixadeira com lixa grana 80. Deverá possuir na extremidade de cada pá um alojamento para o encaixe dos rodízios, de forma integrada produzida pelo processo de injeção. A coluna a gás deverá ser constituída de um corpo cilíndrico denominado câmara, que deverá ser fabricado com tubo de construção mecânica de precisão de aço carbono ABNT 1008/1020 na medida externa de 50 mm e deverá ser conformado em uma de suas extremidades pelo processo de conificação para perfeita fixação na base. A coluna a gás deve ter qualificação conforme a norma DIN 4550 BIFMA. O conjunto câmara deve receber proteção contra corrosão através de um revestimento de pintura eletrostática epóxi preto e no cartucho a gás uma camada de eletrodeposição de cromo (Cromeação). O mecanismo deve possuir duas alavancas, sendo que uma deve comandar o acionamento da coluna a gás para regulagem de altura do assento e a outra deve liberar e travar o movimento de reclinação de assento e encosto sincronizado e proporcional, e deve possuir quatro posições de travamento. Deve ser fabricado em chapa de aço ABNT 1010/1020 e tem seu corpo de acoplamento á coluna em alumínio fundido. Deve ser fixado ao assento por meio de quatro parafusos sextavados ¼ x 1.1/4 com cabeças flangeadas. O conjunto mecanismo deve receber uma proteção contra corrosão, caracterizada pelo processo de preparação de superfície metálica pela tecnologia nano cerâmica e deve ser revestida por pintura eletrostática epóxi pó. O apoia braços deve ser desenvolvido em tubo industrial de construção mecânica em formato de (Bumerang), de aço carbono ABNT 1008/1020 na configuração oblonga com as medidas de 25,0 x 50,0 mm e espessura 1,5 mm, onde deve ser conformada pelo processo mecânico de curvar tubos. Em suas extremidades devem ser fixadas duas buchas denominadas fixadores, que devem ser fabricados em aço carbono ABNT 1006/1010, e devem ser revestidos em poliamida reforçado com fibra de vidro (30% FV), os quais devem ser produzidos pelo processo de injeção. Deve possuir ainda uma capa ergonômica em termoplástico de engenharia (Copolímero de Polipropileno PP) com 315 mm de comprimento 53 mm de largura e espessura média de 17 mm, que deverá ter a função de relaxamento dos braços do usuário, onde sua dimensão interna entre os braços deve girar em torno de 570 mm. Os apoios de braços devem ser fixados na estrutura, através de parafusos métricos tipo Allen M12 x 70,0mm, onde devem ser protegidos contra corrosão a base de eletrodeposição a zinco (Zincado Preto). O </w:t>
            </w:r>
            <w:r>
              <w:rPr>
                <w:rFonts w:hint="default" w:ascii="Times New Roman" w:hAnsi="Times New Roman" w:cs="Times New Roman"/>
                <w:color w:val="000000"/>
                <w:kern w:val="0"/>
                <w:sz w:val="24"/>
                <w:szCs w:val="24"/>
                <w:lang w:val="en-US" w:eastAsia="zh-CN" w:bidi="ar"/>
              </w:rPr>
              <w:t xml:space="preserve">conjunto deve receber uma proteção contra corrosão, que será caracterizada pelo processo de preparação de superfície metálica por (fosfatização) à base de zinco e deve ser revestida pelo processo de cromagem. O conjunto concha deve possuir uma estrutura em concha dupla de compensado de madeira de reflorestamento, que deverá ser fabricado a partir de lâminas de eucalipto e pinus totalizando 18 mm de espessura, usinadas e furadas de maneira a se obter a configuração do produto. Na localização dos furos devem ser inseridas porcas de fixação com garras, que devem ser fabricadas em aço carbono e devem ser revestidas contra corrosão a base de eletrodeposição a zinco. As estruturas devem ser unidas através de grampos de fixação com denominação de (Grampo PCW 80/14). Na parte externa da estrutura, devem ser fixados quatro suportes denominados terminal para fixação com inserto liso, que devem ser fabricados em tubo industrial de aço carbono ABNT 1008/1020, e devem ser revestidos em poliamida reforçado com fibra de vidro (30% FV), pelo processo de injeção, através de parafusos flangeados 1/4x1 que devem ser protegidos contra corrosão a base de eletrodeposição a zinco (Zincado preto) e porcas alojadas no revestimento do material. Já em sua parte interna devem ser fixadas no assento fitas elásticas e no encosto fitas entrelaçadas que devem ter a função de amortecer a espuma do assento/encosto. Para o assento/encosto deve ser utilizado uma almofada de espuma a base de poliuretano (PU), ergonômica que deve ser fabricada através de sistemas químicos a base de poliol/Isocianato, pelo processo de laminação. Para a configuração do assento as dimensões da espuma devem girar em torno de 557 mm de comprimento 520 mm de largura e 40 mm de espessura com seus cantos arredondados e deve possuir densidade média de 30kg/m³. Para o encosto a espuma deve ter dimensões de 770 mm de comprimento 520 mm de largura e 20 mm de espessura com seus cantos arredondados e almofada com densidade média de 22 kg/m³, tanto almofada de assento e encosto devem ter variações na ordem de +/- 2kg/m³. O conjunto deve ser tapeçado, onde inicialmente devem ser cortados em formas de blanck’s, unidos pelo processo de costura e deve ser fixado nas almofadas pelo processo de grampeamento. As dimensões da cadeira devem girar em torno de 570 mm de largura 640 mm de profundidade e altura total de 770 mm. Para fixação do conjunto na base, devem ser utilizados quatro parafusos métricos Tipo Allen M12x70, que deve ser protegido a corrosão a base de eletrodeposição de zinco (Zincado Preto). </w:t>
            </w:r>
          </w:p>
          <w:p w14:paraId="652B0B32">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APRESENTAR JUNTO COM A PROPOSTA COMERCIAL:</w:t>
            </w:r>
          </w:p>
          <w:p w14:paraId="5DD2B051">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esgarçamento máximo da costura padrão, do tecido, no mínimo de 4,5 mm para ambos os sentidos conforme ABNT NBR 9925:2009 ou posterior. Relatório de ensaio emitido por laboratório acreditado pelo Inmetro, determinação da densidade de fios de no mínimo 16 fios/cm, para ambos os sentidos conforme ABNT NBR 10588:2005 ou posterior.</w:t>
            </w:r>
          </w:p>
          <w:p w14:paraId="75D8236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gramatura da superfície têxtil do tecido de no mínimo 250 gm², conforme ABNT NBR 10591:2008 ou posterior.</w:t>
            </w:r>
          </w:p>
          <w:p w14:paraId="3D7CE6FB">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espessura laminado sintético do vinil, de no mínimo 0,90 mm de espessura, conforme ABNT NBR 14099: 2016 ou posterior.</w:t>
            </w:r>
          </w:p>
          <w:p w14:paraId="357DB2A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da resistência a tração e alongamento da ruptura sintético do vinil, de no mínimo 75 N/cm de força de rompimento e no mínimo 34% de alongamento, conforme ABNT NBR 14552: 2021 ou posterior. Relatório de ensaio emitido por laboratório acreditado pelo Inmetro, determinação da massa por unidade de área sintética do vinil, com gramatura mínima de 550 gm², conforme ABNT NBR 14554: 2016 ou posterior. Relatório de ensaio emitido por laboratório acreditado pelo Inmetro, determinação da força máxima e alongamento a força máxima utilizando o método de tira do tecido, de no mínimo 1250 N de força máxima no sentido da trama e alongamento a força máxima 40% no sentido da trama, conforme ABNT NBR 13934: 2016 ou posterior.</w:t>
            </w:r>
          </w:p>
          <w:p w14:paraId="09BBA01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á força máxima utilizando o método de tira do tecido, de no mínimo 950 n de força máxima no sentido da trama e alongamento a força máxima 20% no sentido da urdime, conforme ABNT NBR 13934: 2016 ou posterior. Relatório de ensaio emitido por laboratório acreditado pelo Inmetro, comportamento ao fogo, determinação da facilidade de ignição de corpo de prova orientados verticalmente, conforme a ISO 6940: 2014 ou posterior. Relatório de ensaio emitido por laboratório, que a espuma utilizada na fabricação do produto é isenta de CFC. Relatório de ensaio emitido por laboratório acreditado pelo Inmetro, determinação das características da queima, de material poliméricos celulares flexíveis, conforme ABNT NBR 9178: 2022 ou posterior. Certificado de conformidade emitido por uma OCP, comprovando que o fabricante tem seu processo de preparação e pintura de superfícies metálicas, garantindo o atendimento e conformidade às normas ABNT NBR 17088, ABNT NBR 8095, ABNT NBR 8096, ABNT NBR 10443, ABNT NBR 11003, ASTM D 523, ASTM D 3359, ASTM D 3363, ABNT NBR 10545, ASTM D 7091, NBR 5841, ASTM D 2794, NBR ISO 4628-3. Certificado de cadeia de custódia, ou similares, para produtos de origem Florestal (Forestry Stewardship Council - FSC ou Certificação Florestal / Programme for the Endorsement of Forest Certification - Cerflor/Pefc). Caso a empresa classificada não seja fabricante, ela deve apresentar documento que comprove que o fabricante do produto possui tal certificação, ou declaração que seu fornecedor de matéria prima é certificado. Relatório de ensaio emitido por laboratório acreditado pelo Inmetro de acordo com a NBR 8515/2020 – espuma flexível de poliuretano – determinação da resistência à tração. Relatório de ensaio emitido por laboratório acreditado pelo Inmetro de acordo com a NBR 8516:2015 – espuma flexível de poliuretano – determinação da resistência ao rasgamento. Relatório de ensaio emitido por laboratório acreditado pelo Inmetro de acordo com a NBR 8537:2015 – espuma flexível de poliuretano – determinação da densidade.</w:t>
            </w:r>
          </w:p>
          <w:p w14:paraId="3FC0A35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8797:2017 – espuma flexível de poliuretano – determinação da deformação permanente à compressão.</w:t>
            </w:r>
          </w:p>
          <w:p w14:paraId="1F1A9BC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9177:2003 – espuma flexível de poliuretano – determinação da fadiga dinâmica.</w:t>
            </w:r>
          </w:p>
          <w:p w14:paraId="31828A2B">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9176/2016 para determinação da força necessária para se produzir uma compressão pré-fixada sobre uma amostra de espuma flexível de poliuretano, aplicada sobre uma área determinada.</w:t>
            </w:r>
          </w:p>
          <w:p w14:paraId="337BFE59">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14961/2016 determinação do teor de cinzas em espumas flexíveis de poliuretano.</w:t>
            </w:r>
          </w:p>
          <w:p w14:paraId="073B262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8619/15 determinação da resiliência em espumas flexíveis de poliuretano.</w:t>
            </w:r>
          </w:p>
          <w:p w14:paraId="11E584F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8910/2016, determinação da resistência à compressão de espumas flexí¬veis de poliuretano.</w:t>
            </w:r>
          </w:p>
          <w:p w14:paraId="0A327FCB">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com a NBR 9209/86 atestando que os produtos possuem revestimento em fosfato com massa igual ou superior a 1,55g/m²;</w:t>
            </w:r>
          </w:p>
          <w:p w14:paraId="76D34B7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quanto a tinta aplicada espessura e camada de tinta NBR 10443/08, com no mínimo 70 micros, com ensaio feito a partir de chapa de aço A36 6.35x76,20mm;</w:t>
            </w:r>
          </w:p>
          <w:p w14:paraId="47D83A9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68F1594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06B304B8">
            <w:pPr>
              <w:pStyle w:val="248"/>
              <w:keepNext w:val="0"/>
              <w:keepLines w:val="0"/>
              <w:widowControl/>
              <w:suppressLineNumbers w:val="0"/>
              <w:bidi w:val="0"/>
              <w:spacing w:before="0" w:beforeAutospacing="1" w:after="0" w:afterAutospacing="0" w:line="0" w:lineRule="atLeast"/>
              <w:ind w:left="0" w:right="0"/>
              <w:jc w:val="center"/>
              <w:rPr>
                <w:color w:val="000000"/>
              </w:rPr>
            </w:pPr>
            <w:bookmarkStart w:id="63" w:name="Imagem 1"/>
            <w:bookmarkEnd w:id="63"/>
            <w:r>
              <w:drawing>
                <wp:inline distT="0" distB="0" distL="114300" distR="114300">
                  <wp:extent cx="1310640" cy="2202815"/>
                  <wp:effectExtent l="0" t="0" r="3810" b="6985"/>
                  <wp:docPr id="1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5"/>
                          <pic:cNvPicPr>
                            <a:picLocks noChangeAspect="1"/>
                          </pic:cNvPicPr>
                        </pic:nvPicPr>
                        <pic:blipFill>
                          <a:blip r:embed="rId17"/>
                          <a:stretch>
                            <a:fillRect/>
                          </a:stretch>
                        </pic:blipFill>
                        <pic:spPr>
                          <a:xfrm>
                            <a:off x="0" y="0"/>
                            <a:ext cx="1310640" cy="2202815"/>
                          </a:xfrm>
                          <a:prstGeom prst="rect">
                            <a:avLst/>
                          </a:prstGeom>
                          <a:noFill/>
                          <a:ln>
                            <a:noFill/>
                          </a:ln>
                        </pic:spPr>
                      </pic:pic>
                    </a:graphicData>
                  </a:graphic>
                </wp:inline>
              </w:drawing>
            </w:r>
          </w:p>
          <w:p w14:paraId="5BA6877C">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imagem ilustrativa</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BB55FA3">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3.449,66</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B63BB9">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103.489,80</w:t>
            </w:r>
          </w:p>
        </w:tc>
      </w:tr>
      <w:tr w14:paraId="228F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494" w:type="dxa"/>
            <w:gridSpan w:val="4"/>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EFBD44A">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TOTAL LOTE 2</w:t>
            </w:r>
          </w:p>
        </w:tc>
        <w:tc>
          <w:tcPr>
            <w:tcW w:w="2963"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9DD236">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b/>
                <w:bCs/>
                <w:color w:val="000000"/>
                <w:kern w:val="0"/>
                <w:lang w:val="en-US" w:eastAsia="zh-CN" w:bidi="ar"/>
              </w:rPr>
              <w:t>R$ 240.482,20</w:t>
            </w:r>
          </w:p>
        </w:tc>
      </w:tr>
      <w:tr w14:paraId="3AFF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9457" w:type="dxa"/>
            <w:gridSpan w:val="6"/>
            <w:tcBorders>
              <w:top w:val="nil"/>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top"/>
          </w:tcPr>
          <w:p w14:paraId="6D4AA230">
            <w:pPr>
              <w:pStyle w:val="248"/>
              <w:keepNext w:val="0"/>
              <w:keepLines w:val="0"/>
              <w:widowControl/>
              <w:suppressLineNumbers w:val="0"/>
              <w:tabs>
                <w:tab w:val="left" w:pos="1200"/>
              </w:tabs>
              <w:bidi w:val="0"/>
              <w:spacing w:before="0" w:beforeAutospacing="1" w:after="0" w:afterAutospacing="0" w:line="0" w:lineRule="atLeast"/>
              <w:ind w:left="0" w:right="0"/>
              <w:jc w:val="center"/>
              <w:rPr>
                <w:color w:val="000000"/>
              </w:rPr>
            </w:pPr>
            <w:r>
              <w:rPr>
                <w:rFonts w:hint="default" w:ascii="Times New Roman" w:hAnsi="Times New Roman" w:cs="Times New Roman"/>
                <w:b/>
                <w:bCs/>
                <w:color w:val="000000"/>
                <w:kern w:val="0"/>
                <w:sz w:val="24"/>
                <w:szCs w:val="24"/>
                <w:lang w:val="en-US" w:eastAsia="zh-CN" w:bidi="ar"/>
              </w:rPr>
              <w:t>LOTE 3</w:t>
            </w:r>
          </w:p>
        </w:tc>
      </w:tr>
      <w:tr w14:paraId="703F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5443543">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01</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6EA92D1">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02</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21A6FF1">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UN</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96F2AB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SOFÁ INDIVIDUAL (cor a ser definida pela administração):</w:t>
            </w:r>
            <w:r>
              <w:rPr>
                <w:rFonts w:hint="default" w:ascii="Times New Roman" w:hAnsi="Times New Roman" w:cs="Times New Roman"/>
                <w:color w:val="000000"/>
                <w:kern w:val="0"/>
                <w:sz w:val="24"/>
                <w:szCs w:val="24"/>
                <w:lang w:val="en-US" w:eastAsia="zh-CN" w:bidi="ar"/>
              </w:rPr>
              <w:t xml:space="preserve"> O sofá deve possuir um (1) lugar onde deverá acomodar os usuários de forma ergonômica e confortável. Suas dimensões devem girar em torno de 770 mm de largura 662 mm de profundidade e altura total de 823 mm. A estrutura do sofá deve ser desenvolvida em tubo industrial de construção mecânica de aço carbono ABNT 1008/1020 na configuração oblonga com as medidas de 25,0 x 50,0 mm e espessura 1,5 mm e deve ser conformado pelo processo mecânico de curvamento de tubos. As extremidades da estrutura devem ser compostas por terminais com bucha de fixação M12, que devem ser revestidos em poliamida reforçado com fibra de vidro (30% FV), onde serão produzidos pelo processo de injeção. A estrutura deve conter sapatas fixas, que devem ser desenvolvidas para manter a base apoiada sobre o piso e principalmente evitar o contato direto do metal com a superfície de apoio. Deve ser fabricada em material termoplástico denominado Polipropileno (PP), pelo processo de injeção. Toda a estrutura deve receber uma proteção de preparação de superfície metálica em nanotecnologia (nanocerâmica), e deve ser revestido pelo processo de cromagem, que deve garantir proteção e maior vida útil ao produto. A concha deve ser constituída por uma estrutura dupla de compensado de madeira, que deve ser fabricada a partir de lâminas de eucalipto e pinus totalizando 18 mm de espessura, usinadas e furadas de maneira a se obter a configuração do produto. Na localização dos furos devem ser inseridas porcas de fixação com garras, as quais devem ser fabricadas em aço carbono e revestidas contra a corrosão a base de eletrodeposição a zinco. Unidas através de três suportes que devem ser fabricados em chapa de aço carbono ABNT 1006/1020 na espessura de 2,25 mm e deve ser protegido contra corrosão a base de eletrodeposição a zinco (Zincado Natural) e seis parafusos sextavados ¼” x ½” onde devem ser protegidos contra corrosão a base de eletrodeposição a zinco (Zincado Branco). Na parte externa da estrutura, devem ser fixados quatro suportes denominados Terminal para Fixação com inserto liso, que devem ser fabricados em tubo industrial de aço carbono ABNT 1008/1020, e estes devem ser revestidos em poliamida reforçado com fibra de vidro (30% FV), pelo processo de injeção, através de parafusos sextavados flangeados ¼” x 1” onde devem ser protegidos contra corrosão a base de eletrodeposição a zinco (Zincado Preto) e porcas alojadas no revestimento do terminal. Já em sua parte interna, devem ser fixadas oito fitas elásticas entrelaçadas com a função amortecedora da espuma do assento. Deve possuir ainda duas almofadas de espuma flexível á base de poliuretano (PU) ergonômica que deve ser fabricada através de sistemas químicos a base de Poliol/Isocianato pelo processo de injeção. Estas almofadas devem possuir a mesma densidade de 62 kg/m³, onde devem ocorrer variações de +- 2 kg/m³. O conjunto deve ser cortado em forma de blanck’s, este deve ser unido pelo processo de costura e deve ser fixado nas almofadas pelo processo de tapeçamento por grampeamento. Para fixação do conjunto na base, devem ser utilizados quatro parafusos, métrico tipo Allen M12x70, que deve ser protegido à corrosão a base de eletrodeposição de zinco (zincado preto), as dimensões do encosto da concha devem girar em torno de 770 mm de largura 684 mm de profundidade e altura total de 800 mm. </w:t>
            </w:r>
          </w:p>
          <w:p w14:paraId="6227132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APRESENTAR JUNTO COM A PROPOSTA COMERCIAL</w:t>
            </w:r>
            <w:r>
              <w:rPr>
                <w:rFonts w:hint="default" w:ascii="Times New Roman" w:hAnsi="Times New Roman" w:cs="Times New Roman"/>
                <w:color w:val="000000"/>
                <w:kern w:val="0"/>
                <w:sz w:val="24"/>
                <w:szCs w:val="24"/>
                <w:lang w:val="en-US" w:eastAsia="zh-CN" w:bidi="ar"/>
              </w:rPr>
              <w:t>: Relatório de ensaio emitido por laboratório acreditado pelo Inmetro, de esgarçamento máximo da costura padrão, do tecido, no mínimo de 4,5 mm para ambos os sentidos conforme ABNT NBR 9925:2009 ou posterior. Relatório de ensaio emitido por laboratório acreditado pelo Inmetro, determinação da densidade de fios de no mínimo 16 fios/cm, para ambos os sentidos conforme ABNT NBR 10588:2005 ou posterior.</w:t>
            </w:r>
          </w:p>
          <w:p w14:paraId="6618B51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gramatura da superfície têxtil do tecido de no mínimo 250 gm², conforme ABNT NBR 10591:2008 ou posterior.</w:t>
            </w:r>
          </w:p>
          <w:p w14:paraId="3392BB7C">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de espessura laminado sintético do vinil, de no mínimo 0,90 mm de espessura, conforme ABNT NBR 14099: 2016 ou posterior.</w:t>
            </w:r>
          </w:p>
          <w:p w14:paraId="2972C744">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resistência a tração e alongamento da ruptura sintético do vinil, de no mínimo 75 N/cm de força de rompimento e no mínimo 34% de alongamento, conforme ABNT NBR 14552: 2021 ou posterior. Relatório de ensaio emitido por laboratório acreditado pelo Inmetro, determinação da massa por unidade de área sintética do vinil, com gramatura mínima de 550 gm², conforme ABNT NBR 14554: 2016 ou posterior. Relatório de ensaio emitido por laboratório acreditado pelo Inmetro, determinação da força máxima e alongamento á força máxima utilizando o método de tira do tecido, de no mínimo 1250 N de força máxima no sentido da trama e alongamento a força máxima 40% no sentido da trama, conforme ABNT NBR 13934: 2016 ou posterior.</w:t>
            </w:r>
          </w:p>
          <w:p w14:paraId="5C010C6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determinação da força máxima e alongamento a força máxima utilizando o método de tira do tecido, de no mínimo 950 N de força máxima no sentido da trama e alongamento a força máxima 20% no sentido da urdime, conforme ABNT NBR 13934: 2016 ou posterior. Relatório de ensaio emitido por laboratório acreditado pelo Inmetro, comportamento ao fogo, determinação da facilidade de ignição de corpo de prova orientados verticalmente, conforme a ISO 6940: 2014 ou posterior.Relatório de ensaio emitido por laboratório, que a espuma utilizada na fabricação do produto é isenta de CFC.Relatório de ensaio emitido por laboratório acreditado pelo Inmetro, determinação das características da queima, de material poliméricos celulares flexíveis, conforme ABNT NBR 9178: 2022 ou posterior. Certificado de conformidade emitido por uma OCP, comprovando que o fabricante tem seu processo de preparação e pintura de superfícies metálicas, garantindo o atendimento e conformidade às normas ABNT NBR 17088, ABNT NBR 8095, ABNT NBR 8096, ABNT NBR 10443, ABNT NBR 11003, ASTM D 523, ASTM D 3359, ASTM D 3363, ABNT NBR 10545, ASTM D 7091, NBR 5841, ASTM D 2794, NBR ISO 4628-3. O certificado de conformidade deverá vir acompanhado dos relatórios/laudos de ensaios completos. Certificado de cadeia de custódia, ou similares, para produtos de origem Florestal (Forestry Stewardship Council - FSC ou Certificação Florestal / Programme for the Endorsement of Forest Certification - Cerflor/Pefc). Caso a empresa classificada não seja fabricante, ela deve apresentar documento que comprove que o fabricante do produto possui tal certificação, ou declaração que seu fornecedor de matéria prima é certificado. Relatório de ensaio emitido por laboratório acreditado pelo Inmetro de acordo com a NBR 8515/2020 – espuma flexível de poliuretano – determinação da resistência à tração.</w:t>
            </w:r>
          </w:p>
          <w:p w14:paraId="5972D55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8516:2015 – espuma flexível de poliuretano – determinação da resistência ao rasgamento.</w:t>
            </w:r>
          </w:p>
          <w:p w14:paraId="671430E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8537:2015 – espuma flexível de poliuretano – determinação da densidade.</w:t>
            </w:r>
          </w:p>
          <w:p w14:paraId="34EF0BB8">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8797:2017 – espuma flexível de poliuretano – determinação da deformação permanente à compressão.</w:t>
            </w:r>
          </w:p>
          <w:p w14:paraId="1F7FE341">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9177:2003 – espuma flexível de poliuretano – determinação da fadiga dinâmica.</w:t>
            </w:r>
          </w:p>
          <w:p w14:paraId="35AE20E9">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9176/2016 para determinação da força necessária para se produzir uma compressão pré-fixada sobre uma amostra de espuma flexível de poliuretano, aplicada sobre uma área determinada.</w:t>
            </w:r>
          </w:p>
          <w:p w14:paraId="0824257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14961/2016 determinação do teor de cinzas em espumas flexíveis de poliuretano.</w:t>
            </w:r>
          </w:p>
          <w:p w14:paraId="01E3D4A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8619/15 determinação da resiliência em espumas flexíveis de poliuretano.</w:t>
            </w:r>
          </w:p>
          <w:p w14:paraId="23D8F90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8910/2016, determinação da resistência à compressão de espumas flexí¬veis de poliuretano.</w:t>
            </w:r>
          </w:p>
          <w:p w14:paraId="1EF4FB8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com a NBR 9209/86 atestando que os produtos possuem revestimento em fosfato com massa igual ou superior a 1,55g/m²;</w:t>
            </w:r>
          </w:p>
          <w:p w14:paraId="3A7A584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quanto a tinta aplicada espessura e camada de tinta NBR 10443/08, com no mínimo 70 micros, com ensaio feito a partir de chapa de aço A36 6.35x76,20mm;</w:t>
            </w:r>
          </w:p>
          <w:p w14:paraId="436DB68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1A9FD3A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62E9335F">
            <w:pPr>
              <w:pStyle w:val="248"/>
              <w:keepNext w:val="0"/>
              <w:keepLines w:val="0"/>
              <w:widowControl/>
              <w:suppressLineNumbers w:val="0"/>
              <w:bidi w:val="0"/>
              <w:spacing w:before="0" w:beforeAutospacing="1" w:after="0" w:afterAutospacing="0" w:line="0" w:lineRule="atLeast"/>
              <w:ind w:left="0" w:right="0"/>
              <w:jc w:val="center"/>
              <w:rPr>
                <w:color w:val="000000"/>
              </w:rPr>
            </w:pPr>
            <w:bookmarkStart w:id="64" w:name="Imagem 6"/>
            <w:bookmarkEnd w:id="64"/>
            <w:r>
              <w:drawing>
                <wp:inline distT="0" distB="0" distL="114300" distR="114300">
                  <wp:extent cx="1931035" cy="1927225"/>
                  <wp:effectExtent l="0" t="0" r="12065" b="15875"/>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6"/>
                          <pic:cNvPicPr>
                            <a:picLocks noChangeAspect="1"/>
                          </pic:cNvPicPr>
                        </pic:nvPicPr>
                        <pic:blipFill>
                          <a:blip r:embed="rId18"/>
                          <a:stretch>
                            <a:fillRect/>
                          </a:stretch>
                        </pic:blipFill>
                        <pic:spPr>
                          <a:xfrm>
                            <a:off x="0" y="0"/>
                            <a:ext cx="1931035" cy="1927225"/>
                          </a:xfrm>
                          <a:prstGeom prst="rect">
                            <a:avLst/>
                          </a:prstGeom>
                          <a:noFill/>
                          <a:ln>
                            <a:noFill/>
                          </a:ln>
                        </pic:spPr>
                      </pic:pic>
                    </a:graphicData>
                  </a:graphic>
                </wp:inline>
              </w:drawing>
            </w:r>
          </w:p>
          <w:p w14:paraId="4961F5A9">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imagem ilustrativa</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21334E8">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2.337,51</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9000B9">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4.675,02</w:t>
            </w:r>
          </w:p>
        </w:tc>
      </w:tr>
      <w:tr w14:paraId="6C46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E501768">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02</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70CDDD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02</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57235A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UN</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4C23804">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SOFÁ DOIS LUGARES (cor a ser definida pela administração):</w:t>
            </w:r>
            <w:r>
              <w:rPr>
                <w:rFonts w:hint="default" w:ascii="Times New Roman" w:hAnsi="Times New Roman" w:cs="Times New Roman"/>
                <w:color w:val="000000"/>
                <w:kern w:val="0"/>
                <w:sz w:val="24"/>
                <w:szCs w:val="24"/>
                <w:lang w:val="en-US" w:eastAsia="zh-CN" w:bidi="ar"/>
              </w:rPr>
              <w:t xml:space="preserve"> O sofá deve possuir dois (2) lugares onde deverá acomodar os usuários de forma ergonômica e confortável. Suas dimensões devem girar em torno de 1380 mm de largura 662 mm de profundidade e altura total de 823 mm. A estrutura do sofá deve ser desenvolvida em tubo industrial de construção mecânica de aço carbono ABNT 1008/1020 na configuração oblonga com as medidas de 25,0 x 50,0 mm e espessura 1,5 mm e deve ser conformado pelo processo mecânico de curvamento de tubos. As extremidades da estrutura devem ser compostas por terminais com bucha de fixação M12, que devem ser revestidos em poliamida reforçado com fibra de vidro (30% FV), onde serão produzidos pelo processo de injeção. A estrutura deve conter sapatas fixas, que devem ser desenvolvidas para manter a base apoiada sobre o piso e principalmente evitar o contato direto do metal com a superfície de apoio. Deve ser fabricada em material termoplástico denominado Polipropileno (PP), pelo processo de injeção. Toda a estrutura deve receber uma proteção de preparação de superfície metálica em nanotecnologia (nanocerâmica), e deve ser revestido pelo processo de cromagem, que deve garantir proteção e maior vida útil ao produto. A concha deve ser constituída por uma estrutura dupla de compensado de madeira, que deve ser fabricada a partir de lâminas de eucalipto e pinus totalizando 18 mm de espessura, usinadas e furadas de maneira a se obter a configuração do produto. Na localização dos furos devem ser inseridas porcas de fixação com garras, as quais devem ser fabricadas em aço carbono e revestidas contra a corrosão a base de eletrodeposição a zinco. Unidas através de três suportes que devem ser fabricados em chapa de aço carbono ABNT 1006/1020 na espessura de 2,25 mm e deve ser protegido contra corrosão a base de eletrodeposição a zinco (Zincado Natural) e seis parafusos sextavados ¼” x ½” onde devem ser protegidos contra corrosão a base de eletrodeposição a zinco (Zincado Branco). Na parte externa da estrutura, devem ser fixados quatro suportes denominados Terminal para Fixação com inserto liso, que devem ser fabricados em tubo industrial de aço carbono ABNT 1008/1020, e estes devem ser revestidos em poliamida reforçado com fibra de vidro (30% FV), pelo processo de injeção, através de parafusos sextavados flangeados ¼” x 1” onde devem ser protegidos contra corrosão a base de eletrodeposição a zinco (Zincado Preto) e porcas alojadas no revestimento do terminal. Já em sua parte interna, devem ser fixadas oito fitas elásticas entrelaçadas com a função amortecedora da espuma do assento. Deve possuir ainda duas almofadas de espuma flexível á base de poliuretano (PU) ergonômica que deve ser fabricada através de sistemas químicos a base de Poliol/Isocianato pelo processo de injeção. Estas almofadas devem possuir a mesma densidade de 62 kg/m³, onde devem ocorrer variações de +- 2 kg/m³. O conjunto deve ser cortado em forma de blanck’s, este deve ser unido pelo processo de costura e deve ser fixado nas almofadas pelo processo de tapeçamento por grampeamento. Para fixação do conjunto na base, devem ser utilizados quatro parafusos, métrico tipo Allen M12x70, que deve ser protegido à corrosão a base de eletrodeposição de zinco (zincado preto), as dimensões do encosto da concha devem girar em torno de 1380 mm de largura 684 mm de profundidade e altura total de 800 mm. </w:t>
            </w:r>
          </w:p>
          <w:p w14:paraId="134CCB6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b/>
                <w:bCs/>
                <w:color w:val="000000"/>
                <w:kern w:val="0"/>
                <w:sz w:val="24"/>
                <w:szCs w:val="24"/>
                <w:lang w:val="en-US" w:eastAsia="zh-CN" w:bidi="ar"/>
              </w:rPr>
              <w:t>APRESENTAR JUNTO COM A PROPOSTA COMERCIAL:</w:t>
            </w:r>
            <w:r>
              <w:rPr>
                <w:rFonts w:hint="default" w:ascii="Times New Roman" w:hAnsi="Times New Roman" w:cs="Times New Roman"/>
                <w:color w:val="000000"/>
                <w:kern w:val="0"/>
                <w:sz w:val="24"/>
                <w:szCs w:val="24"/>
                <w:lang w:val="en-US" w:eastAsia="zh-CN" w:bidi="ar"/>
              </w:rPr>
              <w:t xml:space="preserve"> Relatório de ensaio emitido por laboratório acreditado pelo Inmetro, de esgarçamento máximo da costura padrão, do tecido, no mínimo de 4,5 mm para ambos os sentidos conforme ABNT NBR 9925:2009 ou posterior. Relatório de ensaio emitido por laboratório acreditado pelo Inmetro, determinação da densidade de fios de no mínimo 16 fios/cm, para ambos os sentidos conforme ABNT NBR 10588:2005 ou posterior. Relatório de ensaio emitido por laboratório acreditado pelo Inmetro, determinação da gramatura da superfície têxtil do tecido de no mínimo 250 gm², conforme ABNT NBR 10591:2008 ou posterior. Relatório de ensaio emitido por laboratório acreditado pelo Inmetro, determinação de espessura laminado sintético do vinil, de no mínimo 0,90 mm de espessura, conforme ABNT NBR 14099: 2016 ou posterior. Relatório de ensaio emitido por laboratório acreditado pelo Inmetro, determinação de da resistência a tração e alongamento da ruptura sintético do vinil, de no mínimo 75 n/cm de força de rompimento e no mínimo 34% de alongamento, conforme ABNT NBR 14552: 2021 ou posterior.</w:t>
            </w:r>
          </w:p>
          <w:p w14:paraId="2FC134C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xml:space="preserve">Relatório de ensaio emitido por laboratório acreditado pelo Inmetro, determinação da massa por unidade de área sintética do vinil, com gramatura mínima de 550 gm², conforme ABNT NBR 14554: 2016 ou posterior. Relatório de ensaio emitido por laboratório acreditado pelo Inmetro, determinação da força máxima e alongamento á força máxima utilizando o método de tira do tecido, de no mínimo 1250 n de força máxima no sentido da trama e alongamento a força máxima 40% no sentido da trama, conforme ABNT NBR 13934: 2016 ou posterior. Relatório de ensaio emitido por laboratório acreditado pelo Inmetro, determinação da força máxima e alongamento á força máxima utilizando o método de tira do tecido, de no mínimo 950 n de força máxima no sentido da trama e alongamento a força máxima 20% no sentido da urdime, conforme ABNT NBR 13934: 2016 ou posterior. Relatório de ensaio emitido por laboratório acreditado pelo Inmetro, comportamento ao fogo, determinação da facilidade de ignição de corpo de prova orientados verticalmente, conforme a ISO 6940: 2014 ou posterior. Relatório de ensaio emitido por laboratório, que a espuma utilizada na fabricação do produto é isenta de CFC. Relatório de ensaio emitido por laboratório acreditado pelo Inmetro, determinação das características da queima, de material poliméricos celulares flexíveis, conforme ABNT NBR 9178: 2022 ou posterior. Certificado de conformidade emitido por uma OCP, comprovando que o fabricante tem seu processo de preparação e pintura de superfícies metálicas, garantindo o atendimento e conformidade às normas ABNT NBR 17088, ABNT NBR 8095, ABNT NBR 8096, ABNT NBR 10443, ABNT NBR 11003, ASTM D 523, ASTM D 3359, ASTM D 3363, ABNT NBR 10545, ASTM D 7091, NBR 5841, ASTM D 2794, NBR ISO 4628-3. O certificado de conformidade deverá vir acompanhado dos relatórios/laudos de ensaios completos. Certificado de cadeia de custódia, ou similares, para produtos de origem Florestal (Forestry Stewardship Council - FSC ou Certificação Florestal / Programme for the Endorsement of Forest Certification - Cerflor/Pefc). Caso a empresa classificada não seja fabricante, ela deve apresentar documento que comprove que o fabricante do produto possui tal certificação, ou declaração que seu fornecedor de matéria prima é certificado. </w:t>
            </w:r>
          </w:p>
          <w:p w14:paraId="47B4633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8515/2020 – espuma flexível de poliuretano – determinação da resistência à tração. Relatório de ensaio emitido por laboratório acreditado pelo Inmetro de acordo com a NBR 8516:2015 – espuma flexível de poliuretano – determinação da resistência ao rasgamento. Relatório de ensaio emitido por laboratório acreditado pelo Inmetro de acordo com a NBR 8537:2015 – espuma flexível de poliuretano – determinação da densidade.</w:t>
            </w:r>
          </w:p>
          <w:p w14:paraId="31A808C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8797:2017 – espuma flexível de poliuretano – determinação da deformação permanente à compressão.</w:t>
            </w:r>
          </w:p>
          <w:p w14:paraId="1036E3D9">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9177:2003 – espuma flexível de poliuretano – determinação da fadiga dinâmica.</w:t>
            </w:r>
          </w:p>
          <w:p w14:paraId="0259937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9176/2016 para determinação da força necessária para se produzir uma compressão pré-fixada sobre uma amostra de espuma flexível de poliuretano, aplicada sobre uma área determinada.</w:t>
            </w:r>
          </w:p>
          <w:p w14:paraId="4D42602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14961/2016 determinação do teor de cinzas em espumas flexíveis de poliuretano.</w:t>
            </w:r>
          </w:p>
          <w:p w14:paraId="729E98F1">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8619/15 determinação da resiliência em espumas flexíveis de poliuretano.</w:t>
            </w:r>
          </w:p>
          <w:p w14:paraId="490CD27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de acordo com a NBR 8910/2016, determinação da resistência à compressão de espumas flexí¬veis de poliuretano.</w:t>
            </w:r>
          </w:p>
          <w:p w14:paraId="570BCC0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com a NBR 9209/86 atestando que os produtos possuem revestimento em fosfato com massa igual ou superior a 1,55g/m²;</w:t>
            </w:r>
          </w:p>
          <w:p w14:paraId="53FDCCBC">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Relatório de ensaio emitido por laboratório acreditado pelo Inmetro quanto a tinta aplicada espessura e camada de tinta NBR 10443/08, com no mínimo 70 micros, com ensaio feito a partir de chapa de aço A36 6.35x76,20mm;</w:t>
            </w:r>
          </w:p>
          <w:p w14:paraId="3212599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6431EA87">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38FC9027">
            <w:pPr>
              <w:pStyle w:val="248"/>
              <w:keepNext w:val="0"/>
              <w:keepLines w:val="0"/>
              <w:widowControl/>
              <w:suppressLineNumbers w:val="0"/>
              <w:bidi w:val="0"/>
              <w:spacing w:before="0" w:beforeAutospacing="1" w:after="0" w:afterAutospacing="0" w:line="0" w:lineRule="atLeast"/>
              <w:ind w:left="0" w:right="0"/>
              <w:jc w:val="center"/>
              <w:rPr>
                <w:color w:val="000000"/>
              </w:rPr>
            </w:pPr>
            <w:bookmarkStart w:id="65" w:name="Imagem 7"/>
            <w:bookmarkEnd w:id="65"/>
            <w:r>
              <w:drawing>
                <wp:inline distT="0" distB="0" distL="114300" distR="114300">
                  <wp:extent cx="1528445" cy="1990725"/>
                  <wp:effectExtent l="0" t="0" r="14605" b="9525"/>
                  <wp:docPr id="1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7"/>
                          <pic:cNvPicPr>
                            <a:picLocks noChangeAspect="1"/>
                          </pic:cNvPicPr>
                        </pic:nvPicPr>
                        <pic:blipFill>
                          <a:blip r:embed="rId19"/>
                          <a:stretch>
                            <a:fillRect/>
                          </a:stretch>
                        </pic:blipFill>
                        <pic:spPr>
                          <a:xfrm>
                            <a:off x="0" y="0"/>
                            <a:ext cx="1528445" cy="1990725"/>
                          </a:xfrm>
                          <a:prstGeom prst="rect">
                            <a:avLst/>
                          </a:prstGeom>
                          <a:noFill/>
                          <a:ln>
                            <a:noFill/>
                          </a:ln>
                        </pic:spPr>
                      </pic:pic>
                    </a:graphicData>
                  </a:graphic>
                </wp:inline>
              </w:drawing>
            </w:r>
          </w:p>
          <w:p w14:paraId="787591EB">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imagem ilustrativa</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2E77099">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4.090,33</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050CC5">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8.180,66</w:t>
            </w:r>
          </w:p>
        </w:tc>
      </w:tr>
      <w:tr w14:paraId="13E3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494" w:type="dxa"/>
            <w:gridSpan w:val="4"/>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5210C7F">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TOTAL LOTE 3</w:t>
            </w:r>
          </w:p>
        </w:tc>
        <w:tc>
          <w:tcPr>
            <w:tcW w:w="2963"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178016">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b/>
                <w:bCs/>
                <w:color w:val="000000"/>
                <w:kern w:val="0"/>
                <w:lang w:val="en-US" w:eastAsia="zh-CN" w:bidi="ar"/>
              </w:rPr>
              <w:t>R$ 12.855,68</w:t>
            </w:r>
          </w:p>
        </w:tc>
      </w:tr>
      <w:tr w14:paraId="598B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9457" w:type="dxa"/>
            <w:gridSpan w:val="6"/>
            <w:tcBorders>
              <w:top w:val="nil"/>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top"/>
          </w:tcPr>
          <w:p w14:paraId="64DC128B">
            <w:pPr>
              <w:pStyle w:val="248"/>
              <w:keepNext w:val="0"/>
              <w:keepLines w:val="0"/>
              <w:widowControl/>
              <w:suppressLineNumbers w:val="0"/>
              <w:tabs>
                <w:tab w:val="left" w:pos="1200"/>
              </w:tabs>
              <w:bidi w:val="0"/>
              <w:spacing w:before="0" w:beforeAutospacing="1" w:after="0" w:afterAutospacing="0" w:line="0" w:lineRule="atLeast"/>
              <w:ind w:left="0" w:right="0"/>
              <w:jc w:val="center"/>
              <w:rPr>
                <w:color w:val="000000"/>
              </w:rPr>
            </w:pPr>
            <w:r>
              <w:rPr>
                <w:rFonts w:hint="default" w:ascii="Times New Roman" w:hAnsi="Times New Roman" w:cs="Times New Roman"/>
                <w:b/>
                <w:bCs/>
                <w:color w:val="000000"/>
                <w:kern w:val="0"/>
                <w:sz w:val="24"/>
                <w:szCs w:val="24"/>
                <w:lang w:val="en-US" w:eastAsia="zh-CN" w:bidi="ar"/>
              </w:rPr>
              <w:t>LOTE 4</w:t>
            </w:r>
          </w:p>
        </w:tc>
      </w:tr>
      <w:tr w14:paraId="48D0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F548008">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01</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87974C9">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01</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233F91A">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UN</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CACBE22">
            <w:pPr>
              <w:pStyle w:val="32"/>
              <w:keepNext w:val="0"/>
              <w:keepLines w:val="0"/>
              <w:widowControl/>
              <w:suppressLineNumbers w:val="0"/>
              <w:spacing w:after="0" w:afterAutospacing="0"/>
              <w:jc w:val="both"/>
            </w:pPr>
            <w:r>
              <w:rPr>
                <w:rFonts w:hint="default" w:ascii="Times New Roman" w:hAnsi="Times New Roman" w:cs="Times New Roman"/>
                <w:b/>
                <w:bCs/>
                <w:color w:val="000000"/>
                <w:sz w:val="24"/>
                <w:szCs w:val="24"/>
              </w:rPr>
              <w:t xml:space="preserve">FORNO MICROONDAS 110V INOX- </w:t>
            </w:r>
            <w:r>
              <w:rPr>
                <w:rFonts w:hint="default" w:ascii="Times New Roman" w:hAnsi="Times New Roman" w:cs="Times New Roman"/>
                <w:color w:val="000000"/>
                <w:sz w:val="24"/>
                <w:szCs w:val="24"/>
              </w:rPr>
              <w:t>FORNO MICRO-ONDAS DE BANCADA, COM CAPACIDADE MÍNIMA DE 32 LITROS; POTÊNCIA MÍNIMA: 100W; COM NO MÍNIMO, 10 NÍVEIS DE POTÊNCIA; DISPLAY DIGITAL E LUZ INTERNA; DEVERÁ POSSUIR PRATO GIRATÓRIO E TRAVA DE SEGURANÇA; FREQUÊNCIA DE 60 HZ; SELO DO INMETRO COM CLASSIFICAÇÃO DO PROCEL “A”; DIMENSÕES APROXIMADAS: ALTURA DE 32 CM; LARGURA DE 52 CM; PROFUNDIDADE DE 42 CM; GARANTIA MÍNIMA DE 1 (UM) ANO.</w:t>
            </w:r>
          </w:p>
          <w:p w14:paraId="6A52AF61">
            <w:pPr>
              <w:pStyle w:val="248"/>
              <w:keepNext w:val="0"/>
              <w:keepLines w:val="0"/>
              <w:widowControl/>
              <w:suppressLineNumbers w:val="0"/>
              <w:bidi w:val="0"/>
              <w:spacing w:before="0" w:beforeAutospacing="1" w:after="0" w:afterAutospacing="0" w:line="0" w:lineRule="atLeast"/>
              <w:ind w:left="0" w:right="0"/>
              <w:jc w:val="both"/>
              <w:rPr>
                <w:color w:val="000000"/>
              </w:rPr>
            </w:pPr>
          </w:p>
          <w:p w14:paraId="50A52AD8">
            <w:pPr>
              <w:pStyle w:val="248"/>
              <w:keepNext w:val="0"/>
              <w:keepLines w:val="0"/>
              <w:widowControl/>
              <w:suppressLineNumbers w:val="0"/>
              <w:bidi w:val="0"/>
              <w:spacing w:before="0" w:beforeAutospacing="1" w:after="0" w:afterAutospacing="0" w:line="0" w:lineRule="atLeast"/>
              <w:ind w:left="0" w:right="0"/>
              <w:jc w:val="center"/>
              <w:rPr>
                <w:color w:val="000000"/>
              </w:rPr>
            </w:pPr>
            <w:r>
              <w:rPr>
                <w:color w:val="000000"/>
                <w:kern w:val="0"/>
                <w:lang w:val="en-US" w:eastAsia="zh-CN" w:bidi="ar"/>
              </w:rPr>
              <w:drawing>
                <wp:inline distT="0" distB="0" distL="114300" distR="114300">
                  <wp:extent cx="304800" cy="304800"/>
                  <wp:effectExtent l="0" t="0" r="0" b="0"/>
                  <wp:docPr id="6" name="Imagem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9" descr="IMG_263"/>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bookmarkStart w:id="66" w:name="Imagem 14"/>
            <w:bookmarkEnd w:id="66"/>
            <w:r>
              <w:drawing>
                <wp:inline distT="0" distB="0" distL="114300" distR="114300">
                  <wp:extent cx="1979930" cy="1185545"/>
                  <wp:effectExtent l="0" t="0" r="1270" b="14605"/>
                  <wp:docPr id="1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8"/>
                          <pic:cNvPicPr>
                            <a:picLocks noChangeAspect="1"/>
                          </pic:cNvPicPr>
                        </pic:nvPicPr>
                        <pic:blipFill>
                          <a:blip r:embed="rId20"/>
                          <a:stretch>
                            <a:fillRect/>
                          </a:stretch>
                        </pic:blipFill>
                        <pic:spPr>
                          <a:xfrm>
                            <a:off x="0" y="0"/>
                            <a:ext cx="1979930" cy="1185545"/>
                          </a:xfrm>
                          <a:prstGeom prst="rect">
                            <a:avLst/>
                          </a:prstGeom>
                          <a:noFill/>
                          <a:ln>
                            <a:noFill/>
                          </a:ln>
                        </pic:spPr>
                      </pic:pic>
                    </a:graphicData>
                  </a:graphic>
                </wp:inline>
              </w:drawing>
            </w:r>
          </w:p>
          <w:p w14:paraId="17799116">
            <w:pPr>
              <w:pStyle w:val="248"/>
              <w:keepNext w:val="0"/>
              <w:keepLines w:val="0"/>
              <w:widowControl/>
              <w:suppressLineNumbers w:val="0"/>
              <w:bidi w:val="0"/>
              <w:spacing w:before="0" w:beforeAutospacing="1" w:after="0" w:afterAutospacing="0" w:line="0" w:lineRule="atLeast"/>
              <w:ind w:left="0" w:right="0"/>
              <w:jc w:val="both"/>
              <w:rPr>
                <w:color w:val="000000"/>
              </w:rPr>
            </w:pPr>
          </w:p>
          <w:p w14:paraId="4113AC0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imagem ilustrativa</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58845F7">
            <w:pPr>
              <w:pStyle w:val="32"/>
              <w:keepNext w:val="0"/>
              <w:keepLines w:val="0"/>
              <w:widowControl/>
              <w:suppressLineNumbers w:val="0"/>
              <w:jc w:val="both"/>
            </w:pPr>
            <w:r>
              <w:rPr>
                <w:color w:val="000000"/>
              </w:rPr>
              <w:t>1.701,99</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F76DE9">
            <w:pPr>
              <w:pStyle w:val="32"/>
              <w:keepNext w:val="0"/>
              <w:keepLines w:val="0"/>
              <w:widowControl/>
              <w:suppressLineNumbers w:val="0"/>
              <w:tabs>
                <w:tab w:val="left" w:pos="1200"/>
              </w:tabs>
              <w:jc w:val="both"/>
            </w:pPr>
            <w:r>
              <w:rPr>
                <w:color w:val="000000"/>
              </w:rPr>
              <w:t>1.701,99</w:t>
            </w:r>
          </w:p>
        </w:tc>
      </w:tr>
      <w:tr w14:paraId="078D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60" w:type="dxa"/>
            <w:bottom w:w="60" w:type="dxa"/>
            <w:right w:w="60" w:type="dxa"/>
          </w:tblCellMar>
        </w:tblPrEx>
        <w:trPr>
          <w:tblCellSpacing w:w="0" w:type="dxa"/>
        </w:trPr>
        <w:tc>
          <w:tcPr>
            <w:tcW w:w="6494" w:type="dxa"/>
            <w:gridSpan w:val="4"/>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5126D28">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TOTAL LOTE 4</w:t>
            </w:r>
          </w:p>
        </w:tc>
        <w:tc>
          <w:tcPr>
            <w:tcW w:w="2963"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52AFC5">
            <w:pPr>
              <w:pStyle w:val="32"/>
              <w:keepNext w:val="0"/>
              <w:keepLines w:val="0"/>
              <w:widowControl/>
              <w:suppressLineNumbers w:val="0"/>
              <w:tabs>
                <w:tab w:val="left" w:pos="1200"/>
              </w:tabs>
              <w:jc w:val="both"/>
            </w:pPr>
            <w:r>
              <w:rPr>
                <w:b/>
                <w:bCs/>
                <w:color w:val="000000"/>
              </w:rPr>
              <w:t>R$ 1.701,99</w:t>
            </w:r>
          </w:p>
        </w:tc>
      </w:tr>
      <w:tr w14:paraId="5B68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9457" w:type="dxa"/>
            <w:gridSpan w:val="6"/>
            <w:tcBorders>
              <w:top w:val="nil"/>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top"/>
          </w:tcPr>
          <w:p w14:paraId="756F9FD3">
            <w:pPr>
              <w:pStyle w:val="248"/>
              <w:keepNext w:val="0"/>
              <w:keepLines w:val="0"/>
              <w:widowControl/>
              <w:suppressLineNumbers w:val="0"/>
              <w:tabs>
                <w:tab w:val="left" w:pos="1200"/>
              </w:tabs>
              <w:bidi w:val="0"/>
              <w:spacing w:before="0" w:beforeAutospacing="1" w:after="0" w:afterAutospacing="0" w:line="0" w:lineRule="atLeast"/>
              <w:ind w:left="0" w:right="0"/>
              <w:jc w:val="center"/>
              <w:rPr>
                <w:color w:val="000000"/>
              </w:rPr>
            </w:pPr>
            <w:r>
              <w:rPr>
                <w:rFonts w:hint="default" w:ascii="Times New Roman" w:hAnsi="Times New Roman" w:cs="Times New Roman"/>
                <w:b/>
                <w:bCs/>
                <w:color w:val="000000"/>
                <w:kern w:val="0"/>
                <w:sz w:val="24"/>
                <w:szCs w:val="24"/>
                <w:lang w:val="en-US" w:eastAsia="zh-CN" w:bidi="ar"/>
              </w:rPr>
              <w:t>LOTE 5</w:t>
            </w:r>
          </w:p>
        </w:tc>
      </w:tr>
      <w:tr w14:paraId="2802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2604BB0">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01</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59E164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01</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D3B8D70">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UN</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9A3FA28">
            <w:pPr>
              <w:pStyle w:val="32"/>
              <w:keepNext w:val="0"/>
              <w:keepLines w:val="0"/>
              <w:widowControl/>
              <w:suppressLineNumbers w:val="0"/>
              <w:spacing w:after="0" w:afterAutospacing="0"/>
              <w:jc w:val="both"/>
            </w:pPr>
            <w:r>
              <w:rPr>
                <w:rFonts w:hint="default" w:ascii="Times New Roman" w:hAnsi="Times New Roman" w:cs="Times New Roman"/>
                <w:b/>
                <w:bCs/>
                <w:color w:val="000000"/>
                <w:sz w:val="24"/>
                <w:szCs w:val="24"/>
              </w:rPr>
              <w:t xml:space="preserve">GELADEIRA FROST FREE </w:t>
            </w:r>
            <w:r>
              <w:rPr>
                <w:rFonts w:hint="default" w:ascii="Times New Roman" w:hAnsi="Times New Roman" w:cs="Times New Roman"/>
                <w:b/>
                <w:bCs/>
                <w:color w:val="000000"/>
                <w:sz w:val="24"/>
                <w:szCs w:val="24"/>
                <w:shd w:val="clear" w:fill="FFFFFF"/>
              </w:rPr>
              <w:t xml:space="preserve">INVERTER 431L 110V INOX- </w:t>
            </w:r>
            <w:r>
              <w:rPr>
                <w:rFonts w:hint="default" w:ascii="Times New Roman" w:hAnsi="Times New Roman" w:cs="Times New Roman"/>
                <w:color w:val="000000"/>
                <w:sz w:val="24"/>
                <w:szCs w:val="24"/>
              </w:rPr>
              <w:t>02 PORTAS, TIPO DE DEGELO AUTOMÁTICO, PRATELEIRAS DE VIDRO REGULÁVEIS E REMOVÍVEIS, CARACTERÍSTICA: FUNÇÃO GELADEIRA /FREEZER, CAPACIDADE ARMAZENAMENTO LÍQUIDO FREEZER 128L, ARMAZENAMENTO GELADEIRA 303L, COR BRANCO. ENERGIA CLASSE A. GARANTIA MÍNIMA DE 1 ANO.</w:t>
            </w:r>
          </w:p>
          <w:p w14:paraId="0813A6A2">
            <w:pPr>
              <w:pStyle w:val="32"/>
              <w:keepNext w:val="0"/>
              <w:keepLines w:val="0"/>
              <w:widowControl/>
              <w:suppressLineNumbers w:val="0"/>
              <w:spacing w:after="0" w:afterAutospacing="0"/>
              <w:jc w:val="both"/>
            </w:pPr>
          </w:p>
          <w:p w14:paraId="3B7E5F57">
            <w:pPr>
              <w:pStyle w:val="32"/>
              <w:keepNext w:val="0"/>
              <w:keepLines w:val="0"/>
              <w:widowControl/>
              <w:suppressLineNumbers w:val="0"/>
              <w:spacing w:after="0" w:afterAutospacing="0"/>
              <w:jc w:val="center"/>
            </w:pPr>
            <w:r>
              <w:rPr>
                <w:color w:val="000000"/>
              </w:rPr>
              <w:drawing>
                <wp:inline distT="0" distB="0" distL="114300" distR="114300">
                  <wp:extent cx="304800" cy="304800"/>
                  <wp:effectExtent l="0" t="0" r="0" b="0"/>
                  <wp:docPr id="10" name="Imagem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IMG_264"/>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bookmarkStart w:id="67" w:name="Imagem 13"/>
            <w:bookmarkEnd w:id="67"/>
            <w:r>
              <w:drawing>
                <wp:inline distT="0" distB="0" distL="114300" distR="114300">
                  <wp:extent cx="1282065" cy="2528570"/>
                  <wp:effectExtent l="0" t="0" r="13335" b="5080"/>
                  <wp:docPr id="1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9"/>
                          <pic:cNvPicPr>
                            <a:picLocks noChangeAspect="1"/>
                          </pic:cNvPicPr>
                        </pic:nvPicPr>
                        <pic:blipFill>
                          <a:blip r:embed="rId21"/>
                          <a:stretch>
                            <a:fillRect/>
                          </a:stretch>
                        </pic:blipFill>
                        <pic:spPr>
                          <a:xfrm>
                            <a:off x="0" y="0"/>
                            <a:ext cx="1282065" cy="2528570"/>
                          </a:xfrm>
                          <a:prstGeom prst="rect">
                            <a:avLst/>
                          </a:prstGeom>
                          <a:noFill/>
                          <a:ln>
                            <a:noFill/>
                          </a:ln>
                        </pic:spPr>
                      </pic:pic>
                    </a:graphicData>
                  </a:graphic>
                </wp:inline>
              </w:drawing>
            </w:r>
          </w:p>
          <w:p w14:paraId="27CCA0E6">
            <w:pPr>
              <w:pStyle w:val="32"/>
              <w:keepNext w:val="0"/>
              <w:keepLines w:val="0"/>
              <w:widowControl/>
              <w:suppressLineNumbers w:val="0"/>
              <w:spacing w:after="0" w:afterAutospacing="0"/>
              <w:jc w:val="both"/>
            </w:pPr>
          </w:p>
          <w:p w14:paraId="37C2923E">
            <w:pPr>
              <w:pStyle w:val="32"/>
              <w:keepNext w:val="0"/>
              <w:keepLines w:val="0"/>
              <w:widowControl/>
              <w:suppressLineNumbers w:val="0"/>
              <w:jc w:val="both"/>
            </w:pPr>
            <w:r>
              <w:rPr>
                <w:rFonts w:hint="default" w:ascii="Times New Roman" w:hAnsi="Times New Roman" w:cs="Times New Roman"/>
                <w:color w:val="000000"/>
                <w:sz w:val="24"/>
                <w:szCs w:val="24"/>
              </w:rPr>
              <w:t>** imagem ilustrativa</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158B8D3">
            <w:pPr>
              <w:pStyle w:val="32"/>
              <w:keepNext w:val="0"/>
              <w:keepLines w:val="0"/>
              <w:widowControl/>
              <w:suppressLineNumbers w:val="0"/>
              <w:jc w:val="both"/>
            </w:pPr>
            <w:r>
              <w:rPr>
                <w:color w:val="000000"/>
              </w:rPr>
              <w:t>5.652,31</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C8208E">
            <w:pPr>
              <w:pStyle w:val="32"/>
              <w:keepNext w:val="0"/>
              <w:keepLines w:val="0"/>
              <w:widowControl/>
              <w:suppressLineNumbers w:val="0"/>
              <w:tabs>
                <w:tab w:val="left" w:pos="1200"/>
              </w:tabs>
              <w:jc w:val="both"/>
            </w:pPr>
            <w:r>
              <w:rPr>
                <w:color w:val="000000"/>
              </w:rPr>
              <w:t>5.652,31</w:t>
            </w:r>
          </w:p>
        </w:tc>
      </w:tr>
      <w:tr w14:paraId="088A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494" w:type="dxa"/>
            <w:gridSpan w:val="4"/>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B72179A">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TOTAL LOTE 5</w:t>
            </w:r>
          </w:p>
        </w:tc>
        <w:tc>
          <w:tcPr>
            <w:tcW w:w="2963"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151945">
            <w:pPr>
              <w:pStyle w:val="32"/>
              <w:keepNext w:val="0"/>
              <w:keepLines w:val="0"/>
              <w:widowControl/>
              <w:suppressLineNumbers w:val="0"/>
              <w:tabs>
                <w:tab w:val="left" w:pos="1200"/>
              </w:tabs>
              <w:jc w:val="both"/>
            </w:pPr>
            <w:r>
              <w:rPr>
                <w:b/>
                <w:bCs/>
                <w:color w:val="000000"/>
              </w:rPr>
              <w:t>R$ 5.652,31</w:t>
            </w:r>
          </w:p>
        </w:tc>
      </w:tr>
      <w:tr w14:paraId="78F4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9457" w:type="dxa"/>
            <w:gridSpan w:val="6"/>
            <w:tcBorders>
              <w:top w:val="nil"/>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top"/>
          </w:tcPr>
          <w:p w14:paraId="59E18683">
            <w:pPr>
              <w:pStyle w:val="248"/>
              <w:keepNext w:val="0"/>
              <w:keepLines w:val="0"/>
              <w:widowControl/>
              <w:suppressLineNumbers w:val="0"/>
              <w:tabs>
                <w:tab w:val="left" w:pos="1200"/>
              </w:tabs>
              <w:bidi w:val="0"/>
              <w:spacing w:before="0" w:beforeAutospacing="1" w:after="0" w:afterAutospacing="0" w:line="0" w:lineRule="atLeast"/>
              <w:ind w:left="0" w:right="0"/>
              <w:jc w:val="center"/>
              <w:rPr>
                <w:color w:val="000000"/>
              </w:rPr>
            </w:pPr>
            <w:r>
              <w:rPr>
                <w:rFonts w:hint="default" w:ascii="Times New Roman" w:hAnsi="Times New Roman" w:cs="Times New Roman"/>
                <w:b/>
                <w:bCs/>
                <w:color w:val="000000"/>
                <w:kern w:val="0"/>
                <w:sz w:val="24"/>
                <w:szCs w:val="24"/>
                <w:lang w:val="en-US" w:eastAsia="zh-CN" w:bidi="ar"/>
              </w:rPr>
              <w:t>LOTE 6</w:t>
            </w:r>
          </w:p>
        </w:tc>
      </w:tr>
      <w:tr w14:paraId="60B1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E3DFF67">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01</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1A7B79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01</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73AC7D5">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UN</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8752D66">
            <w:pPr>
              <w:pStyle w:val="32"/>
              <w:keepNext w:val="0"/>
              <w:keepLines w:val="0"/>
              <w:widowControl/>
              <w:suppressLineNumbers w:val="0"/>
              <w:spacing w:after="0" w:afterAutospacing="0"/>
              <w:jc w:val="both"/>
            </w:pPr>
            <w:r>
              <w:rPr>
                <w:rFonts w:hint="default" w:ascii="Times New Roman" w:hAnsi="Times New Roman" w:cs="Times New Roman"/>
                <w:b/>
                <w:bCs/>
                <w:color w:val="000000"/>
                <w:sz w:val="24"/>
                <w:szCs w:val="24"/>
              </w:rPr>
              <w:t>FOGÃO TIPO COOKTOP (05 BOCAS)</w:t>
            </w:r>
            <w:r>
              <w:rPr>
                <w:rFonts w:hint="default" w:ascii="Times New Roman" w:hAnsi="Times New Roman" w:cs="Times New Roman"/>
                <w:color w:val="000000"/>
                <w:sz w:val="24"/>
                <w:szCs w:val="24"/>
              </w:rPr>
              <w:t xml:space="preserve"> - QUANTIDADE BOCAS (QUEIMADORES): 5 BOCAS; TIPO: COOKTOP À GÁS; COOKTOP DE MESA; DIMENSÕES PARA NICHO: 84 X 3,8 X 48 CM; ACABAMENTO EM INOX; TRIPLA CHAMA; TENSÃO: BIVOLT; FREQUÊNCIA: 60 HZ; DIMENSÕES APROXIMADAS: 86 X 3,8 X 51 CM.</w:t>
            </w:r>
          </w:p>
          <w:p w14:paraId="7A99C4A3">
            <w:pPr>
              <w:pStyle w:val="32"/>
              <w:keepNext w:val="0"/>
              <w:keepLines w:val="0"/>
              <w:widowControl/>
              <w:suppressLineNumbers w:val="0"/>
              <w:spacing w:after="0" w:afterAutospacing="0"/>
              <w:jc w:val="both"/>
            </w:pPr>
            <w:r>
              <w:rPr>
                <w:color w:val="000000"/>
              </w:rPr>
              <w:drawing>
                <wp:inline distT="0" distB="0" distL="114300" distR="114300">
                  <wp:extent cx="304800" cy="304800"/>
                  <wp:effectExtent l="0" t="0" r="0" b="0"/>
                  <wp:docPr id="7" name="Imagem 1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1" descr="IMG_265"/>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bookmarkStart w:id="68" w:name="Imagem 11"/>
            <w:bookmarkEnd w:id="68"/>
            <w:r>
              <w:drawing>
                <wp:inline distT="0" distB="0" distL="114300" distR="114300">
                  <wp:extent cx="2273935" cy="1729105"/>
                  <wp:effectExtent l="0" t="0" r="12065" b="4445"/>
                  <wp:docPr id="2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10"/>
                          <pic:cNvPicPr>
                            <a:picLocks noChangeAspect="1"/>
                          </pic:cNvPicPr>
                        </pic:nvPicPr>
                        <pic:blipFill>
                          <a:blip r:embed="rId22"/>
                          <a:stretch>
                            <a:fillRect/>
                          </a:stretch>
                        </pic:blipFill>
                        <pic:spPr>
                          <a:xfrm>
                            <a:off x="0" y="0"/>
                            <a:ext cx="2273935" cy="1729105"/>
                          </a:xfrm>
                          <a:prstGeom prst="rect">
                            <a:avLst/>
                          </a:prstGeom>
                          <a:noFill/>
                          <a:ln>
                            <a:noFill/>
                          </a:ln>
                        </pic:spPr>
                      </pic:pic>
                    </a:graphicData>
                  </a:graphic>
                </wp:inline>
              </w:drawing>
            </w:r>
          </w:p>
          <w:p w14:paraId="21AABC7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imagem ilustrativa</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4E21888">
            <w:pPr>
              <w:pStyle w:val="32"/>
              <w:keepNext w:val="0"/>
              <w:keepLines w:val="0"/>
              <w:widowControl/>
              <w:suppressLineNumbers w:val="0"/>
              <w:jc w:val="both"/>
            </w:pPr>
            <w:r>
              <w:rPr>
                <w:color w:val="000000"/>
              </w:rPr>
              <w:t>1.867,91</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C67785">
            <w:pPr>
              <w:pStyle w:val="32"/>
              <w:keepNext w:val="0"/>
              <w:keepLines w:val="0"/>
              <w:widowControl/>
              <w:suppressLineNumbers w:val="0"/>
              <w:tabs>
                <w:tab w:val="left" w:pos="1200"/>
              </w:tabs>
              <w:jc w:val="both"/>
            </w:pPr>
            <w:r>
              <w:rPr>
                <w:color w:val="000000"/>
              </w:rPr>
              <w:t>1.867,91</w:t>
            </w:r>
          </w:p>
        </w:tc>
      </w:tr>
      <w:tr w14:paraId="285A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494" w:type="dxa"/>
            <w:gridSpan w:val="4"/>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F88E0ED">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TOTAL LOTE 6</w:t>
            </w:r>
          </w:p>
        </w:tc>
        <w:tc>
          <w:tcPr>
            <w:tcW w:w="2963"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F0EE42">
            <w:pPr>
              <w:pStyle w:val="32"/>
              <w:keepNext w:val="0"/>
              <w:keepLines w:val="0"/>
              <w:widowControl/>
              <w:suppressLineNumbers w:val="0"/>
              <w:tabs>
                <w:tab w:val="left" w:pos="1200"/>
              </w:tabs>
              <w:jc w:val="both"/>
            </w:pPr>
            <w:r>
              <w:rPr>
                <w:b/>
                <w:bCs/>
                <w:color w:val="000000"/>
              </w:rPr>
              <w:t>R$ 1.867,91</w:t>
            </w:r>
          </w:p>
        </w:tc>
      </w:tr>
      <w:tr w14:paraId="7CF00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9457" w:type="dxa"/>
            <w:gridSpan w:val="6"/>
            <w:tcBorders>
              <w:top w:val="nil"/>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top"/>
          </w:tcPr>
          <w:p w14:paraId="2A36BF85">
            <w:pPr>
              <w:pStyle w:val="248"/>
              <w:keepNext w:val="0"/>
              <w:keepLines w:val="0"/>
              <w:widowControl/>
              <w:suppressLineNumbers w:val="0"/>
              <w:tabs>
                <w:tab w:val="left" w:pos="1200"/>
              </w:tabs>
              <w:bidi w:val="0"/>
              <w:spacing w:before="0" w:beforeAutospacing="1" w:after="0" w:afterAutospacing="0" w:line="0" w:lineRule="atLeast"/>
              <w:ind w:left="0" w:right="0"/>
              <w:jc w:val="center"/>
              <w:rPr>
                <w:color w:val="000000"/>
              </w:rPr>
            </w:pPr>
            <w:r>
              <w:rPr>
                <w:rFonts w:hint="default" w:ascii="Times New Roman" w:hAnsi="Times New Roman" w:cs="Times New Roman"/>
                <w:b/>
                <w:bCs/>
                <w:color w:val="000000"/>
                <w:kern w:val="0"/>
                <w:sz w:val="24"/>
                <w:szCs w:val="24"/>
                <w:lang w:val="en-US" w:eastAsia="zh-CN" w:bidi="ar"/>
              </w:rPr>
              <w:t>LOTE 7</w:t>
            </w:r>
          </w:p>
        </w:tc>
      </w:tr>
      <w:tr w14:paraId="09D8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17CA105">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ITEM</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3F4AAB1">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QTD</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1FFEFA4">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UNID</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B576168">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b/>
                <w:bCs/>
                <w:color w:val="000000"/>
                <w:kern w:val="0"/>
                <w:sz w:val="24"/>
                <w:szCs w:val="24"/>
                <w:lang w:val="en-US" w:eastAsia="zh-CN" w:bidi="ar"/>
              </w:rPr>
              <w:t>DESCRIÇÃO ( DETALHADA)</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4339E5B">
            <w:pPr>
              <w:pStyle w:val="248"/>
              <w:keepNext w:val="0"/>
              <w:keepLines w:val="0"/>
              <w:widowControl/>
              <w:suppressLineNumbers w:val="0"/>
              <w:bidi w:val="0"/>
              <w:spacing w:before="0" w:beforeAutospacing="1" w:after="0" w:afterAutospacing="0" w:line="0" w:lineRule="atLeast"/>
              <w:ind w:left="0" w:right="0"/>
              <w:jc w:val="left"/>
              <w:rPr>
                <w:color w:val="000000"/>
              </w:rPr>
            </w:pP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08A6C5">
            <w:pPr>
              <w:pStyle w:val="248"/>
              <w:keepNext w:val="0"/>
              <w:keepLines w:val="0"/>
              <w:widowControl/>
              <w:suppressLineNumbers w:val="0"/>
              <w:tabs>
                <w:tab w:val="left" w:pos="1200"/>
              </w:tabs>
              <w:bidi w:val="0"/>
              <w:spacing w:before="0" w:beforeAutospacing="1" w:after="0" w:afterAutospacing="0" w:line="0" w:lineRule="atLeast"/>
              <w:ind w:left="0" w:right="0"/>
              <w:jc w:val="left"/>
              <w:rPr>
                <w:color w:val="000000"/>
              </w:rPr>
            </w:pPr>
          </w:p>
        </w:tc>
      </w:tr>
      <w:tr w14:paraId="280F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605E0B1">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01</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7519F53">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161,02</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B6EA3A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M²</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5B7BBAE">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xml:space="preserve">Confecção e instalação de m² em móvel planejado tipo armário </w:t>
            </w:r>
            <w:r>
              <w:rPr>
                <w:rFonts w:hint="default" w:ascii="Times New Roman" w:hAnsi="Times New Roman" w:cs="Times New Roman"/>
                <w:b/>
                <w:bCs/>
                <w:color w:val="000000"/>
                <w:kern w:val="0"/>
                <w:sz w:val="24"/>
                <w:szCs w:val="24"/>
                <w:lang w:val="en-US" w:eastAsia="zh-CN" w:bidi="ar"/>
              </w:rPr>
              <w:t xml:space="preserve">ABERTO em MDF e ou MDP 18mm, </w:t>
            </w:r>
            <w:r>
              <w:rPr>
                <w:rFonts w:hint="default" w:ascii="Times New Roman" w:hAnsi="Times New Roman" w:cs="Times New Roman"/>
                <w:color w:val="000000"/>
                <w:kern w:val="0"/>
                <w:sz w:val="24"/>
                <w:szCs w:val="24"/>
                <w:lang w:val="en-US" w:eastAsia="zh-CN" w:bidi="ar"/>
              </w:rPr>
              <w:t>. Sendo utilizados para tampos/ laterais/ saias/ prateleiras MDF e ou MDP 18mm revestido em todas as faces por laminado melamínico, cor a definir, com fornecimento de chapa de MDF e ou MDP, fitas de acabamento em laminado na mesma cor do material com no mínimo 1mm espessura, cantoneiras, buchas e parafusos de fixação e tapa furos adesivo, estrutura em tubo de aço carbono quadrado de 60x60mm nas patas e tubo de aço carbono retangular de 30x50mm na travessa superior, com espessura de 1,06mm, possuindo chapas em aço carbono com espessura de 2mm fixadas através de solda mig, as chapas possuem furacão passante que permite a fixação dos tampos através de parafusos, presos diretamente na madeira. Todas as partes metálicas deverão receber um pré-tratamento por banho de fosfato de ferro spray poli amorfo multimetal e pintura eletrostática a po com camada de 80 a 120 micras, e curada em estufa de a 200oc. Pés metálicos com sapatas niveladoras em pvc rigido com diâmetro de 50mm, cuja função será contornar eventuais desníveis de piso, de acordo com projeto apresentado.</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BFD0FE4">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2.497,50</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BE8FA1">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402.147,45</w:t>
            </w:r>
          </w:p>
        </w:tc>
      </w:tr>
      <w:tr w14:paraId="31231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EEE4EF4">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02</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FB9E2A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106,18</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F8F876D">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M²</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64E0E23">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xml:space="preserve">Confecção e instalação de m² em móvel planejado tipo armário </w:t>
            </w:r>
            <w:r>
              <w:rPr>
                <w:rFonts w:hint="default" w:ascii="Times New Roman" w:hAnsi="Times New Roman" w:cs="Times New Roman"/>
                <w:b/>
                <w:bCs/>
                <w:color w:val="000000"/>
                <w:kern w:val="0"/>
                <w:sz w:val="24"/>
                <w:szCs w:val="24"/>
                <w:lang w:val="en-US" w:eastAsia="zh-CN" w:bidi="ar"/>
              </w:rPr>
              <w:t>FECHADO em MDF e ou MDP 18mm.</w:t>
            </w:r>
            <w:r>
              <w:rPr>
                <w:rFonts w:hint="default" w:ascii="Times New Roman" w:hAnsi="Times New Roman" w:cs="Times New Roman"/>
                <w:color w:val="000000"/>
                <w:kern w:val="0"/>
                <w:sz w:val="24"/>
                <w:szCs w:val="24"/>
                <w:lang w:val="en-US" w:eastAsia="zh-CN" w:bidi="ar"/>
              </w:rPr>
              <w:t xml:space="preserve"> Sendo utilizado para confecção de aparador, armário baixo, estante alta, balcão baixo, armário sob bancada, revestido por laminado melamínico, cor a definir, fitas de acabamento em laminado na mesma cor do material com no mínimo 1mm espessura, cantoneiras, buchas e parafusos de fixação e tapa furos adesivo. Estrutura metálica em tubo de aço carbono quadrado de 60x60mm nas patas e tubo de aço carbono retangular de 30x50mm na travessa, com espessura de 1,06mm, possuindo chapas em aço carbono com espessura de 2mm fixadas através de solda mig, as chapas possuem furação passante que permite a fixação dos tampos através de parafusos, presos diretamente na madeira. Todas as partes metálicas deverão receber um pré-tratamento por banho de fosfato de ferro spray poli amorfo multimetal e pintura eletrostatica a po com camada de 80 a 120 micras, e curada em estufa de a 200oc. Pés metálicos com sapatas niveladoras em pvc rígido com diâmetro de 50mm, cuja função será contornar eventuais desníveis de piso, de acordo com projeto apresentado.</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2B8CEE8">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2.745,00</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FCB440">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291.464,10</w:t>
            </w:r>
          </w:p>
        </w:tc>
      </w:tr>
      <w:tr w14:paraId="08C3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6752A93">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03</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1105B7E">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46,45</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55E32C4">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M²</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8DE9362">
            <w:pPr>
              <w:pStyle w:val="32"/>
              <w:keepNext w:val="0"/>
              <w:keepLines w:val="0"/>
              <w:widowControl/>
              <w:suppressLineNumbers w:val="0"/>
              <w:jc w:val="both"/>
            </w:pPr>
            <w:r>
              <w:rPr>
                <w:rFonts w:hint="default" w:ascii="Times New Roman" w:hAnsi="Times New Roman" w:cs="Times New Roman"/>
                <w:color w:val="000000"/>
                <w:sz w:val="24"/>
                <w:szCs w:val="24"/>
              </w:rPr>
              <w:t xml:space="preserve">Confecção e instalação de m² em móvel planejado tipo balcão </w:t>
            </w:r>
            <w:r>
              <w:rPr>
                <w:rFonts w:hint="default" w:ascii="Times New Roman" w:hAnsi="Times New Roman" w:cs="Times New Roman"/>
                <w:b/>
                <w:bCs/>
                <w:color w:val="000000"/>
                <w:sz w:val="24"/>
                <w:szCs w:val="24"/>
              </w:rPr>
              <w:t xml:space="preserve">FECHADO </w:t>
            </w:r>
            <w:r>
              <w:rPr>
                <w:rFonts w:hint="default" w:ascii="Times New Roman" w:hAnsi="Times New Roman" w:cs="Times New Roman"/>
                <w:color w:val="000000"/>
                <w:sz w:val="24"/>
                <w:szCs w:val="24"/>
              </w:rPr>
              <w:t xml:space="preserve">em </w:t>
            </w:r>
            <w:r>
              <w:rPr>
                <w:rFonts w:hint="default" w:ascii="Times New Roman" w:hAnsi="Times New Roman" w:cs="Times New Roman"/>
                <w:b/>
                <w:bCs/>
                <w:color w:val="000000"/>
                <w:sz w:val="24"/>
                <w:szCs w:val="24"/>
              </w:rPr>
              <w:t>MDF e ou MDP com tampo de 25mm</w:t>
            </w:r>
            <w:r>
              <w:rPr>
                <w:rFonts w:hint="default" w:ascii="Times New Roman" w:hAnsi="Times New Roman" w:cs="Times New Roman"/>
                <w:color w:val="000000"/>
                <w:sz w:val="24"/>
                <w:szCs w:val="24"/>
              </w:rPr>
              <w:t xml:space="preserve"> revestida em laminado melamínico de baixa pressão, bordas com acabamento de no mínimo 1 mm de espessura. Caixaria toda confeccionada em MDF e/ou MDP, de 18mm de espessura, revestida em laminado melamínico. Gavetas internas confeccionados em MDF e/ou MDP, de 15mm de espessura, revestido em ambas as faces em laminado melamínico. Sistema de fixação utilizando cavilhas, buchas plásticas e minifix ou de acordo com projeto apresentado, na cor amadeirada, ou de acordo com projeto apresentado. Estrutura metálica em tubo de aço carbono quadrado de 60x60mm nas patas e tubo de aço carbono retangular de 30x50mm na travessa, com espessura de 1,06mm, possuindo chapas em aço carbono com espessura de 2mm fixadas através de solda mig, as chapas possuem furação passante que permite a fixação dos tampos através de parafusos, presos diretamente na madeira. Todas as partes metálicas deverão receber um pré-tratamento por banho de fosfato de ferro spray poli amorfo multimetal e pintura eletrostatica a po com camada de 80 a 120 micras, e curada em estufa de a 200oc. Pés metálicos com sapatas niveladoras em pvc rígido com diâmetro de 50mm, cuja função será contornar eventuais desníveis de piso, de acordo com projeto apresentado.</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3A720A9">
            <w:pPr>
              <w:pStyle w:val="32"/>
              <w:keepNext w:val="0"/>
              <w:keepLines w:val="0"/>
              <w:widowControl/>
              <w:suppressLineNumbers w:val="0"/>
              <w:jc w:val="both"/>
            </w:pPr>
            <w:r>
              <w:rPr>
                <w:color w:val="000000"/>
              </w:rPr>
              <w:t>2.888,75</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FC066D">
            <w:pPr>
              <w:pStyle w:val="32"/>
              <w:keepNext w:val="0"/>
              <w:keepLines w:val="0"/>
              <w:widowControl/>
              <w:suppressLineNumbers w:val="0"/>
              <w:tabs>
                <w:tab w:val="left" w:pos="1200"/>
              </w:tabs>
              <w:jc w:val="both"/>
            </w:pPr>
            <w:r>
              <w:rPr>
                <w:color w:val="000000"/>
              </w:rPr>
              <w:t>134.182,44</w:t>
            </w:r>
          </w:p>
        </w:tc>
      </w:tr>
      <w:tr w14:paraId="666D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01086C8">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04</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A2D7F2B">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258,82</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691B933">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M²</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BD41FFD">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 xml:space="preserve">Confecção e instalação de m² em móvel planejado, mesa tipo estação de trabalho </w:t>
            </w:r>
            <w:r>
              <w:rPr>
                <w:rFonts w:hint="default" w:ascii="Times New Roman" w:hAnsi="Times New Roman" w:cs="Times New Roman"/>
                <w:b/>
                <w:bCs/>
                <w:color w:val="000000"/>
                <w:kern w:val="0"/>
                <w:sz w:val="24"/>
                <w:szCs w:val="24"/>
                <w:lang w:val="en-US" w:eastAsia="zh-CN" w:bidi="ar"/>
              </w:rPr>
              <w:t>ABERTO em MDF com tampo de 25mm</w:t>
            </w:r>
            <w:r>
              <w:rPr>
                <w:rFonts w:hint="default" w:ascii="Times New Roman" w:hAnsi="Times New Roman" w:cs="Times New Roman"/>
                <w:color w:val="000000"/>
                <w:kern w:val="0"/>
                <w:sz w:val="24"/>
                <w:szCs w:val="24"/>
                <w:lang w:val="en-US" w:eastAsia="zh-CN" w:bidi="ar"/>
              </w:rPr>
              <w:t xml:space="preserve"> de espessura, revestida em laminado melamínico, bordas com acabamento de no mínimo 1 mm de espessura, com 02 – estrutura metálica laterais em tubo de aço carbono quadrado de 60x60mm nas patas e tubo de aço carbono retangular de 30x50mm na travessa, com espessura de 1,06mm, possuindo chapas em aço carbono com espessura de 2mm fixadas através de solda MIG, as chapas possuem furação passante que permite a fixação dos tampos através de parafusos, presos diretamente na madeira. 01 – Pé central em tubo de aço carbono quadrado de 40x40mm nas patas e tubo de aço carbono retangular de 30x50mm na travessa superior, com espessura de 1,06mm, com 700mm de altura, com chapas em aço carbono com espessura de 2mm, as chapas possuem furação passante que permite a fixação dos tampos através de parafusos, presos diretamente na madeira. 04 – Longarinas em tubo de aço carbono retangular de 30x50mm, com espessura de 1,06mm, fixada aos pés laterais através de parafusos máquina e porca sextavada. Todas as partes metálicas deverão receber um pré-tratamento por banho de fosfato de ferro spray poliamorfo multimetal e pintura eletrostática à pó com camada de 80 a 120 micras, e curada em estufa da 200ºc. Pés metálicos com sapatas niveladoras em PVC rígido com diâmetro de 50mm, cuja função será contornar eventuais desníveis de piso, de acordo com projeto apresentado.</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C939676">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2.683,36</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E989C7">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694.507,24</w:t>
            </w:r>
          </w:p>
        </w:tc>
      </w:tr>
      <w:tr w14:paraId="5DCF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E98FEF3">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05</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6E70AF5">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230</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EDC9C21">
            <w:pPr>
              <w:pStyle w:val="248"/>
              <w:keepNext w:val="0"/>
              <w:keepLines w:val="0"/>
              <w:widowControl/>
              <w:suppressLineNumbers w:val="0"/>
              <w:bidi w:val="0"/>
              <w:spacing w:before="0" w:beforeAutospacing="1" w:after="0" w:afterAutospacing="0" w:line="0" w:lineRule="atLeast"/>
              <w:ind w:left="0" w:right="0"/>
              <w:jc w:val="left"/>
              <w:rPr>
                <w:color w:val="000000"/>
              </w:rPr>
            </w:pPr>
            <w:r>
              <w:rPr>
                <w:rFonts w:hint="default" w:ascii="Times New Roman" w:hAnsi="Times New Roman" w:cs="Times New Roman"/>
                <w:color w:val="000000"/>
                <w:kern w:val="0"/>
                <w:sz w:val="24"/>
                <w:szCs w:val="24"/>
                <w:lang w:val="en-US" w:eastAsia="zh-CN" w:bidi="ar"/>
              </w:rPr>
              <w:t>M²</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169191F">
            <w:pPr>
              <w:pStyle w:val="248"/>
              <w:keepNext w:val="0"/>
              <w:keepLines w:val="0"/>
              <w:widowControl/>
              <w:suppressLineNumbers w:val="0"/>
              <w:bidi w:val="0"/>
              <w:spacing w:before="0" w:beforeAutospacing="1" w:after="0" w:afterAutospacing="0" w:line="0" w:lineRule="atLeast"/>
              <w:ind w:left="0" w:right="0"/>
              <w:jc w:val="both"/>
              <w:rPr>
                <w:color w:val="000000"/>
              </w:rPr>
            </w:pPr>
            <w:r>
              <w:rPr>
                <w:rFonts w:hint="default" w:ascii="Times New Roman" w:hAnsi="Times New Roman" w:cs="Times New Roman"/>
                <w:color w:val="000000"/>
                <w:kern w:val="0"/>
                <w:sz w:val="24"/>
                <w:szCs w:val="24"/>
                <w:lang w:val="en-US" w:eastAsia="zh-CN" w:bidi="ar"/>
              </w:rPr>
              <w:t>Confecção e instalação de m² em móvel</w:t>
            </w:r>
            <w:r>
              <w:rPr>
                <w:rFonts w:hint="default" w:ascii="Times New Roman" w:hAnsi="Times New Roman" w:cs="Times New Roman"/>
                <w:b/>
                <w:bCs/>
                <w:color w:val="000000"/>
                <w:kern w:val="0"/>
                <w:sz w:val="24"/>
                <w:szCs w:val="24"/>
                <w:lang w:val="en-US" w:eastAsia="zh-CN" w:bidi="ar"/>
              </w:rPr>
              <w:t xml:space="preserve"> painel liso em MDF e ou MDP de 18mm, </w:t>
            </w:r>
            <w:r>
              <w:rPr>
                <w:rFonts w:hint="default" w:ascii="Times New Roman" w:hAnsi="Times New Roman" w:cs="Times New Roman"/>
                <w:color w:val="000000"/>
                <w:kern w:val="0"/>
                <w:sz w:val="24"/>
                <w:szCs w:val="24"/>
                <w:lang w:val="en-US" w:eastAsia="zh-CN" w:bidi="ar"/>
              </w:rPr>
              <w:t>revestido por laminado melamínico, fitas de acabamento em laminado na mesma cor do material com no mínimo 1mm espessura, cantoneiras, buchas e parafusos de fixação e tapa furos adesivo, de acordo com projeto apresentado.</w:t>
            </w:r>
          </w:p>
          <w:p w14:paraId="62DBF437">
            <w:pPr>
              <w:pStyle w:val="248"/>
              <w:keepNext w:val="0"/>
              <w:keepLines w:val="0"/>
              <w:widowControl/>
              <w:suppressLineNumbers w:val="0"/>
              <w:bidi w:val="0"/>
              <w:spacing w:before="0" w:beforeAutospacing="1" w:after="0" w:afterAutospacing="0" w:line="0" w:lineRule="atLeast"/>
              <w:ind w:left="0" w:right="0"/>
              <w:jc w:val="both"/>
              <w:rPr>
                <w:color w:val="000000"/>
              </w:rPr>
            </w:pP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CCEC50B">
            <w:pPr>
              <w:pStyle w:val="248"/>
              <w:keepNext w:val="0"/>
              <w:keepLines w:val="0"/>
              <w:widowControl/>
              <w:suppressLineNumbers w:val="0"/>
              <w:bidi w:val="0"/>
              <w:spacing w:before="0" w:beforeAutospacing="1" w:after="0" w:afterAutospacing="0" w:line="0" w:lineRule="atLeast"/>
              <w:ind w:left="0" w:right="0"/>
              <w:jc w:val="both"/>
              <w:rPr>
                <w:color w:val="000000"/>
              </w:rPr>
            </w:pPr>
            <w:r>
              <w:rPr>
                <w:color w:val="000000"/>
                <w:kern w:val="0"/>
                <w:lang w:val="en-US" w:eastAsia="zh-CN" w:bidi="ar"/>
              </w:rPr>
              <w:t>2.681,25</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3994F0">
            <w:pPr>
              <w:pStyle w:val="248"/>
              <w:keepNext w:val="0"/>
              <w:keepLines w:val="0"/>
              <w:widowControl/>
              <w:suppressLineNumbers w:val="0"/>
              <w:tabs>
                <w:tab w:val="left" w:pos="1200"/>
              </w:tabs>
              <w:bidi w:val="0"/>
              <w:spacing w:before="0" w:beforeAutospacing="1" w:after="0" w:afterAutospacing="0" w:line="0" w:lineRule="atLeast"/>
              <w:ind w:left="0" w:right="0"/>
              <w:jc w:val="both"/>
              <w:rPr>
                <w:color w:val="000000"/>
              </w:rPr>
            </w:pPr>
            <w:r>
              <w:rPr>
                <w:color w:val="000000"/>
                <w:kern w:val="0"/>
                <w:lang w:val="en-US" w:eastAsia="zh-CN" w:bidi="ar"/>
              </w:rPr>
              <w:t>616.687,50</w:t>
            </w:r>
          </w:p>
        </w:tc>
      </w:tr>
      <w:tr w14:paraId="30E9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60"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7C00876">
            <w:pPr>
              <w:pStyle w:val="248"/>
              <w:keepNext w:val="0"/>
              <w:keepLines w:val="0"/>
              <w:widowControl/>
              <w:suppressLineNumbers w:val="0"/>
              <w:bidi w:val="0"/>
              <w:spacing w:before="0" w:beforeAutospacing="1" w:after="0" w:afterAutospacing="0" w:line="0" w:lineRule="atLeast"/>
              <w:ind w:left="0" w:right="0"/>
              <w:jc w:val="left"/>
              <w:rPr>
                <w:color w:val="000000"/>
                <w:highlight w:val="none"/>
              </w:rPr>
            </w:pPr>
            <w:r>
              <w:rPr>
                <w:rFonts w:hint="default" w:ascii="Times New Roman" w:hAnsi="Times New Roman" w:cs="Times New Roman"/>
                <w:color w:val="000000"/>
                <w:kern w:val="0"/>
                <w:sz w:val="24"/>
                <w:szCs w:val="24"/>
                <w:highlight w:val="none"/>
                <w:lang w:val="en-US" w:eastAsia="zh-CN" w:bidi="ar"/>
              </w:rPr>
              <w:t>06</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D3CDD4A">
            <w:pPr>
              <w:pStyle w:val="248"/>
              <w:keepNext w:val="0"/>
              <w:keepLines w:val="0"/>
              <w:widowControl/>
              <w:suppressLineNumbers w:val="0"/>
              <w:bidi w:val="0"/>
              <w:spacing w:before="0" w:beforeAutospacing="1" w:after="0" w:afterAutospacing="0" w:line="0" w:lineRule="atLeast"/>
              <w:ind w:left="0" w:right="0"/>
              <w:jc w:val="left"/>
              <w:rPr>
                <w:color w:val="000000"/>
                <w:highlight w:val="none"/>
              </w:rPr>
            </w:pPr>
            <w:r>
              <w:rPr>
                <w:rFonts w:hint="default" w:ascii="Times New Roman" w:hAnsi="Times New Roman" w:cs="Times New Roman"/>
                <w:color w:val="000000"/>
                <w:kern w:val="0"/>
                <w:sz w:val="24"/>
                <w:szCs w:val="24"/>
                <w:highlight w:val="none"/>
                <w:lang w:val="en-US" w:eastAsia="zh-CN" w:bidi="ar"/>
              </w:rPr>
              <w:t>380</w:t>
            </w:r>
          </w:p>
        </w:tc>
        <w:tc>
          <w:tcPr>
            <w:tcW w:w="6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E52183D">
            <w:pPr>
              <w:pStyle w:val="248"/>
              <w:keepNext w:val="0"/>
              <w:keepLines w:val="0"/>
              <w:widowControl/>
              <w:suppressLineNumbers w:val="0"/>
              <w:bidi w:val="0"/>
              <w:spacing w:before="0" w:beforeAutospacing="1" w:after="0" w:afterAutospacing="0" w:line="0" w:lineRule="atLeast"/>
              <w:ind w:left="0" w:right="0"/>
              <w:jc w:val="left"/>
              <w:rPr>
                <w:color w:val="000000"/>
                <w:highlight w:val="none"/>
              </w:rPr>
            </w:pPr>
            <w:r>
              <w:rPr>
                <w:rFonts w:hint="default" w:ascii="Times New Roman" w:hAnsi="Times New Roman" w:cs="Times New Roman"/>
                <w:color w:val="000000"/>
                <w:kern w:val="0"/>
                <w:sz w:val="24"/>
                <w:szCs w:val="24"/>
                <w:highlight w:val="none"/>
                <w:lang w:val="en-US" w:eastAsia="zh-CN" w:bidi="ar"/>
              </w:rPr>
              <w:t>M²</w:t>
            </w:r>
          </w:p>
        </w:tc>
        <w:tc>
          <w:tcPr>
            <w:tcW w:w="4484"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FF9A5E7">
            <w:pPr>
              <w:pStyle w:val="248"/>
              <w:keepNext w:val="0"/>
              <w:keepLines w:val="0"/>
              <w:widowControl/>
              <w:suppressLineNumbers w:val="0"/>
              <w:bidi w:val="0"/>
              <w:spacing w:before="0" w:beforeAutospacing="1" w:after="0" w:afterAutospacing="0" w:line="0" w:lineRule="atLeast"/>
              <w:ind w:left="0" w:right="0"/>
              <w:jc w:val="left"/>
              <w:rPr>
                <w:color w:val="000000"/>
                <w:highlight w:val="none"/>
              </w:rPr>
            </w:pPr>
            <w:r>
              <w:rPr>
                <w:rFonts w:hint="default" w:ascii="Times New Roman" w:hAnsi="Times New Roman" w:cs="Times New Roman"/>
                <w:color w:val="000000"/>
                <w:kern w:val="0"/>
                <w:sz w:val="24"/>
                <w:szCs w:val="24"/>
                <w:highlight w:val="none"/>
                <w:lang w:val="en-US" w:eastAsia="zh-CN" w:bidi="ar"/>
              </w:rPr>
              <w:t xml:space="preserve">Confecção e instalação de m² em móvel </w:t>
            </w:r>
            <w:r>
              <w:rPr>
                <w:rFonts w:hint="default" w:ascii="Times New Roman" w:hAnsi="Times New Roman" w:cs="Times New Roman"/>
                <w:b/>
                <w:bCs/>
                <w:color w:val="000000"/>
                <w:kern w:val="0"/>
                <w:sz w:val="24"/>
                <w:szCs w:val="24"/>
                <w:highlight w:val="none"/>
                <w:lang w:val="en-US" w:eastAsia="zh-CN" w:bidi="ar"/>
              </w:rPr>
              <w:t>painel ripado em MDF 18mm</w:t>
            </w:r>
            <w:r>
              <w:rPr>
                <w:rFonts w:hint="default" w:ascii="Times New Roman" w:hAnsi="Times New Roman" w:cs="Times New Roman"/>
                <w:color w:val="000000"/>
                <w:kern w:val="0"/>
                <w:sz w:val="24"/>
                <w:szCs w:val="24"/>
                <w:highlight w:val="none"/>
                <w:lang w:val="en-US" w:eastAsia="zh-CN" w:bidi="ar"/>
              </w:rPr>
              <w:t xml:space="preserve">, revestido por laminado melamínico, fitas de acabamento em laminado na mesma cor do material com no mínimo 1mm espessura, cantoneiras, buchas e parafusos de fixação e tapa furos adesivo, de acordo com projeto apresentado. </w:t>
            </w:r>
          </w:p>
        </w:tc>
        <w:tc>
          <w:tcPr>
            <w:tcW w:w="157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1C84D9D">
            <w:pPr>
              <w:pStyle w:val="248"/>
              <w:keepNext w:val="0"/>
              <w:keepLines w:val="0"/>
              <w:widowControl/>
              <w:suppressLineNumbers w:val="0"/>
              <w:bidi w:val="0"/>
              <w:spacing w:before="0" w:beforeAutospacing="1" w:after="0" w:afterAutospacing="0" w:line="0" w:lineRule="atLeast"/>
              <w:ind w:left="0" w:right="0"/>
              <w:jc w:val="left"/>
              <w:rPr>
                <w:color w:val="000000"/>
                <w:highlight w:val="none"/>
              </w:rPr>
            </w:pPr>
            <w:r>
              <w:rPr>
                <w:color w:val="000000"/>
                <w:kern w:val="0"/>
                <w:highlight w:val="none"/>
                <w:lang w:val="en-US" w:eastAsia="zh-CN" w:bidi="ar"/>
              </w:rPr>
              <w:t>2.949,00</w:t>
            </w:r>
          </w:p>
        </w:tc>
        <w:tc>
          <w:tcPr>
            <w:tcW w:w="1388"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D00DD4">
            <w:pPr>
              <w:pStyle w:val="248"/>
              <w:keepNext w:val="0"/>
              <w:keepLines w:val="0"/>
              <w:widowControl/>
              <w:suppressLineNumbers w:val="0"/>
              <w:tabs>
                <w:tab w:val="left" w:pos="1200"/>
              </w:tabs>
              <w:bidi w:val="0"/>
              <w:spacing w:before="0" w:beforeAutospacing="1" w:after="0" w:afterAutospacing="0" w:line="0" w:lineRule="atLeast"/>
              <w:ind w:left="0" w:right="0"/>
              <w:jc w:val="left"/>
              <w:rPr>
                <w:color w:val="000000"/>
                <w:highlight w:val="none"/>
              </w:rPr>
            </w:pPr>
            <w:r>
              <w:rPr>
                <w:color w:val="000000"/>
                <w:kern w:val="0"/>
                <w:highlight w:val="none"/>
                <w:lang w:val="en-US" w:eastAsia="zh-CN" w:bidi="ar"/>
              </w:rPr>
              <w:t>1.120.620,00</w:t>
            </w:r>
          </w:p>
        </w:tc>
      </w:tr>
      <w:tr w14:paraId="6A8E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6494" w:type="dxa"/>
            <w:gridSpan w:val="4"/>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3E40F33">
            <w:pPr>
              <w:pStyle w:val="248"/>
              <w:keepNext w:val="0"/>
              <w:keepLines w:val="0"/>
              <w:widowControl/>
              <w:suppressLineNumbers w:val="0"/>
              <w:bidi w:val="0"/>
              <w:spacing w:before="0" w:beforeAutospacing="1" w:after="0" w:afterAutospacing="0" w:line="0" w:lineRule="atLeast"/>
              <w:ind w:left="0" w:right="0"/>
              <w:jc w:val="left"/>
              <w:rPr>
                <w:color w:val="000000"/>
                <w:highlight w:val="none"/>
              </w:rPr>
            </w:pPr>
            <w:r>
              <w:rPr>
                <w:rFonts w:hint="default" w:ascii="Times New Roman" w:hAnsi="Times New Roman" w:cs="Times New Roman"/>
                <w:b/>
                <w:bCs/>
                <w:color w:val="000000"/>
                <w:kern w:val="0"/>
                <w:sz w:val="24"/>
                <w:szCs w:val="24"/>
                <w:highlight w:val="none"/>
                <w:lang w:val="en-US" w:eastAsia="zh-CN" w:bidi="ar"/>
              </w:rPr>
              <w:t>TOTAL LOTE 7</w:t>
            </w:r>
          </w:p>
        </w:tc>
        <w:tc>
          <w:tcPr>
            <w:tcW w:w="2963" w:type="dxa"/>
            <w:gridSpan w:val="2"/>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C4747A">
            <w:pPr>
              <w:pStyle w:val="248"/>
              <w:keepNext w:val="0"/>
              <w:keepLines w:val="0"/>
              <w:widowControl/>
              <w:suppressLineNumbers w:val="0"/>
              <w:tabs>
                <w:tab w:val="left" w:pos="1200"/>
              </w:tabs>
              <w:bidi w:val="0"/>
              <w:spacing w:before="0" w:beforeAutospacing="1" w:after="0" w:afterAutospacing="0" w:line="0" w:lineRule="atLeast"/>
              <w:ind w:left="0" w:right="0"/>
              <w:jc w:val="left"/>
              <w:rPr>
                <w:color w:val="000000"/>
                <w:highlight w:val="none"/>
              </w:rPr>
            </w:pPr>
            <w:r>
              <w:rPr>
                <w:b/>
                <w:bCs/>
                <w:color w:val="000000"/>
                <w:kern w:val="0"/>
                <w:highlight w:val="none"/>
                <w:lang w:val="en-US" w:eastAsia="zh-CN" w:bidi="ar"/>
              </w:rPr>
              <w:t>R$ 3.259.608,72</w:t>
            </w:r>
          </w:p>
        </w:tc>
      </w:tr>
    </w:tbl>
    <w:p w14:paraId="37E11BEE">
      <w:pPr>
        <w:pStyle w:val="248"/>
        <w:keepNext w:val="0"/>
        <w:keepLines w:val="0"/>
        <w:widowControl/>
        <w:numPr>
          <w:ilvl w:val="0"/>
          <w:numId w:val="0"/>
        </w:numPr>
        <w:suppressLineNumbers w:val="0"/>
        <w:bidi w:val="0"/>
        <w:spacing w:before="0" w:beforeAutospacing="1" w:after="0" w:afterAutospacing="0" w:line="240" w:lineRule="auto"/>
        <w:ind w:right="0" w:rightChars="0"/>
        <w:jc w:val="both"/>
        <w:rPr>
          <w:rFonts w:hint="default" w:ascii="Times New Roman" w:hAnsi="Times New Roman" w:cs="Times New Roman"/>
          <w:sz w:val="23"/>
          <w:szCs w:val="23"/>
          <w:highlight w:val="none"/>
        </w:rPr>
      </w:pPr>
      <w:r>
        <w:rPr>
          <w:rFonts w:hint="default" w:ascii="Times New Roman" w:hAnsi="Times New Roman" w:cs="Times New Roman"/>
          <w:b/>
          <w:bCs/>
          <w:color w:val="000000"/>
          <w:kern w:val="0"/>
          <w:sz w:val="23"/>
          <w:szCs w:val="23"/>
          <w:highlight w:val="none"/>
          <w:lang w:val="pt-BR" w:eastAsia="zh-CN" w:bidi="ar"/>
        </w:rPr>
        <w:t>2.Do valor estimado</w:t>
      </w:r>
    </w:p>
    <w:p w14:paraId="1AB0921A">
      <w:pPr>
        <w:pStyle w:val="248"/>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kern w:val="0"/>
          <w:sz w:val="23"/>
          <w:szCs w:val="23"/>
          <w:highlight w:val="none"/>
          <w:lang w:val="pt-BR" w:eastAsia="zh-CN" w:bidi="ar"/>
        </w:rPr>
      </w:pPr>
      <w:r>
        <w:rPr>
          <w:rFonts w:hint="default" w:ascii="Times New Roman" w:hAnsi="Times New Roman" w:cs="Times New Roman"/>
          <w:b/>
          <w:bCs/>
          <w:color w:val="000000"/>
          <w:kern w:val="0"/>
          <w:sz w:val="23"/>
          <w:szCs w:val="23"/>
          <w:highlight w:val="none"/>
          <w:lang w:val="pt-BR" w:eastAsia="zh-CN" w:bidi="ar"/>
        </w:rPr>
        <w:t xml:space="preserve">2.1 </w:t>
      </w:r>
      <w:r>
        <w:rPr>
          <w:rFonts w:hint="default" w:ascii="Times New Roman" w:hAnsi="Times New Roman" w:cs="Times New Roman"/>
          <w:color w:val="000000"/>
          <w:kern w:val="0"/>
          <w:sz w:val="23"/>
          <w:szCs w:val="23"/>
          <w:highlight w:val="none"/>
          <w:lang w:val="pt-BR" w:eastAsia="zh-CN" w:bidi="ar"/>
        </w:rPr>
        <w:t xml:space="preserve">Tendo em vista a somatória dos Lotes, o valor a ser contratado será o de </w:t>
      </w:r>
      <w:r>
        <w:rPr>
          <w:rFonts w:hint="default" w:ascii="Times New Roman" w:hAnsi="Times New Roman" w:cs="Times New Roman"/>
          <w:b/>
          <w:bCs/>
          <w:color w:val="000000"/>
          <w:kern w:val="0"/>
          <w:sz w:val="23"/>
          <w:szCs w:val="23"/>
          <w:highlight w:val="none"/>
          <w:lang w:val="pt-BR" w:eastAsia="zh-CN" w:bidi="ar"/>
        </w:rPr>
        <w:t>R$ 3.633.165,59</w:t>
      </w:r>
      <w:r>
        <w:rPr>
          <w:rFonts w:hint="default" w:ascii="Times New Roman" w:hAnsi="Times New Roman" w:cs="Times New Roman"/>
          <w:color w:val="000000"/>
          <w:kern w:val="0"/>
          <w:sz w:val="23"/>
          <w:szCs w:val="23"/>
          <w:highlight w:val="none"/>
          <w:lang w:val="pt-BR" w:eastAsia="zh-CN" w:bidi="ar"/>
        </w:rPr>
        <w:t xml:space="preserve"> (três milhões seiscentos e trinta e três mil cento e sessenta e cinco reais e cinquenta e nove centavos). </w:t>
      </w:r>
    </w:p>
    <w:p w14:paraId="7CED8380">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color w:val="000000"/>
          <w:kern w:val="0"/>
          <w:sz w:val="23"/>
          <w:szCs w:val="23"/>
          <w:lang w:val="pt-BR" w:eastAsia="zh-CN" w:bidi="ar"/>
        </w:rPr>
        <w:t>3.</w:t>
      </w:r>
      <w:r>
        <w:rPr>
          <w:rFonts w:hint="default" w:ascii="Times New Roman" w:hAnsi="Times New Roman" w:cs="Times New Roman"/>
          <w:b/>
          <w:bCs/>
          <w:color w:val="000000"/>
          <w:kern w:val="0"/>
          <w:sz w:val="23"/>
          <w:szCs w:val="23"/>
          <w:lang w:val="pt-BR" w:eastAsia="zh-CN" w:bidi="ar"/>
        </w:rPr>
        <w:t>Justificativa Técnica para a Contratação:</w:t>
      </w:r>
    </w:p>
    <w:p w14:paraId="4CAAB9D4">
      <w:pPr>
        <w:pStyle w:val="248"/>
        <w:keepNext w:val="0"/>
        <w:keepLines w:val="0"/>
        <w:widowControl/>
        <w:suppressLineNumbers w:val="0"/>
        <w:bidi w:val="0"/>
        <w:spacing w:before="0" w:beforeAutospacing="1" w:after="0" w:afterAutospacing="0" w:line="240" w:lineRule="auto"/>
        <w:ind w:right="0"/>
        <w:jc w:val="both"/>
        <w:rPr>
          <w:sz w:val="23"/>
          <w:szCs w:val="23"/>
        </w:rPr>
      </w:pPr>
      <w:r>
        <w:rPr>
          <w:rFonts w:hint="default" w:ascii="Times New Roman" w:hAnsi="Times New Roman" w:cs="Times New Roman"/>
          <w:color w:val="000000"/>
          <w:kern w:val="0"/>
          <w:sz w:val="23"/>
          <w:szCs w:val="23"/>
          <w:lang w:val="pt-BR" w:eastAsia="zh-CN" w:bidi="ar"/>
        </w:rPr>
        <w:t xml:space="preserve">3.1. É importante ressaltar que a Administração Pública não está obrigada a contratar produtos que não atendam as suas necessidades apenas porque a conformidade com as normas de ABNT não é mandatória. Pelo contrário, além de buscar durabilidade nos produtos, é necessário que estes permitam a adaptação das condições de trabalho às características psicofisiológicas dos trabalhadores, garantindo assim máxima conforto, segurança, saúde e eficiência no desempenho. </w:t>
      </w:r>
    </w:p>
    <w:p w14:paraId="5A65445E">
      <w:pPr>
        <w:pStyle w:val="248"/>
        <w:keepNext w:val="0"/>
        <w:keepLines w:val="0"/>
        <w:widowControl/>
        <w:suppressLineNumbers w:val="0"/>
        <w:bidi w:val="0"/>
        <w:spacing w:before="0" w:beforeAutospacing="1" w:after="0" w:afterAutospacing="0" w:line="240" w:lineRule="auto"/>
        <w:ind w:right="0"/>
        <w:jc w:val="both"/>
        <w:rPr>
          <w:sz w:val="23"/>
          <w:szCs w:val="23"/>
        </w:rPr>
      </w:pPr>
      <w:r>
        <w:rPr>
          <w:rFonts w:hint="default" w:ascii="Times New Roman" w:hAnsi="Times New Roman" w:cs="Times New Roman"/>
          <w:color w:val="000000"/>
          <w:kern w:val="0"/>
          <w:sz w:val="23"/>
          <w:szCs w:val="23"/>
          <w:lang w:val="pt-BR" w:eastAsia="zh-CN" w:bidi="ar"/>
        </w:rPr>
        <w:t xml:space="preserve">3.2. Para ilustrar, as normas NBR 13961,13966 e 13967, e outras similares, estabelecem os critérios para moveis de escritório, abrangendo uma diversidade de especificações. Embora não sejam mandatórias, essas normas técnicas podem ser utilizadas pela Administração Pública como uma ferramenta para atingir um propósito específico, como no caso da aquisição de materiais de escritório que garantam estabilidade, resistência e durabilidade. </w:t>
      </w:r>
    </w:p>
    <w:p w14:paraId="2D5A6744">
      <w:pPr>
        <w:pStyle w:val="248"/>
        <w:keepNext w:val="0"/>
        <w:keepLines w:val="0"/>
        <w:widowControl/>
        <w:suppressLineNumbers w:val="0"/>
        <w:bidi w:val="0"/>
        <w:spacing w:before="0" w:beforeAutospacing="1" w:after="0" w:afterAutospacing="0" w:line="240" w:lineRule="auto"/>
        <w:ind w:right="0"/>
        <w:jc w:val="both"/>
        <w:rPr>
          <w:sz w:val="23"/>
          <w:szCs w:val="23"/>
        </w:rPr>
      </w:pPr>
      <w:r>
        <w:rPr>
          <w:rFonts w:hint="default" w:ascii="Times New Roman" w:hAnsi="Times New Roman" w:cs="Times New Roman"/>
          <w:color w:val="000000"/>
          <w:kern w:val="0"/>
          <w:sz w:val="23"/>
          <w:szCs w:val="23"/>
          <w:lang w:val="pt-BR" w:eastAsia="zh-CN" w:bidi="ar"/>
        </w:rPr>
        <w:t xml:space="preserve">3.3. No entanto, é importante reconhecer que a Administração tem o direto de procurar adquirir produtos seguros e eficientes. Portanto, é viável exigir do licitante a comprovação de que o produto oferecido atende aos requisitos necessários para garantir condições de salubridade, ergonomia e segurança para o agente público que realizará suas atividades. </w:t>
      </w:r>
    </w:p>
    <w:p w14:paraId="18CA88DC">
      <w:pPr>
        <w:pStyle w:val="248"/>
        <w:keepNext w:val="0"/>
        <w:keepLines w:val="0"/>
        <w:widowControl/>
        <w:suppressLineNumbers w:val="0"/>
        <w:bidi w:val="0"/>
        <w:spacing w:before="0" w:beforeAutospacing="1" w:after="0" w:afterAutospacing="0" w:line="240" w:lineRule="auto"/>
        <w:ind w:right="0"/>
        <w:jc w:val="both"/>
        <w:rPr>
          <w:color w:val="000000"/>
          <w:sz w:val="23"/>
          <w:szCs w:val="23"/>
        </w:rPr>
      </w:pPr>
      <w:r>
        <w:rPr>
          <w:rFonts w:hint="default" w:ascii="Times New Roman" w:hAnsi="Times New Roman" w:cs="Times New Roman"/>
          <w:b/>
          <w:bCs/>
          <w:color w:val="000000"/>
          <w:kern w:val="0"/>
          <w:sz w:val="23"/>
          <w:szCs w:val="23"/>
          <w:lang w:val="pt-BR" w:eastAsia="zh-CN" w:bidi="ar"/>
        </w:rPr>
        <w:t>4. Da execução:</w:t>
      </w:r>
    </w:p>
    <w:p w14:paraId="3CE738AE">
      <w:pPr>
        <w:pStyle w:val="248"/>
        <w:keepNext w:val="0"/>
        <w:keepLines w:val="0"/>
        <w:widowControl/>
        <w:suppressLineNumbers w:val="0"/>
        <w:bidi w:val="0"/>
        <w:spacing w:before="0" w:beforeAutospacing="1" w:after="0" w:afterAutospacing="0" w:line="240" w:lineRule="auto"/>
        <w:ind w:right="0"/>
        <w:jc w:val="both"/>
        <w:rPr>
          <w:color w:val="000000"/>
          <w:sz w:val="23"/>
          <w:szCs w:val="23"/>
        </w:rPr>
      </w:pPr>
      <w:r>
        <w:rPr>
          <w:rFonts w:hint="default" w:ascii="Times New Roman" w:hAnsi="Times New Roman" w:cs="Times New Roman"/>
          <w:color w:val="000000"/>
          <w:kern w:val="0"/>
          <w:sz w:val="23"/>
          <w:szCs w:val="23"/>
          <w:lang w:val="pt-BR" w:eastAsia="zh-CN" w:bidi="ar"/>
        </w:rPr>
        <w:t>4.1. A empresa contratada deverá fornecer o Produto e toda a instalação dos mesmos, em conformidades com as solicitações da Câmara Municipal de Primavera do Leste – MT.</w:t>
      </w:r>
    </w:p>
    <w:p w14:paraId="47DE7692">
      <w:pPr>
        <w:pStyle w:val="248"/>
        <w:keepNext w:val="0"/>
        <w:keepLines w:val="0"/>
        <w:widowControl/>
        <w:suppressLineNumbers w:val="0"/>
        <w:bidi w:val="0"/>
        <w:spacing w:before="0" w:beforeAutospacing="1" w:after="0" w:afterAutospacing="0" w:line="240" w:lineRule="auto"/>
        <w:ind w:right="0"/>
        <w:jc w:val="both"/>
        <w:rPr>
          <w:rFonts w:hint="default" w:ascii="Times New Roman" w:hAnsi="Times New Roman" w:cs="Times New Roman"/>
          <w:b/>
          <w:bCs/>
          <w:color w:val="000000"/>
          <w:kern w:val="0"/>
          <w:sz w:val="23"/>
          <w:szCs w:val="23"/>
          <w:lang w:val="pt-BR" w:eastAsia="zh-CN" w:bidi="ar"/>
        </w:rPr>
      </w:pPr>
      <w:r>
        <w:rPr>
          <w:rFonts w:hint="default" w:ascii="Times New Roman" w:hAnsi="Times New Roman" w:cs="Times New Roman"/>
          <w:b/>
          <w:bCs/>
          <w:color w:val="000000"/>
          <w:kern w:val="0"/>
          <w:sz w:val="23"/>
          <w:szCs w:val="23"/>
          <w:lang w:val="pt-BR" w:eastAsia="zh-CN" w:bidi="ar"/>
        </w:rPr>
        <w:t>5.Do prazo e condições de entrega do objeto licitado</w:t>
      </w:r>
    </w:p>
    <w:p w14:paraId="6D9CFFBE">
      <w:pPr>
        <w:pStyle w:val="248"/>
        <w:keepNext w:val="0"/>
        <w:keepLines w:val="0"/>
        <w:widowControl/>
        <w:suppressLineNumbers w:val="0"/>
        <w:bidi w:val="0"/>
        <w:spacing w:before="0" w:beforeAutospacing="1" w:after="0" w:afterAutospacing="0" w:line="240" w:lineRule="auto"/>
        <w:ind w:right="0"/>
        <w:jc w:val="both"/>
        <w:rPr>
          <w:rFonts w:hint="default" w:ascii="Times New Roman" w:hAnsi="Times New Roman" w:cs="Times New Roman"/>
          <w:color w:val="000000"/>
          <w:kern w:val="0"/>
          <w:sz w:val="23"/>
          <w:szCs w:val="23"/>
          <w:lang w:val="pt-BR" w:eastAsia="zh-CN" w:bidi="ar"/>
        </w:rPr>
      </w:pPr>
      <w:r>
        <w:rPr>
          <w:rFonts w:hint="default" w:ascii="Times New Roman" w:hAnsi="Times New Roman" w:cs="Times New Roman"/>
          <w:b/>
          <w:bCs/>
          <w:color w:val="000000"/>
          <w:kern w:val="0"/>
          <w:sz w:val="23"/>
          <w:szCs w:val="23"/>
          <w:lang w:val="pt-BR" w:eastAsia="zh-CN" w:bidi="ar"/>
        </w:rPr>
        <w:t xml:space="preserve">5.1 </w:t>
      </w:r>
      <w:r>
        <w:rPr>
          <w:rFonts w:hint="default" w:ascii="Times New Roman" w:hAnsi="Times New Roman" w:cs="Times New Roman"/>
          <w:color w:val="000000"/>
          <w:kern w:val="0"/>
          <w:sz w:val="23"/>
          <w:szCs w:val="23"/>
          <w:lang w:val="pt-BR" w:eastAsia="zh-CN" w:bidi="ar"/>
        </w:rPr>
        <w:t>O prazo para entrega e instalação do produto deve ser de até 30 (trinta) dias úteis a partir da solicitação do Poder Legislativo Municipal devendo ser entregue na Câmara Municipal de Primavera do Leste, sito na Avenida Primavera nº 300, Bairro Primavera II, CEP. 78.850-000 no Estado de Mato Grosso, observando-se o horário de expediente, das 07h00minàs 13h00min, de segunda a sexta-feira.</w:t>
      </w:r>
    </w:p>
    <w:p w14:paraId="570ABF4E">
      <w:pPr>
        <w:pStyle w:val="248"/>
        <w:keepNext w:val="0"/>
        <w:keepLines w:val="0"/>
        <w:widowControl/>
        <w:suppressLineNumbers w:val="0"/>
        <w:bidi w:val="0"/>
        <w:spacing w:before="0" w:beforeAutospacing="1" w:after="0" w:afterAutospacing="0" w:line="240" w:lineRule="auto"/>
        <w:ind w:right="0"/>
        <w:jc w:val="both"/>
        <w:rPr>
          <w:color w:val="000000"/>
          <w:sz w:val="23"/>
          <w:szCs w:val="23"/>
        </w:rPr>
      </w:pPr>
      <w:r>
        <w:rPr>
          <w:rFonts w:hint="default" w:ascii="Times New Roman" w:hAnsi="Times New Roman" w:cs="Times New Roman"/>
          <w:color w:val="000000"/>
          <w:kern w:val="0"/>
          <w:sz w:val="23"/>
          <w:szCs w:val="23"/>
          <w:lang w:val="pt-BR" w:eastAsia="zh-CN" w:bidi="ar"/>
        </w:rPr>
        <w:t>5.2. Todas as despesas com o fornecimento e instalação do produto correrão por conta da contratada;</w:t>
      </w:r>
    </w:p>
    <w:p w14:paraId="04C59301">
      <w:pPr>
        <w:pStyle w:val="248"/>
        <w:keepNext w:val="0"/>
        <w:keepLines w:val="0"/>
        <w:widowControl/>
        <w:suppressLineNumbers w:val="0"/>
        <w:bidi w:val="0"/>
        <w:spacing w:before="0" w:beforeAutospacing="1" w:after="0" w:afterAutospacing="0" w:line="240" w:lineRule="auto"/>
        <w:ind w:right="0"/>
        <w:jc w:val="both"/>
        <w:rPr>
          <w:sz w:val="23"/>
          <w:szCs w:val="23"/>
        </w:rPr>
      </w:pPr>
      <w:r>
        <w:rPr>
          <w:rFonts w:hint="default" w:ascii="Times New Roman" w:hAnsi="Times New Roman" w:cs="Times New Roman"/>
          <w:color w:val="000000"/>
          <w:kern w:val="0"/>
          <w:sz w:val="23"/>
          <w:szCs w:val="23"/>
          <w:lang w:val="pt-BR" w:eastAsia="zh-CN" w:bidi="ar"/>
        </w:rPr>
        <w:t>5.3. Não acarretará quaisquer ônus, encargos ou responsabilidades para a Câmara Municipal de Primavera do Leste, as despesas com funcionários da licitante vencedora, no fornecimento ora contratado;</w:t>
      </w:r>
    </w:p>
    <w:p w14:paraId="78B1CACA">
      <w:pPr>
        <w:pStyle w:val="248"/>
        <w:keepNext w:val="0"/>
        <w:keepLines w:val="0"/>
        <w:widowControl/>
        <w:suppressLineNumbers w:val="0"/>
        <w:bidi w:val="0"/>
        <w:spacing w:before="0" w:beforeAutospacing="1" w:after="0" w:afterAutospacing="0" w:line="240" w:lineRule="auto"/>
        <w:ind w:right="0"/>
        <w:jc w:val="both"/>
        <w:rPr>
          <w:color w:val="000000"/>
          <w:sz w:val="23"/>
          <w:szCs w:val="23"/>
        </w:rPr>
      </w:pPr>
      <w:r>
        <w:rPr>
          <w:rFonts w:hint="default" w:ascii="Times New Roman" w:hAnsi="Times New Roman" w:cs="Times New Roman"/>
          <w:color w:val="000000"/>
          <w:kern w:val="0"/>
          <w:sz w:val="23"/>
          <w:szCs w:val="23"/>
          <w:lang w:val="pt-BR" w:eastAsia="zh-CN" w:bidi="ar"/>
        </w:rPr>
        <w:t>5.4. A vencedora do certame deverá garantir a qualidade do fornecimento ora licitado, respondendo, na forma da lei, por quaisquer danos decorrentes da má execução deste instrumento;</w:t>
      </w:r>
    </w:p>
    <w:p w14:paraId="2EFF55D6">
      <w:pPr>
        <w:pStyle w:val="248"/>
        <w:keepNext w:val="0"/>
        <w:keepLines w:val="0"/>
        <w:widowControl/>
        <w:suppressLineNumbers w:val="0"/>
        <w:bidi w:val="0"/>
        <w:spacing w:before="0" w:beforeAutospacing="1" w:after="0" w:afterAutospacing="0" w:line="240" w:lineRule="auto"/>
        <w:ind w:right="0"/>
        <w:jc w:val="both"/>
        <w:rPr>
          <w:rFonts w:hint="default" w:ascii="Times New Roman" w:hAnsi="Times New Roman" w:cs="Times New Roman"/>
          <w:b/>
          <w:bCs/>
          <w:color w:val="000000"/>
          <w:kern w:val="0"/>
          <w:sz w:val="23"/>
          <w:szCs w:val="23"/>
          <w:lang w:val="pt-BR" w:eastAsia="zh-CN" w:bidi="ar"/>
        </w:rPr>
      </w:pPr>
      <w:r>
        <w:rPr>
          <w:rFonts w:hint="default" w:ascii="Times New Roman" w:hAnsi="Times New Roman" w:cs="Times New Roman"/>
          <w:b/>
          <w:bCs/>
          <w:color w:val="000000"/>
          <w:kern w:val="0"/>
          <w:sz w:val="23"/>
          <w:szCs w:val="23"/>
          <w:lang w:val="pt-BR" w:eastAsia="zh-CN" w:bidi="ar"/>
        </w:rPr>
        <w:t>6. Público-alvo:</w:t>
      </w:r>
    </w:p>
    <w:p w14:paraId="01394E5B">
      <w:pPr>
        <w:pStyle w:val="248"/>
        <w:keepNext w:val="0"/>
        <w:keepLines w:val="0"/>
        <w:widowControl/>
        <w:suppressLineNumbers w:val="0"/>
        <w:bidi w:val="0"/>
        <w:spacing w:before="0" w:beforeAutospacing="1" w:after="0" w:afterAutospacing="0" w:line="240" w:lineRule="auto"/>
        <w:ind w:right="0"/>
        <w:jc w:val="both"/>
        <w:rPr>
          <w:sz w:val="23"/>
          <w:szCs w:val="23"/>
        </w:rPr>
      </w:pPr>
      <w:r>
        <w:rPr>
          <w:rFonts w:hint="default" w:ascii="Times New Roman" w:hAnsi="Times New Roman" w:cs="Times New Roman"/>
          <w:b/>
          <w:bCs/>
          <w:color w:val="000000"/>
          <w:kern w:val="0"/>
          <w:sz w:val="23"/>
          <w:szCs w:val="23"/>
          <w:lang w:val="pt-BR" w:eastAsia="zh-CN" w:bidi="ar"/>
        </w:rPr>
        <w:t xml:space="preserve">6.1. </w:t>
      </w:r>
      <w:r>
        <w:rPr>
          <w:rFonts w:hint="default" w:ascii="Times New Roman" w:hAnsi="Times New Roman" w:cs="Times New Roman"/>
          <w:color w:val="000000"/>
          <w:kern w:val="0"/>
          <w:sz w:val="23"/>
          <w:szCs w:val="23"/>
          <w:lang w:val="pt-BR" w:eastAsia="zh-CN" w:bidi="ar"/>
        </w:rPr>
        <w:t>Os Parlamentares e servidores da Câmara Municipal de Primavera do Leste - MT no desenvolvimento de suas funções e a população.</w:t>
      </w:r>
    </w:p>
    <w:p w14:paraId="0D3D6654">
      <w:pPr>
        <w:pStyle w:val="248"/>
        <w:keepNext w:val="0"/>
        <w:keepLines w:val="0"/>
        <w:widowControl/>
        <w:suppressLineNumbers w:val="0"/>
        <w:bidi w:val="0"/>
        <w:spacing w:before="0" w:beforeAutospacing="1" w:after="0" w:afterAutospacing="0" w:line="240" w:lineRule="auto"/>
        <w:ind w:right="0"/>
        <w:jc w:val="both"/>
        <w:rPr>
          <w:color w:val="000000"/>
          <w:sz w:val="23"/>
          <w:szCs w:val="23"/>
        </w:rPr>
      </w:pPr>
      <w:r>
        <w:rPr>
          <w:rFonts w:hint="default" w:ascii="Times New Roman" w:hAnsi="Times New Roman" w:cs="Times New Roman"/>
          <w:b/>
          <w:bCs/>
          <w:color w:val="000000"/>
          <w:kern w:val="0"/>
          <w:sz w:val="23"/>
          <w:szCs w:val="23"/>
          <w:lang w:val="pt-BR" w:eastAsia="zh-CN" w:bidi="ar"/>
        </w:rPr>
        <w:t>Das Obrigações da Contratada:</w:t>
      </w:r>
    </w:p>
    <w:p w14:paraId="3A95675B">
      <w:pPr>
        <w:pStyle w:val="248"/>
        <w:keepNext w:val="0"/>
        <w:keepLines w:val="0"/>
        <w:widowControl/>
        <w:suppressLineNumbers w:val="0"/>
        <w:bidi w:val="0"/>
        <w:spacing w:before="0" w:beforeAutospacing="1" w:after="0" w:afterAutospacing="0" w:line="240" w:lineRule="auto"/>
        <w:ind w:right="0"/>
        <w:jc w:val="both"/>
        <w:rPr>
          <w:sz w:val="23"/>
          <w:szCs w:val="23"/>
        </w:rPr>
      </w:pPr>
      <w:r>
        <w:rPr>
          <w:rFonts w:hint="default" w:ascii="Times New Roman" w:hAnsi="Times New Roman" w:cs="Times New Roman"/>
          <w:color w:val="000000"/>
          <w:kern w:val="0"/>
          <w:sz w:val="23"/>
          <w:szCs w:val="23"/>
          <w:lang w:val="pt-BR" w:eastAsia="zh-CN" w:bidi="ar"/>
        </w:rPr>
        <w:t>7.1 Para garantir o fiel cumprimento do objeto deste certame, a Empresa Contratada se compromete a:</w:t>
      </w:r>
    </w:p>
    <w:p w14:paraId="14B0F82A">
      <w:pPr>
        <w:pStyle w:val="248"/>
        <w:keepNext w:val="0"/>
        <w:keepLines w:val="0"/>
        <w:widowControl/>
        <w:suppressLineNumbers w:val="0"/>
        <w:bidi w:val="0"/>
        <w:spacing w:before="0" w:beforeAutospacing="1" w:after="0" w:afterAutospacing="0" w:line="240" w:lineRule="auto"/>
        <w:ind w:right="0"/>
        <w:jc w:val="both"/>
        <w:rPr>
          <w:sz w:val="23"/>
          <w:szCs w:val="23"/>
        </w:rPr>
      </w:pPr>
      <w:r>
        <w:rPr>
          <w:rFonts w:hint="default" w:ascii="Times New Roman" w:hAnsi="Times New Roman" w:cs="Times New Roman"/>
          <w:b/>
          <w:bCs/>
          <w:color w:val="000000"/>
          <w:kern w:val="0"/>
          <w:sz w:val="23"/>
          <w:szCs w:val="23"/>
          <w:lang w:val="pt-BR" w:eastAsia="zh-CN" w:bidi="ar"/>
        </w:rPr>
        <w:t>7.1.1.</w:t>
      </w:r>
      <w:r>
        <w:rPr>
          <w:rFonts w:hint="default" w:ascii="Times New Roman" w:hAnsi="Times New Roman" w:cs="Times New Roman"/>
          <w:color w:val="000000"/>
          <w:kern w:val="0"/>
          <w:sz w:val="23"/>
          <w:szCs w:val="23"/>
          <w:lang w:val="pt-BR" w:eastAsia="zh-CN" w:bidi="ar"/>
        </w:rPr>
        <w:t xml:space="preserve"> Após a homologação, assinar a Ata de Registro de Preços no prazo de 05 (cinco) dias úteis, contados do recebimento da convocação oficial;</w:t>
      </w:r>
    </w:p>
    <w:p w14:paraId="2367C522">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7.1.2</w:t>
      </w:r>
      <w:r>
        <w:rPr>
          <w:rFonts w:hint="default" w:ascii="Times New Roman" w:hAnsi="Times New Roman" w:cs="Times New Roman"/>
          <w:color w:val="000000"/>
          <w:kern w:val="0"/>
          <w:sz w:val="23"/>
          <w:szCs w:val="23"/>
          <w:lang w:val="pt-BR" w:eastAsia="zh-CN" w:bidi="ar"/>
        </w:rPr>
        <w:t>. Após a ordem de fornecimento a licitante deverá retirar a Nota de Empenho no prazo de 05 (cinco) dias, contados do recebimento da convocação formal;</w:t>
      </w:r>
    </w:p>
    <w:p w14:paraId="46DC5FA9">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7.1.3</w:t>
      </w:r>
      <w:r>
        <w:rPr>
          <w:rFonts w:hint="default" w:ascii="Times New Roman" w:hAnsi="Times New Roman" w:cs="Times New Roman"/>
          <w:color w:val="000000"/>
          <w:kern w:val="0"/>
          <w:sz w:val="23"/>
          <w:szCs w:val="23"/>
          <w:lang w:val="pt-BR" w:eastAsia="zh-CN" w:bidi="ar"/>
        </w:rPr>
        <w:t>. Manter contato com a contratante sobre quaisquer assuntos relativos ao produto, objeto do Edital, sempre por escrito, ressalvados os entendimentos verbais determinados pela urgência de cada caso;</w:t>
      </w:r>
    </w:p>
    <w:p w14:paraId="214ADFE8">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7.1.4</w:t>
      </w:r>
      <w:r>
        <w:rPr>
          <w:rFonts w:hint="default" w:ascii="Times New Roman" w:hAnsi="Times New Roman" w:cs="Times New Roman"/>
          <w:color w:val="000000"/>
          <w:kern w:val="0"/>
          <w:sz w:val="23"/>
          <w:szCs w:val="23"/>
          <w:lang w:val="pt-BR" w:eastAsia="zh-CN" w:bidi="ar"/>
        </w:rPr>
        <w:t>. Arcar com todas as despesas, diretas ou indiretas, decorrentes do cumprimento das obrigações assumidas, sem qualquer ônus para a Contratante;</w:t>
      </w:r>
    </w:p>
    <w:p w14:paraId="48F3E37C">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7.2</w:t>
      </w:r>
      <w:r>
        <w:rPr>
          <w:rFonts w:hint="default" w:ascii="Times New Roman" w:hAnsi="Times New Roman" w:cs="Times New Roman"/>
          <w:color w:val="000000"/>
          <w:kern w:val="0"/>
          <w:sz w:val="23"/>
          <w:szCs w:val="23"/>
          <w:lang w:val="pt-BR" w:eastAsia="zh-CN" w:bidi="ar"/>
        </w:rPr>
        <w:t xml:space="preserve"> 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14:paraId="38A79442">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7.3.</w:t>
      </w:r>
      <w:r>
        <w:rPr>
          <w:rFonts w:hint="default" w:ascii="Times New Roman" w:hAnsi="Times New Roman" w:cs="Times New Roman"/>
          <w:color w:val="000000"/>
          <w:kern w:val="0"/>
          <w:sz w:val="23"/>
          <w:szCs w:val="23"/>
          <w:lang w:val="pt-BR" w:eastAsia="zh-CN" w:bidi="ar"/>
        </w:rPr>
        <w:t xml:space="preserve"> Manter, durante o prazo de vigência da Ata de Registro de Preços, todas as condições de habilitação exigidas na licitação;</w:t>
      </w:r>
    </w:p>
    <w:p w14:paraId="370A4BEA">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7.4</w:t>
      </w:r>
      <w:r>
        <w:rPr>
          <w:rFonts w:hint="default" w:ascii="Times New Roman" w:hAnsi="Times New Roman" w:cs="Times New Roman"/>
          <w:color w:val="000000"/>
          <w:kern w:val="0"/>
          <w:sz w:val="23"/>
          <w:szCs w:val="23"/>
          <w:lang w:val="pt-BR" w:eastAsia="zh-CN" w:bidi="ar"/>
        </w:rPr>
        <w:t>. Prestar os esclarecimentos que forem solicitados pela Câmara Municipal de Primavera do Leste - MT, cujas reclamações se obrigam a atender prontamente, bem como dar ciência a Câmara Municipal, imediatamente, por escrito, de qualquer anormalidade que verificar quando do fornecimento ora licitado;</w:t>
      </w:r>
    </w:p>
    <w:p w14:paraId="523EDAFF">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7.5</w:t>
      </w:r>
      <w:r>
        <w:rPr>
          <w:rFonts w:hint="default" w:ascii="Times New Roman" w:hAnsi="Times New Roman" w:cs="Times New Roman"/>
          <w:color w:val="000000"/>
          <w:kern w:val="0"/>
          <w:sz w:val="23"/>
          <w:szCs w:val="23"/>
          <w:lang w:val="pt-BR" w:eastAsia="zh-CN" w:bidi="ar"/>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0DBB7836">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7.6</w:t>
      </w:r>
      <w:r>
        <w:rPr>
          <w:rFonts w:hint="default" w:ascii="Times New Roman" w:hAnsi="Times New Roman" w:cs="Times New Roman"/>
          <w:color w:val="000000"/>
          <w:kern w:val="0"/>
          <w:sz w:val="23"/>
          <w:szCs w:val="23"/>
          <w:lang w:val="pt-BR" w:eastAsia="zh-CN" w:bidi="ar"/>
        </w:rPr>
        <w:t>. O preço será aquele constante da proposta contendo o menor valor do item, apresentado no Pregão Eletrônico, em valor a ser pago em moeda nacional;</w:t>
      </w:r>
    </w:p>
    <w:p w14:paraId="6491370A">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7.7</w:t>
      </w:r>
      <w:r>
        <w:rPr>
          <w:rFonts w:hint="default" w:ascii="Times New Roman" w:hAnsi="Times New Roman" w:cs="Times New Roman"/>
          <w:color w:val="000000"/>
          <w:kern w:val="0"/>
          <w:sz w:val="23"/>
          <w:szCs w:val="23"/>
          <w:lang w:val="pt-BR" w:eastAsia="zh-CN" w:bidi="ar"/>
        </w:rPr>
        <w:t>. O preço ofertado pela empresa licitante vencedora deverá incluir todas as despesas relativas ao objeto contratado (tributos, seguros, encargos sociais, frete etc.);</w:t>
      </w:r>
    </w:p>
    <w:p w14:paraId="5FD6FEA2">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7.8</w:t>
      </w:r>
      <w:r>
        <w:rPr>
          <w:rFonts w:hint="default" w:ascii="Times New Roman" w:hAnsi="Times New Roman" w:cs="Times New Roman"/>
          <w:color w:val="000000"/>
          <w:kern w:val="0"/>
          <w:sz w:val="23"/>
          <w:szCs w:val="23"/>
          <w:lang w:val="pt-BR" w:eastAsia="zh-CN" w:bidi="ar"/>
        </w:rPr>
        <w:t>. Responsabilizar-se por todo e qualquer dano que causar ao Órgão, ou a terceiros, ainda que culposo praticado por seus prepostos, empregado ou mandatários, não excluindo ou reduzindo essa responsabilidade a fiscalização ou acompanhamento pela Câmara Municipal de Primavera do Leste;</w:t>
      </w:r>
    </w:p>
    <w:p w14:paraId="750ECA69">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7.9</w:t>
      </w:r>
      <w:r>
        <w:rPr>
          <w:rFonts w:hint="default" w:ascii="Times New Roman" w:hAnsi="Times New Roman" w:cs="Times New Roman"/>
          <w:color w:val="000000"/>
          <w:kern w:val="0"/>
          <w:sz w:val="23"/>
          <w:szCs w:val="23"/>
          <w:lang w:val="pt-BR" w:eastAsia="zh-CN" w:bidi="ar"/>
        </w:rPr>
        <w:t>. Responsabilizar-se por todo e qualquer tipo de atuação ou ação que venha a sofrer em decorrência do fornecimento e instalação em questão, bem como pelos Contratos de trabalho de seus empregados, mesmo nos casos que envolvam eventuais decisões judiciais, eximindo esta instituição de qualquer solidariedade ou responsabilidade.</w:t>
      </w:r>
    </w:p>
    <w:p w14:paraId="28BC55D4">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7.10</w:t>
      </w:r>
      <w:r>
        <w:rPr>
          <w:rFonts w:hint="default" w:ascii="Times New Roman" w:hAnsi="Times New Roman" w:cs="Times New Roman"/>
          <w:color w:val="000000"/>
          <w:kern w:val="0"/>
          <w:sz w:val="23"/>
          <w:szCs w:val="23"/>
          <w:lang w:val="pt-BR" w:eastAsia="zh-CN" w:bidi="ar"/>
        </w:rPr>
        <w:t>. Efetuar a imediata correção das deficiências apontadas pela Contratante, com relação ao fornecimento e instalação do produto.</w:t>
      </w:r>
    </w:p>
    <w:p w14:paraId="480D905C">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7.11.</w:t>
      </w:r>
      <w:r>
        <w:rPr>
          <w:rFonts w:hint="default" w:ascii="Times New Roman" w:hAnsi="Times New Roman" w:cs="Times New Roman"/>
          <w:color w:val="000000"/>
          <w:kern w:val="0"/>
          <w:sz w:val="23"/>
          <w:szCs w:val="23"/>
          <w:lang w:val="pt-BR" w:eastAsia="zh-CN" w:bidi="ar"/>
        </w:rPr>
        <w:t xml:space="preserve"> Disponibilizar o fornecimento dentro dos padrões estabelecidos neste Termo de Referência, responsabilizando-se por eventuais prejuízos decorrentes do descumprimento de qualquer cláusula ou condição aqui estabelecida;</w:t>
      </w:r>
    </w:p>
    <w:p w14:paraId="16B58742">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7.12</w:t>
      </w:r>
      <w:r>
        <w:rPr>
          <w:rFonts w:hint="default" w:ascii="Times New Roman" w:hAnsi="Times New Roman" w:cs="Times New Roman"/>
          <w:color w:val="000000"/>
          <w:kern w:val="0"/>
          <w:sz w:val="23"/>
          <w:szCs w:val="23"/>
          <w:lang w:val="pt-BR" w:eastAsia="zh-CN" w:bidi="ar"/>
        </w:rPr>
        <w:t>. Não transferir a outrem, no todo ou em parte, o Contrato;</w:t>
      </w:r>
    </w:p>
    <w:p w14:paraId="05F1820B">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7.13</w:t>
      </w:r>
      <w:r>
        <w:rPr>
          <w:rFonts w:hint="default" w:ascii="Times New Roman" w:hAnsi="Times New Roman" w:cs="Times New Roman"/>
          <w:color w:val="000000"/>
          <w:kern w:val="0"/>
          <w:sz w:val="23"/>
          <w:szCs w:val="23"/>
          <w:lang w:val="pt-BR" w:eastAsia="zh-CN" w:bidi="ar"/>
        </w:rPr>
        <w:t>. Solucionar imediatamente os problemas que venham a surgir relacionados com o produto fornecidos e sua instalação;</w:t>
      </w:r>
    </w:p>
    <w:p w14:paraId="7507DC02">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7.14.</w:t>
      </w:r>
      <w:r>
        <w:rPr>
          <w:rFonts w:hint="default" w:ascii="Times New Roman" w:hAnsi="Times New Roman" w:cs="Times New Roman"/>
          <w:color w:val="000000"/>
          <w:kern w:val="0"/>
          <w:sz w:val="23"/>
          <w:szCs w:val="23"/>
          <w:lang w:val="pt-BR" w:eastAsia="zh-CN" w:bidi="ar"/>
        </w:rPr>
        <w:t xml:space="preserve"> Apresenta atestado de capacidade técnica na fase de habilitação, uma vez que considerado a natureza e complexidade dos serviços/produtos a serem contratados conforme o objeto da licitação, bem como a necessidade de garantir a qualidade, eficiência e segurança na execução dos mesmos, é fundamental assegurar que os licitantes possuam comprovada experiência e capacidade técnica para atender aos requisitos exigidos.</w:t>
      </w:r>
      <w:r>
        <w:rPr>
          <w:rFonts w:hint="default" w:ascii="Times New Roman" w:hAnsi="Times New Roman" w:cs="Times New Roman"/>
          <w:b/>
          <w:bCs/>
          <w:color w:val="000000"/>
          <w:kern w:val="0"/>
          <w:sz w:val="23"/>
          <w:szCs w:val="23"/>
          <w:lang w:val="pt-BR" w:eastAsia="zh-CN" w:bidi="ar"/>
        </w:rPr>
        <w:t xml:space="preserve"> </w:t>
      </w:r>
      <w:r>
        <w:rPr>
          <w:rFonts w:hint="default" w:ascii="Times New Roman" w:hAnsi="Times New Roman" w:cs="Times New Roman"/>
          <w:color w:val="000000"/>
          <w:kern w:val="0"/>
          <w:sz w:val="23"/>
          <w:szCs w:val="23"/>
          <w:lang w:val="pt-BR" w:eastAsia="zh-CN" w:bidi="ar"/>
        </w:rPr>
        <w:t>A exigência de atestados de capacidade técnica na habilitação dos licitantes é uma medida que visa garantir a seleção de fornecedores qualificados e aptos a executar o contrato de forma satisfatória, minimizando os riscos de falhas, atrasos ou inadequações na prestação dos serviços/fornecimento dos produtos. Neste sentido, o atestado de capacidade técnica está em conformidade com os princípios da legalidade, impessoalidade, moralidade, publicidade e eficiência, estabelecidos na legislação de licitações, visando sempre o interesse público e a obtenção da melhor proposta para a Administração Pública.</w:t>
      </w:r>
    </w:p>
    <w:p w14:paraId="44C0E98E">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8. DO ACOMPANHAMENTO:</w:t>
      </w:r>
    </w:p>
    <w:p w14:paraId="0A97608B">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 xml:space="preserve">8.1. </w:t>
      </w:r>
      <w:r>
        <w:rPr>
          <w:rFonts w:hint="default" w:ascii="Times New Roman" w:hAnsi="Times New Roman" w:cs="Times New Roman"/>
          <w:color w:val="000000"/>
          <w:kern w:val="0"/>
          <w:sz w:val="23"/>
          <w:szCs w:val="23"/>
          <w:lang w:val="pt-BR" w:eastAsia="zh-CN" w:bidi="ar"/>
        </w:rPr>
        <w:t>Quanto ao acompanhamento da montagem dos mobiliários, a empresa fornecedora DEVERÁ enviar montadores e fiscalizar a execução da mesma, durante toda a instalação, solucionando qualquer ocorrência relacionada, e assim, resolvendo o que for necessário à regularização de qualquer defeito que possa surgir.</w:t>
      </w:r>
    </w:p>
    <w:p w14:paraId="12479D72">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8.2.</w:t>
      </w:r>
      <w:r>
        <w:rPr>
          <w:rFonts w:hint="default" w:ascii="Times New Roman" w:hAnsi="Times New Roman" w:cs="Times New Roman"/>
          <w:b w:val="0"/>
          <w:bCs w:val="0"/>
          <w:color w:val="000000"/>
          <w:kern w:val="0"/>
          <w:sz w:val="23"/>
          <w:szCs w:val="23"/>
          <w:lang w:val="pt-BR" w:eastAsia="zh-CN" w:bidi="ar"/>
        </w:rPr>
        <w:t xml:space="preserve"> Cumprir as decisões tomadas pela contratante com relação às alterações que venham a ser propostas e que serão registradas nos respectivos documentos da fiscalização do serviço;</w:t>
      </w:r>
    </w:p>
    <w:p w14:paraId="404FA1C9">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 xml:space="preserve">8.3. </w:t>
      </w:r>
      <w:r>
        <w:rPr>
          <w:rFonts w:hint="default" w:ascii="Times New Roman" w:hAnsi="Times New Roman" w:cs="Times New Roman"/>
          <w:b w:val="0"/>
          <w:bCs w:val="0"/>
          <w:color w:val="000000"/>
          <w:kern w:val="0"/>
          <w:sz w:val="23"/>
          <w:szCs w:val="23"/>
          <w:lang w:val="pt-BR" w:eastAsia="zh-CN" w:bidi="ar"/>
        </w:rPr>
        <w:t xml:space="preserve">Promover as avaliações e medições das etapas executadas. </w:t>
      </w:r>
    </w:p>
    <w:p w14:paraId="225946D9">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8.4.</w:t>
      </w:r>
      <w:r>
        <w:rPr>
          <w:rFonts w:hint="default" w:ascii="Times New Roman" w:hAnsi="Times New Roman" w:cs="Times New Roman"/>
          <w:b w:val="0"/>
          <w:bCs w:val="0"/>
          <w:color w:val="000000"/>
          <w:kern w:val="0"/>
          <w:sz w:val="23"/>
          <w:szCs w:val="23"/>
          <w:lang w:val="pt-BR" w:eastAsia="zh-CN" w:bidi="ar"/>
        </w:rPr>
        <w:t xml:space="preserve"> Informar, conclusivamente, todas as previsões ou constatações de atrasos ou antecipações</w:t>
      </w:r>
      <w:r>
        <w:rPr>
          <w:rFonts w:hint="default" w:ascii="Times New Roman" w:hAnsi="Times New Roman" w:cs="Times New Roman"/>
          <w:color w:val="000000"/>
          <w:kern w:val="0"/>
          <w:sz w:val="23"/>
          <w:szCs w:val="23"/>
          <w:lang w:val="pt-BR" w:eastAsia="zh-CN" w:bidi="ar"/>
        </w:rPr>
        <w:t xml:space="preserve"> dos serviços</w:t>
      </w:r>
      <w:r>
        <w:rPr>
          <w:rFonts w:hint="default" w:ascii="Times New Roman" w:hAnsi="Times New Roman" w:cs="Times New Roman"/>
          <w:b w:val="0"/>
          <w:bCs w:val="0"/>
          <w:color w:val="000000"/>
          <w:kern w:val="0"/>
          <w:sz w:val="23"/>
          <w:szCs w:val="23"/>
          <w:lang w:val="pt-BR" w:eastAsia="zh-CN" w:bidi="ar"/>
        </w:rPr>
        <w:t xml:space="preserve"> e, em ambos, fornecer as razões determinantes, bem como trazer ao conhecimento da Administração, eventuais atrasos ou descumprimentos das empresas no atendimento de quaisquer solicitações que possam comprometer a qualidade, segurança e o andamento dos serviços;</w:t>
      </w:r>
    </w:p>
    <w:p w14:paraId="72620152">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 Das Obrigações da Contratante:</w:t>
      </w:r>
    </w:p>
    <w:p w14:paraId="20C2703F">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9.1</w:t>
      </w:r>
      <w:r>
        <w:rPr>
          <w:rFonts w:hint="default" w:ascii="Times New Roman" w:hAnsi="Times New Roman" w:cs="Times New Roman"/>
          <w:color w:val="000000"/>
          <w:kern w:val="0"/>
          <w:sz w:val="23"/>
          <w:szCs w:val="23"/>
          <w:lang w:val="pt-BR" w:eastAsia="zh-CN" w:bidi="ar"/>
        </w:rPr>
        <w:t>. A Câmara Municipal de Primavera do Leste Estado de Mato Grosso obriga-se a:</w:t>
      </w:r>
    </w:p>
    <w:p w14:paraId="4551474E">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9.1.1</w:t>
      </w:r>
      <w:r>
        <w:rPr>
          <w:rFonts w:hint="default" w:ascii="Times New Roman" w:hAnsi="Times New Roman" w:cs="Times New Roman"/>
          <w:color w:val="000000"/>
          <w:kern w:val="0"/>
          <w:sz w:val="23"/>
          <w:szCs w:val="23"/>
          <w:lang w:val="pt-BR" w:eastAsia="zh-CN" w:bidi="ar"/>
        </w:rPr>
        <w:t>. Proporcionar todas as facilidades indispensáveis à boa execução das obrigações a serem contratadas, inclusive permitindo o acesso de empregados, prepostos ou representantes da empresa fornecedoras nas dependências da Câmara Municipal;</w:t>
      </w:r>
    </w:p>
    <w:p w14:paraId="44F36DCE">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9.1.2</w:t>
      </w:r>
      <w:r>
        <w:rPr>
          <w:rFonts w:hint="default" w:ascii="Times New Roman" w:hAnsi="Times New Roman" w:cs="Times New Roman"/>
          <w:color w:val="000000"/>
          <w:kern w:val="0"/>
          <w:sz w:val="23"/>
          <w:szCs w:val="23"/>
          <w:lang w:val="pt-BR" w:eastAsia="zh-CN" w:bidi="ar"/>
        </w:rPr>
        <w:t>. Permitir ao pessoal da contratada, acesso ao local da entrega;</w:t>
      </w:r>
    </w:p>
    <w:p w14:paraId="4A9D5FC2">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9.1.3</w:t>
      </w:r>
      <w:r>
        <w:rPr>
          <w:rFonts w:hint="default" w:ascii="Times New Roman" w:hAnsi="Times New Roman" w:cs="Times New Roman"/>
          <w:color w:val="000000"/>
          <w:kern w:val="0"/>
          <w:sz w:val="23"/>
          <w:szCs w:val="23"/>
          <w:lang w:val="pt-BR" w:eastAsia="zh-CN" w:bidi="ar"/>
        </w:rPr>
        <w:t>. Notificar a CONTRATADA de qualquer irregularidade encontrada na entrega do produto;</w:t>
      </w:r>
    </w:p>
    <w:p w14:paraId="37B4C6A3">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9.1.4</w:t>
      </w:r>
      <w:r>
        <w:rPr>
          <w:rFonts w:hint="default" w:ascii="Times New Roman" w:hAnsi="Times New Roman" w:cs="Times New Roman"/>
          <w:color w:val="000000"/>
          <w:kern w:val="0"/>
          <w:sz w:val="23"/>
          <w:szCs w:val="23"/>
          <w:lang w:val="pt-BR" w:eastAsia="zh-CN" w:bidi="ar"/>
        </w:rPr>
        <w:t>. Efetuar os pagamentos devidos, nas condições estabelecidas neste Termo de Referência, garantindo a real disponibilidade financeira para a quitação de seus débitos frente a empresa fornecedora do produto ora licitado, sob pena de ilegalidade dos atos;</w:t>
      </w:r>
    </w:p>
    <w:p w14:paraId="09333C03">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9.1.5</w:t>
      </w:r>
      <w:r>
        <w:rPr>
          <w:rFonts w:hint="default" w:ascii="Times New Roman" w:hAnsi="Times New Roman" w:cs="Times New Roman"/>
          <w:color w:val="000000"/>
          <w:kern w:val="0"/>
          <w:sz w:val="23"/>
          <w:szCs w:val="23"/>
          <w:lang w:val="pt-BR" w:eastAsia="zh-CN" w:bidi="ar"/>
        </w:rPr>
        <w:t>. Receber o objeto homologado, nos termos, prazos, quantitativos, qualidade e condições estabelecidas neste instrumento;</w:t>
      </w:r>
    </w:p>
    <w:p w14:paraId="00BA195E">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9.2</w:t>
      </w:r>
      <w:r>
        <w:rPr>
          <w:rFonts w:hint="default" w:ascii="Times New Roman" w:hAnsi="Times New Roman" w:cs="Times New Roman"/>
          <w:color w:val="000000"/>
          <w:kern w:val="0"/>
          <w:sz w:val="23"/>
          <w:szCs w:val="23"/>
          <w:lang w:val="pt-BR" w:eastAsia="zh-CN" w:bidi="ar"/>
        </w:rPr>
        <w:t>. Recusar e devolver nas seguintes hipóteses:</w:t>
      </w:r>
    </w:p>
    <w:p w14:paraId="7FC6A2EF">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9.2.1</w:t>
      </w:r>
      <w:r>
        <w:rPr>
          <w:rFonts w:hint="default" w:ascii="Times New Roman" w:hAnsi="Times New Roman" w:cs="Times New Roman"/>
          <w:color w:val="000000"/>
          <w:kern w:val="0"/>
          <w:sz w:val="23"/>
          <w:szCs w:val="23"/>
          <w:lang w:val="pt-BR" w:eastAsia="zh-CN" w:bidi="ar"/>
        </w:rPr>
        <w:t>. Que apresentarem vício de qualidade ou impropriedade para o uso;</w:t>
      </w:r>
    </w:p>
    <w:p w14:paraId="0518B380">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9.2.2</w:t>
      </w:r>
      <w:r>
        <w:rPr>
          <w:rFonts w:hint="default" w:ascii="Times New Roman" w:hAnsi="Times New Roman" w:cs="Times New Roman"/>
          <w:color w:val="000000"/>
          <w:kern w:val="0"/>
          <w:sz w:val="23"/>
          <w:szCs w:val="23"/>
          <w:lang w:val="pt-BR" w:eastAsia="zh-CN" w:bidi="ar"/>
        </w:rPr>
        <w:t>. Que possuírem nota fiscal com especificação e quantidade em desacordo com solicitado;</w:t>
      </w:r>
    </w:p>
    <w:p w14:paraId="64DBAF3B">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9.2.3</w:t>
      </w:r>
      <w:r>
        <w:rPr>
          <w:rFonts w:hint="default" w:ascii="Times New Roman" w:hAnsi="Times New Roman" w:cs="Times New Roman"/>
          <w:color w:val="000000"/>
          <w:kern w:val="0"/>
          <w:sz w:val="23"/>
          <w:szCs w:val="23"/>
          <w:lang w:val="pt-BR" w:eastAsia="zh-CN" w:bidi="ar"/>
        </w:rPr>
        <w:t>. Quando entregues em desacordo com as especificações dos requisitos obrigatórios deste.</w:t>
      </w:r>
    </w:p>
    <w:p w14:paraId="79378942">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9.3.</w:t>
      </w:r>
      <w:r>
        <w:rPr>
          <w:rFonts w:hint="default" w:ascii="Times New Roman" w:hAnsi="Times New Roman" w:cs="Times New Roman"/>
          <w:color w:val="000000"/>
          <w:kern w:val="0"/>
          <w:sz w:val="23"/>
          <w:szCs w:val="23"/>
          <w:lang w:val="pt-BR" w:eastAsia="zh-CN" w:bidi="ar"/>
        </w:rPr>
        <w:t xml:space="preserve"> O recebimento provisório dar-se-á, por responsável indicado pela Câmara Municipal de Primavera do Leste, no ato da entrega do produto e da nota fiscal pela adjudicatária;</w:t>
      </w:r>
    </w:p>
    <w:p w14:paraId="5CEBC673">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9.4.</w:t>
      </w:r>
      <w:r>
        <w:rPr>
          <w:rFonts w:hint="default" w:ascii="Times New Roman" w:hAnsi="Times New Roman" w:cs="Times New Roman"/>
          <w:color w:val="000000"/>
          <w:kern w:val="0"/>
          <w:sz w:val="23"/>
          <w:szCs w:val="23"/>
          <w:lang w:val="pt-BR" w:eastAsia="zh-CN" w:bidi="ar"/>
        </w:rPr>
        <w:t xml:space="preserve"> O recebimento provisório não implica sua aceitação, podendo ser rejeitados, no todo ou em parte, quando em desacordo com as especificações constantes neste Termo de Referência e na proposta, devendo ser substituídos no prazo de até 07 (sete) dias úteis ao constatar qualquer irregularidade;</w:t>
      </w:r>
    </w:p>
    <w:p w14:paraId="78D7A161">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9.5</w:t>
      </w:r>
      <w:r>
        <w:rPr>
          <w:rFonts w:hint="default" w:ascii="Times New Roman" w:hAnsi="Times New Roman" w:cs="Times New Roman"/>
          <w:color w:val="000000"/>
          <w:kern w:val="0"/>
          <w:sz w:val="23"/>
          <w:szCs w:val="23"/>
          <w:lang w:val="pt-BR" w:eastAsia="zh-CN" w:bidi="ar"/>
        </w:rPr>
        <w:t>.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14:paraId="71C9731C">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9.6</w:t>
      </w:r>
      <w:r>
        <w:rPr>
          <w:rFonts w:hint="default" w:ascii="Times New Roman" w:hAnsi="Times New Roman" w:cs="Times New Roman"/>
          <w:color w:val="000000"/>
          <w:kern w:val="0"/>
          <w:sz w:val="23"/>
          <w:szCs w:val="23"/>
          <w:lang w:val="pt-BR" w:eastAsia="zh-CN" w:bidi="ar"/>
        </w:rPr>
        <w:t>. Efetuar o pagamento, após o recebimento definitivo, o qual deverá ser atestado por servidor designado pela presidência;</w:t>
      </w:r>
    </w:p>
    <w:p w14:paraId="593940C6">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9.7.</w:t>
      </w:r>
      <w:r>
        <w:rPr>
          <w:rFonts w:hint="default" w:ascii="Times New Roman" w:hAnsi="Times New Roman" w:cs="Times New Roman"/>
          <w:color w:val="000000"/>
          <w:kern w:val="0"/>
          <w:sz w:val="23"/>
          <w:szCs w:val="23"/>
          <w:lang w:val="pt-BR" w:eastAsia="zh-CN" w:bidi="ar"/>
        </w:rPr>
        <w:t xml:space="preserve"> Formalizar e convocar a consignatária da Ata de Registro de Preços, para assinatura nos termos da legislação pertinente e, consequentemente, emitir nota de.</w:t>
      </w:r>
    </w:p>
    <w:p w14:paraId="667F8C43">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10. Vigência da Ata de Registro de Preços:</w:t>
      </w:r>
    </w:p>
    <w:p w14:paraId="285C0109">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10.1.</w:t>
      </w:r>
      <w:r>
        <w:rPr>
          <w:rFonts w:hint="default" w:ascii="Times New Roman" w:hAnsi="Times New Roman" w:cs="Times New Roman"/>
          <w:color w:val="000000"/>
          <w:kern w:val="0"/>
          <w:sz w:val="23"/>
          <w:szCs w:val="23"/>
          <w:lang w:val="pt-BR" w:eastAsia="zh-CN" w:bidi="ar"/>
        </w:rPr>
        <w:t xml:space="preserve"> O prazo de vigência da Ata </w:t>
      </w:r>
      <w:r>
        <w:rPr>
          <w:rFonts w:hint="default" w:ascii="Times New Roman" w:hAnsi="Times New Roman" w:cs="Times New Roman"/>
          <w:color w:val="000000"/>
          <w:kern w:val="0"/>
          <w:sz w:val="23"/>
          <w:szCs w:val="23"/>
          <w:u w:val="single"/>
          <w:lang w:val="pt-BR" w:eastAsia="zh-CN" w:bidi="ar"/>
        </w:rPr>
        <w:t>de Registro de Preços será 12 (doze) meses a partir da data da sua assinatura</w:t>
      </w:r>
      <w:r>
        <w:rPr>
          <w:rFonts w:hint="default" w:ascii="Times New Roman" w:hAnsi="Times New Roman" w:cs="Times New Roman"/>
          <w:color w:val="000000"/>
          <w:kern w:val="0"/>
          <w:sz w:val="23"/>
          <w:szCs w:val="23"/>
          <w:lang w:val="pt-BR" w:eastAsia="zh-CN" w:bidi="ar"/>
        </w:rPr>
        <w:t>, a qual será feita publicação no Diário Oficial do Município de Primavera do Leste – MT, a vigência dos contratos decorrentes da Ata de Registro de Preço, regula-se pela Lei n. 14.133/2021, especificamente no art. 84 e seus incisos, podendo ser prorrogado na forma da lei.</w:t>
      </w:r>
    </w:p>
    <w:p w14:paraId="62112F4D">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11. Das condições de pagamento:</w:t>
      </w:r>
    </w:p>
    <w:p w14:paraId="263C2A86">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11.1.</w:t>
      </w:r>
      <w:r>
        <w:rPr>
          <w:rFonts w:hint="default" w:ascii="Times New Roman" w:hAnsi="Times New Roman" w:cs="Times New Roman"/>
          <w:color w:val="000000"/>
          <w:kern w:val="0"/>
          <w:sz w:val="23"/>
          <w:szCs w:val="23"/>
          <w:lang w:val="pt-BR" w:eastAsia="zh-CN" w:bidi="ar"/>
        </w:rPr>
        <w:t xml:space="preserve"> O Órgão efetuará o pagamento à CONTRATADA, através de crédito em conta 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14:paraId="6BF4DEFF">
      <w:pPr>
        <w:pStyle w:val="248"/>
        <w:keepNext w:val="0"/>
        <w:keepLines w:val="0"/>
        <w:widowControl/>
        <w:suppressLineNumbers w:val="0"/>
        <w:bidi w:val="0"/>
        <w:spacing w:before="0" w:beforeAutospacing="1" w:after="0" w:afterAutospacing="0" w:line="24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12. Da dotação orçamentária:</w:t>
      </w:r>
    </w:p>
    <w:p w14:paraId="652A0181">
      <w:pPr>
        <w:pStyle w:val="248"/>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kern w:val="0"/>
          <w:sz w:val="24"/>
          <w:szCs w:val="24"/>
          <w:lang w:val="pt-BR" w:eastAsia="zh-CN" w:bidi="ar"/>
        </w:rPr>
      </w:pPr>
      <w:r>
        <w:rPr>
          <w:rFonts w:hint="default" w:ascii="Times New Roman" w:hAnsi="Times New Roman" w:cs="Times New Roman"/>
          <w:b/>
          <w:bCs/>
          <w:color w:val="000000"/>
          <w:kern w:val="0"/>
          <w:sz w:val="23"/>
          <w:szCs w:val="23"/>
          <w:lang w:val="pt-BR" w:eastAsia="zh-CN" w:bidi="ar"/>
        </w:rPr>
        <w:t>12.1</w:t>
      </w:r>
      <w:r>
        <w:rPr>
          <w:rFonts w:hint="default" w:ascii="Times New Roman" w:hAnsi="Times New Roman" w:cs="Times New Roman"/>
          <w:color w:val="000000"/>
          <w:kern w:val="0"/>
          <w:sz w:val="23"/>
          <w:szCs w:val="23"/>
          <w:lang w:val="pt-BR" w:eastAsia="zh-CN" w:bidi="ar"/>
        </w:rPr>
        <w:t>. As despesas oriundas da presente aquisição ocorrerão nas dotações orçamentárias relacionadas abaixo:</w:t>
      </w:r>
    </w:p>
    <w:p w14:paraId="0BB1AF6B">
      <w:pPr>
        <w:pStyle w:val="248"/>
        <w:keepNext w:val="0"/>
        <w:keepLines w:val="0"/>
        <w:widowControl/>
        <w:suppressLineNumbers w:val="0"/>
        <w:bidi w:val="0"/>
        <w:spacing w:before="0" w:beforeAutospacing="1" w:after="0" w:afterAutospacing="0" w:line="240" w:lineRule="auto"/>
        <w:ind w:left="0" w:right="0"/>
        <w:jc w:val="both"/>
        <w:rPr>
          <w:rFonts w:hint="default" w:ascii="Times New Roman" w:hAnsi="Times New Roman" w:cs="Times New Roman"/>
          <w:color w:val="000000"/>
          <w:kern w:val="0"/>
          <w:sz w:val="24"/>
          <w:szCs w:val="24"/>
          <w:lang w:val="pt-BR" w:eastAsia="zh-CN" w:bidi="ar"/>
        </w:rPr>
      </w:pPr>
    </w:p>
    <w:tbl>
      <w:tblPr>
        <w:tblStyle w:val="14"/>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2116"/>
        <w:gridCol w:w="2649"/>
        <w:gridCol w:w="4310"/>
      </w:tblGrid>
      <w:tr w14:paraId="258A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29788C60">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Órgão</w:t>
            </w:r>
          </w:p>
        </w:tc>
        <w:tc>
          <w:tcPr>
            <w:tcW w:w="253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984F527">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01</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52B415">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CÂMARA MUNICIPAL</w:t>
            </w:r>
          </w:p>
        </w:tc>
      </w:tr>
      <w:tr w14:paraId="19289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89D8A53">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Unid Orçamentária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1321989">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01.00.01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9B6B6E">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DEPARTAMENTO ADMINISTRATIVO</w:t>
            </w:r>
          </w:p>
        </w:tc>
      </w:tr>
      <w:tr w14:paraId="2DAE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71D4642">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Unidade Executora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8A604EA">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01.001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D1E825">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DEPARTAMENTO ADMINISTRATIVO</w:t>
            </w:r>
          </w:p>
        </w:tc>
      </w:tr>
      <w:tr w14:paraId="2A26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0DFA0D0">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Função programática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91BA83C">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01.031.0001-2.003</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F4EE4F">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MANUTENÇÃO DA AÇÃO LEGISLATIVA</w:t>
            </w:r>
          </w:p>
        </w:tc>
      </w:tr>
      <w:tr w14:paraId="43DB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8577335">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Elemento</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4B33C98">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3.3.90.39.00</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6A367B">
            <w:pPr>
              <w:pStyle w:val="32"/>
              <w:keepNext w:val="0"/>
              <w:keepLines w:val="0"/>
              <w:widowControl/>
              <w:suppressLineNumbers w:val="0"/>
              <w:spacing w:line="240" w:lineRule="auto"/>
              <w:rPr>
                <w:sz w:val="22"/>
                <w:szCs w:val="22"/>
              </w:rPr>
            </w:pPr>
            <w:r>
              <w:rPr>
                <w:rFonts w:hint="default" w:ascii="Times New Roman" w:hAnsi="Times New Roman" w:cs="Times New Roman"/>
                <w:color w:val="000000"/>
                <w:sz w:val="22"/>
                <w:szCs w:val="22"/>
              </w:rPr>
              <w:t>OUTROS SERVIÇOS DE TERCEIROS – PESSOA JURÍDICA</w:t>
            </w:r>
          </w:p>
        </w:tc>
      </w:tr>
    </w:tbl>
    <w:p w14:paraId="58831CFC">
      <w:pPr>
        <w:pStyle w:val="248"/>
        <w:keepNext w:val="0"/>
        <w:keepLines w:val="0"/>
        <w:widowControl/>
        <w:suppressLineNumbers w:val="0"/>
        <w:bidi w:val="0"/>
        <w:spacing w:before="0" w:beforeAutospacing="1" w:after="0" w:afterAutospacing="0" w:line="240" w:lineRule="auto"/>
        <w:ind w:left="0" w:right="0"/>
        <w:jc w:val="both"/>
        <w:rPr>
          <w:color w:val="000000"/>
        </w:rPr>
      </w:pPr>
    </w:p>
    <w:tbl>
      <w:tblPr>
        <w:tblStyle w:val="14"/>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2116"/>
        <w:gridCol w:w="2649"/>
        <w:gridCol w:w="4310"/>
      </w:tblGrid>
      <w:tr w14:paraId="4012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4C27862">
            <w:pPr>
              <w:pStyle w:val="32"/>
              <w:keepNext w:val="0"/>
              <w:keepLines w:val="0"/>
              <w:widowControl/>
              <w:suppressLineNumbers w:val="0"/>
              <w:spacing w:line="240" w:lineRule="auto"/>
            </w:pPr>
            <w:r>
              <w:rPr>
                <w:rFonts w:hint="default" w:ascii="Times New Roman" w:hAnsi="Times New Roman" w:cs="Times New Roman"/>
                <w:color w:val="000000"/>
                <w:sz w:val="24"/>
                <w:szCs w:val="24"/>
              </w:rPr>
              <w:t>Órgão</w:t>
            </w:r>
          </w:p>
        </w:tc>
        <w:tc>
          <w:tcPr>
            <w:tcW w:w="253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86DEE78">
            <w:pPr>
              <w:pStyle w:val="32"/>
              <w:keepNext w:val="0"/>
              <w:keepLines w:val="0"/>
              <w:widowControl/>
              <w:suppressLineNumbers w:val="0"/>
              <w:spacing w:line="240" w:lineRule="auto"/>
            </w:pPr>
            <w:r>
              <w:rPr>
                <w:rFonts w:hint="default" w:ascii="Times New Roman" w:hAnsi="Times New Roman" w:cs="Times New Roman"/>
                <w:color w:val="000000"/>
                <w:sz w:val="24"/>
                <w:szCs w:val="24"/>
              </w:rPr>
              <w:t>01</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B96A51">
            <w:pPr>
              <w:pStyle w:val="32"/>
              <w:keepNext w:val="0"/>
              <w:keepLines w:val="0"/>
              <w:widowControl/>
              <w:suppressLineNumbers w:val="0"/>
              <w:spacing w:line="240" w:lineRule="auto"/>
            </w:pPr>
            <w:r>
              <w:rPr>
                <w:rFonts w:hint="default" w:ascii="Times New Roman" w:hAnsi="Times New Roman" w:cs="Times New Roman"/>
                <w:color w:val="000000"/>
                <w:sz w:val="24"/>
                <w:szCs w:val="24"/>
              </w:rPr>
              <w:t>CÂMARA MUNICIPAL</w:t>
            </w:r>
          </w:p>
        </w:tc>
      </w:tr>
      <w:tr w14:paraId="1D42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062B395">
            <w:pPr>
              <w:pStyle w:val="32"/>
              <w:keepNext w:val="0"/>
              <w:keepLines w:val="0"/>
              <w:widowControl/>
              <w:suppressLineNumbers w:val="0"/>
              <w:spacing w:line="240" w:lineRule="auto"/>
            </w:pPr>
            <w:r>
              <w:rPr>
                <w:rFonts w:hint="default" w:ascii="Times New Roman" w:hAnsi="Times New Roman" w:cs="Times New Roman"/>
                <w:color w:val="000000"/>
                <w:sz w:val="24"/>
                <w:szCs w:val="24"/>
              </w:rPr>
              <w:t>Unid Orçamentária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263987F">
            <w:pPr>
              <w:pStyle w:val="32"/>
              <w:keepNext w:val="0"/>
              <w:keepLines w:val="0"/>
              <w:widowControl/>
              <w:suppressLineNumbers w:val="0"/>
              <w:spacing w:line="240" w:lineRule="auto"/>
            </w:pPr>
            <w:r>
              <w:rPr>
                <w:rFonts w:hint="default" w:ascii="Times New Roman" w:hAnsi="Times New Roman" w:cs="Times New Roman"/>
                <w:color w:val="000000"/>
                <w:sz w:val="24"/>
                <w:szCs w:val="24"/>
              </w:rPr>
              <w:t>01.00.01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A9DC99">
            <w:pPr>
              <w:pStyle w:val="32"/>
              <w:keepNext w:val="0"/>
              <w:keepLines w:val="0"/>
              <w:widowControl/>
              <w:suppressLineNumbers w:val="0"/>
              <w:spacing w:line="240" w:lineRule="auto"/>
            </w:pPr>
            <w:r>
              <w:rPr>
                <w:rFonts w:hint="default" w:ascii="Times New Roman" w:hAnsi="Times New Roman" w:cs="Times New Roman"/>
                <w:color w:val="000000"/>
                <w:sz w:val="24"/>
                <w:szCs w:val="24"/>
              </w:rPr>
              <w:t>DEPARTAMENTO ADMINISTRATIVO</w:t>
            </w:r>
          </w:p>
        </w:tc>
      </w:tr>
      <w:tr w14:paraId="569B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CA8F7A1">
            <w:pPr>
              <w:pStyle w:val="32"/>
              <w:keepNext w:val="0"/>
              <w:keepLines w:val="0"/>
              <w:widowControl/>
              <w:suppressLineNumbers w:val="0"/>
              <w:spacing w:line="240" w:lineRule="auto"/>
            </w:pPr>
            <w:r>
              <w:rPr>
                <w:rFonts w:hint="default" w:ascii="Times New Roman" w:hAnsi="Times New Roman" w:cs="Times New Roman"/>
                <w:color w:val="000000"/>
                <w:sz w:val="24"/>
                <w:szCs w:val="24"/>
              </w:rPr>
              <w:t>Unidade Executora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2CC9DD5">
            <w:pPr>
              <w:pStyle w:val="32"/>
              <w:keepNext w:val="0"/>
              <w:keepLines w:val="0"/>
              <w:widowControl/>
              <w:suppressLineNumbers w:val="0"/>
              <w:spacing w:line="240" w:lineRule="auto"/>
            </w:pPr>
            <w:r>
              <w:rPr>
                <w:rFonts w:hint="default" w:ascii="Times New Roman" w:hAnsi="Times New Roman" w:cs="Times New Roman"/>
                <w:color w:val="000000"/>
                <w:sz w:val="24"/>
                <w:szCs w:val="24"/>
              </w:rPr>
              <w:t>01.001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3C71B3">
            <w:pPr>
              <w:pStyle w:val="32"/>
              <w:keepNext w:val="0"/>
              <w:keepLines w:val="0"/>
              <w:widowControl/>
              <w:suppressLineNumbers w:val="0"/>
              <w:spacing w:line="240" w:lineRule="auto"/>
            </w:pPr>
            <w:r>
              <w:rPr>
                <w:rFonts w:hint="default" w:ascii="Times New Roman" w:hAnsi="Times New Roman" w:cs="Times New Roman"/>
                <w:color w:val="000000"/>
                <w:sz w:val="24"/>
                <w:szCs w:val="24"/>
              </w:rPr>
              <w:t>DEPARTAMENTO ADMINISTRATIVO</w:t>
            </w:r>
          </w:p>
        </w:tc>
      </w:tr>
      <w:tr w14:paraId="3175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41B0542">
            <w:pPr>
              <w:pStyle w:val="32"/>
              <w:keepNext w:val="0"/>
              <w:keepLines w:val="0"/>
              <w:widowControl/>
              <w:suppressLineNumbers w:val="0"/>
              <w:spacing w:line="240" w:lineRule="auto"/>
            </w:pPr>
            <w:r>
              <w:rPr>
                <w:rFonts w:hint="default" w:ascii="Times New Roman" w:hAnsi="Times New Roman" w:cs="Times New Roman"/>
                <w:color w:val="000000"/>
                <w:sz w:val="24"/>
                <w:szCs w:val="24"/>
              </w:rPr>
              <w:t>Função programática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689DBC31">
            <w:pPr>
              <w:pStyle w:val="32"/>
              <w:keepNext w:val="0"/>
              <w:keepLines w:val="0"/>
              <w:widowControl/>
              <w:suppressLineNumbers w:val="0"/>
              <w:spacing w:line="240" w:lineRule="auto"/>
            </w:pPr>
            <w:r>
              <w:rPr>
                <w:rFonts w:hint="default" w:ascii="Times New Roman" w:hAnsi="Times New Roman" w:cs="Times New Roman"/>
                <w:color w:val="000000"/>
                <w:sz w:val="24"/>
                <w:szCs w:val="24"/>
              </w:rPr>
              <w:t>01.031.0001-2.003</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07F9A1">
            <w:pPr>
              <w:pStyle w:val="32"/>
              <w:keepNext w:val="0"/>
              <w:keepLines w:val="0"/>
              <w:widowControl/>
              <w:suppressLineNumbers w:val="0"/>
              <w:spacing w:line="240" w:lineRule="auto"/>
            </w:pPr>
            <w:r>
              <w:rPr>
                <w:rFonts w:hint="default" w:ascii="Times New Roman" w:hAnsi="Times New Roman" w:cs="Times New Roman"/>
                <w:color w:val="000000"/>
                <w:sz w:val="24"/>
                <w:szCs w:val="24"/>
              </w:rPr>
              <w:t>MANUTENÇÃO DA AÇÃO LEGISLATIVA</w:t>
            </w:r>
          </w:p>
        </w:tc>
      </w:tr>
      <w:tr w14:paraId="25CE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189DCF74">
            <w:pPr>
              <w:pStyle w:val="32"/>
              <w:keepNext w:val="0"/>
              <w:keepLines w:val="0"/>
              <w:widowControl/>
              <w:suppressLineNumbers w:val="0"/>
              <w:spacing w:line="240" w:lineRule="auto"/>
            </w:pPr>
            <w:r>
              <w:rPr>
                <w:rFonts w:hint="default" w:ascii="Times New Roman" w:hAnsi="Times New Roman" w:cs="Times New Roman"/>
                <w:color w:val="000000"/>
                <w:sz w:val="24"/>
                <w:szCs w:val="24"/>
              </w:rPr>
              <w:t>Elemento</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06F1445">
            <w:pPr>
              <w:pStyle w:val="32"/>
              <w:keepNext w:val="0"/>
              <w:keepLines w:val="0"/>
              <w:widowControl/>
              <w:suppressLineNumbers w:val="0"/>
              <w:spacing w:line="240" w:lineRule="auto"/>
            </w:pPr>
            <w:r>
              <w:rPr>
                <w:rFonts w:hint="default" w:ascii="Times New Roman" w:hAnsi="Times New Roman" w:cs="Times New Roman"/>
                <w:color w:val="000000"/>
                <w:sz w:val="24"/>
                <w:szCs w:val="24"/>
              </w:rPr>
              <w:t>4.4.90.52.00</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89734C">
            <w:pPr>
              <w:pStyle w:val="32"/>
              <w:keepNext w:val="0"/>
              <w:keepLines w:val="0"/>
              <w:widowControl/>
              <w:suppressLineNumbers w:val="0"/>
              <w:spacing w:line="240" w:lineRule="auto"/>
            </w:pPr>
            <w:r>
              <w:rPr>
                <w:rFonts w:hint="default" w:ascii="Times New Roman" w:hAnsi="Times New Roman" w:cs="Times New Roman"/>
                <w:color w:val="000000"/>
                <w:sz w:val="24"/>
                <w:szCs w:val="24"/>
              </w:rPr>
              <w:t>EQUIPAMENTO E MATERIAL PERMANENTE</w:t>
            </w:r>
          </w:p>
        </w:tc>
      </w:tr>
    </w:tbl>
    <w:p w14:paraId="182D35DD">
      <w:pPr>
        <w:pStyle w:val="248"/>
        <w:keepNext w:val="0"/>
        <w:keepLines w:val="0"/>
        <w:widowControl/>
        <w:suppressLineNumbers w:val="0"/>
        <w:bidi w:val="0"/>
        <w:spacing w:before="0" w:beforeAutospacing="1" w:after="0" w:afterAutospacing="0" w:line="240" w:lineRule="auto"/>
        <w:ind w:left="0" w:right="0"/>
        <w:jc w:val="both"/>
        <w:rPr>
          <w:color w:val="000000"/>
        </w:rPr>
      </w:pPr>
    </w:p>
    <w:tbl>
      <w:tblPr>
        <w:tblStyle w:val="14"/>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60" w:type="dxa"/>
          <w:bottom w:w="60" w:type="dxa"/>
          <w:right w:w="60" w:type="dxa"/>
        </w:tblCellMar>
      </w:tblPr>
      <w:tblGrid>
        <w:gridCol w:w="2116"/>
        <w:gridCol w:w="2649"/>
        <w:gridCol w:w="4310"/>
      </w:tblGrid>
      <w:tr w14:paraId="7A03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7EFB5C5">
            <w:pPr>
              <w:pStyle w:val="32"/>
              <w:keepNext w:val="0"/>
              <w:keepLines w:val="0"/>
              <w:widowControl/>
              <w:suppressLineNumbers w:val="0"/>
              <w:spacing w:line="240" w:lineRule="auto"/>
            </w:pPr>
            <w:r>
              <w:rPr>
                <w:rFonts w:hint="default" w:ascii="Times New Roman" w:hAnsi="Times New Roman" w:cs="Times New Roman"/>
                <w:color w:val="000000"/>
                <w:sz w:val="24"/>
                <w:szCs w:val="24"/>
              </w:rPr>
              <w:t>Órgão</w:t>
            </w:r>
          </w:p>
        </w:tc>
        <w:tc>
          <w:tcPr>
            <w:tcW w:w="253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242950F">
            <w:pPr>
              <w:pStyle w:val="32"/>
              <w:keepNext w:val="0"/>
              <w:keepLines w:val="0"/>
              <w:widowControl/>
              <w:suppressLineNumbers w:val="0"/>
              <w:spacing w:line="240" w:lineRule="auto"/>
            </w:pPr>
            <w:r>
              <w:rPr>
                <w:rFonts w:hint="default" w:ascii="Times New Roman" w:hAnsi="Times New Roman" w:cs="Times New Roman"/>
                <w:color w:val="000000"/>
                <w:sz w:val="24"/>
                <w:szCs w:val="24"/>
              </w:rPr>
              <w:t>01</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5C84BA">
            <w:pPr>
              <w:pStyle w:val="32"/>
              <w:keepNext w:val="0"/>
              <w:keepLines w:val="0"/>
              <w:widowControl/>
              <w:suppressLineNumbers w:val="0"/>
              <w:spacing w:line="240" w:lineRule="auto"/>
            </w:pPr>
            <w:r>
              <w:rPr>
                <w:rFonts w:hint="default" w:ascii="Times New Roman" w:hAnsi="Times New Roman" w:cs="Times New Roman"/>
                <w:color w:val="000000"/>
                <w:sz w:val="24"/>
                <w:szCs w:val="24"/>
              </w:rPr>
              <w:t>CÂMARA MUNICIPAL</w:t>
            </w:r>
          </w:p>
        </w:tc>
      </w:tr>
      <w:tr w14:paraId="3733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492E3DA6">
            <w:pPr>
              <w:pStyle w:val="32"/>
              <w:keepNext w:val="0"/>
              <w:keepLines w:val="0"/>
              <w:widowControl/>
              <w:suppressLineNumbers w:val="0"/>
              <w:spacing w:line="240" w:lineRule="auto"/>
            </w:pPr>
            <w:r>
              <w:rPr>
                <w:rFonts w:hint="default" w:ascii="Times New Roman" w:hAnsi="Times New Roman" w:cs="Times New Roman"/>
                <w:color w:val="000000"/>
                <w:sz w:val="24"/>
                <w:szCs w:val="24"/>
              </w:rPr>
              <w:t>Unid Orçamentária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B19AF50">
            <w:pPr>
              <w:pStyle w:val="32"/>
              <w:keepNext w:val="0"/>
              <w:keepLines w:val="0"/>
              <w:widowControl/>
              <w:suppressLineNumbers w:val="0"/>
              <w:spacing w:line="240" w:lineRule="auto"/>
            </w:pPr>
            <w:r>
              <w:rPr>
                <w:rFonts w:hint="default" w:ascii="Times New Roman" w:hAnsi="Times New Roman" w:cs="Times New Roman"/>
                <w:color w:val="000000"/>
                <w:sz w:val="24"/>
                <w:szCs w:val="24"/>
              </w:rPr>
              <w:t>01.00.01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CC7918">
            <w:pPr>
              <w:pStyle w:val="32"/>
              <w:keepNext w:val="0"/>
              <w:keepLines w:val="0"/>
              <w:widowControl/>
              <w:suppressLineNumbers w:val="0"/>
              <w:spacing w:line="240" w:lineRule="auto"/>
            </w:pPr>
            <w:r>
              <w:rPr>
                <w:rFonts w:hint="default" w:ascii="Times New Roman" w:hAnsi="Times New Roman" w:cs="Times New Roman"/>
                <w:color w:val="000000"/>
                <w:sz w:val="24"/>
                <w:szCs w:val="24"/>
              </w:rPr>
              <w:t>DEPARTAMENTO ADMINISTRATIVO</w:t>
            </w:r>
          </w:p>
        </w:tc>
      </w:tr>
      <w:tr w14:paraId="29A9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02A01E23">
            <w:pPr>
              <w:pStyle w:val="32"/>
              <w:keepNext w:val="0"/>
              <w:keepLines w:val="0"/>
              <w:widowControl/>
              <w:suppressLineNumbers w:val="0"/>
              <w:spacing w:line="240" w:lineRule="auto"/>
            </w:pPr>
            <w:r>
              <w:rPr>
                <w:rFonts w:hint="default" w:ascii="Times New Roman" w:hAnsi="Times New Roman" w:cs="Times New Roman"/>
                <w:color w:val="000000"/>
                <w:sz w:val="24"/>
                <w:szCs w:val="24"/>
              </w:rPr>
              <w:t>Unidade Executora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34B7A6C4">
            <w:pPr>
              <w:pStyle w:val="32"/>
              <w:keepNext w:val="0"/>
              <w:keepLines w:val="0"/>
              <w:widowControl/>
              <w:suppressLineNumbers w:val="0"/>
              <w:spacing w:line="240" w:lineRule="auto"/>
            </w:pPr>
            <w:r>
              <w:rPr>
                <w:rFonts w:hint="default" w:ascii="Times New Roman" w:hAnsi="Times New Roman" w:cs="Times New Roman"/>
                <w:color w:val="000000"/>
                <w:sz w:val="24"/>
                <w:szCs w:val="24"/>
              </w:rPr>
              <w:t>01.001</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E716EA">
            <w:pPr>
              <w:pStyle w:val="32"/>
              <w:keepNext w:val="0"/>
              <w:keepLines w:val="0"/>
              <w:widowControl/>
              <w:suppressLineNumbers w:val="0"/>
              <w:spacing w:line="240" w:lineRule="auto"/>
            </w:pPr>
            <w:r>
              <w:rPr>
                <w:rFonts w:hint="default" w:ascii="Times New Roman" w:hAnsi="Times New Roman" w:cs="Times New Roman"/>
                <w:color w:val="000000"/>
                <w:sz w:val="24"/>
                <w:szCs w:val="24"/>
              </w:rPr>
              <w:t>DEPARTAMENTO ADMINISTRATIVO</w:t>
            </w:r>
          </w:p>
        </w:tc>
      </w:tr>
      <w:tr w14:paraId="7321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91BA811">
            <w:pPr>
              <w:pStyle w:val="32"/>
              <w:keepNext w:val="0"/>
              <w:keepLines w:val="0"/>
              <w:widowControl/>
              <w:suppressLineNumbers w:val="0"/>
              <w:spacing w:line="240" w:lineRule="auto"/>
            </w:pPr>
            <w:r>
              <w:rPr>
                <w:rFonts w:hint="default" w:ascii="Times New Roman" w:hAnsi="Times New Roman" w:cs="Times New Roman"/>
                <w:color w:val="000000"/>
                <w:sz w:val="24"/>
                <w:szCs w:val="24"/>
              </w:rPr>
              <w:t>Função programática</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5F72C85">
            <w:pPr>
              <w:pStyle w:val="32"/>
              <w:keepNext w:val="0"/>
              <w:keepLines w:val="0"/>
              <w:widowControl/>
              <w:suppressLineNumbers w:val="0"/>
              <w:spacing w:line="240" w:lineRule="auto"/>
            </w:pPr>
            <w:r>
              <w:rPr>
                <w:rFonts w:hint="default" w:ascii="Times New Roman" w:hAnsi="Times New Roman" w:cs="Times New Roman"/>
                <w:color w:val="000000"/>
                <w:sz w:val="24"/>
                <w:szCs w:val="24"/>
              </w:rPr>
              <w:t>01.031.0001-2.003</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74E57B">
            <w:pPr>
              <w:pStyle w:val="32"/>
              <w:keepNext w:val="0"/>
              <w:keepLines w:val="0"/>
              <w:widowControl/>
              <w:suppressLineNumbers w:val="0"/>
              <w:spacing w:line="240" w:lineRule="auto"/>
            </w:pPr>
            <w:r>
              <w:rPr>
                <w:rFonts w:hint="default" w:ascii="Times New Roman" w:hAnsi="Times New Roman" w:cs="Times New Roman"/>
                <w:color w:val="000000"/>
                <w:sz w:val="24"/>
                <w:szCs w:val="24"/>
              </w:rPr>
              <w:t>MANUTENÇÃO DA AÇÃO LEGISLATIVA</w:t>
            </w:r>
          </w:p>
        </w:tc>
      </w:tr>
      <w:tr w14:paraId="6FCF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60" w:type="dxa"/>
            <w:bottom w:w="60" w:type="dxa"/>
            <w:right w:w="60" w:type="dxa"/>
          </w:tblCellMar>
        </w:tblPrEx>
        <w:trPr>
          <w:tblCellSpacing w:w="0" w:type="dxa"/>
        </w:trPr>
        <w:tc>
          <w:tcPr>
            <w:tcW w:w="202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7C597E75">
            <w:pPr>
              <w:pStyle w:val="32"/>
              <w:keepNext w:val="0"/>
              <w:keepLines w:val="0"/>
              <w:widowControl/>
              <w:suppressLineNumbers w:val="0"/>
              <w:spacing w:line="240" w:lineRule="auto"/>
            </w:pPr>
            <w:r>
              <w:rPr>
                <w:rFonts w:hint="default" w:ascii="Times New Roman" w:hAnsi="Times New Roman" w:cs="Times New Roman"/>
                <w:color w:val="000000"/>
                <w:sz w:val="24"/>
                <w:szCs w:val="24"/>
              </w:rPr>
              <w:t>Elemento</w:t>
            </w:r>
          </w:p>
        </w:tc>
        <w:tc>
          <w:tcPr>
            <w:tcW w:w="2535" w:type="dxa"/>
            <w:tcBorders>
              <w:top w:val="nil"/>
              <w:left w:val="single" w:color="000000" w:sz="6" w:space="0"/>
              <w:bottom w:val="single" w:color="000000" w:sz="6" w:space="0"/>
              <w:right w:val="nil"/>
            </w:tcBorders>
            <w:shd w:val="clear" w:color="auto" w:fill="auto"/>
            <w:tcMar>
              <w:top w:w="0" w:type="dxa"/>
              <w:left w:w="0" w:type="dxa"/>
              <w:bottom w:w="0" w:type="dxa"/>
              <w:right w:w="0" w:type="dxa"/>
            </w:tcMar>
            <w:vAlign w:val="center"/>
          </w:tcPr>
          <w:p w14:paraId="52D4D125">
            <w:pPr>
              <w:pStyle w:val="32"/>
              <w:keepNext w:val="0"/>
              <w:keepLines w:val="0"/>
              <w:widowControl/>
              <w:suppressLineNumbers w:val="0"/>
              <w:spacing w:line="240" w:lineRule="auto"/>
            </w:pPr>
            <w:r>
              <w:rPr>
                <w:rFonts w:hint="default" w:ascii="Times New Roman" w:hAnsi="Times New Roman" w:cs="Times New Roman"/>
                <w:color w:val="000000"/>
                <w:sz w:val="24"/>
                <w:szCs w:val="24"/>
              </w:rPr>
              <w:t>3.3.90.30.00</w:t>
            </w:r>
          </w:p>
        </w:tc>
        <w:tc>
          <w:tcPr>
            <w:tcW w:w="412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811F88">
            <w:pPr>
              <w:pStyle w:val="32"/>
              <w:keepNext w:val="0"/>
              <w:keepLines w:val="0"/>
              <w:widowControl/>
              <w:suppressLineNumbers w:val="0"/>
              <w:spacing w:line="240" w:lineRule="auto"/>
            </w:pPr>
            <w:r>
              <w:rPr>
                <w:rFonts w:hint="default" w:ascii="Times New Roman" w:hAnsi="Times New Roman" w:cs="Times New Roman"/>
                <w:color w:val="000000"/>
                <w:sz w:val="24"/>
                <w:szCs w:val="24"/>
              </w:rPr>
              <w:t>MATERIAL DE CONSUMO</w:t>
            </w:r>
          </w:p>
        </w:tc>
      </w:tr>
    </w:tbl>
    <w:p w14:paraId="1D964358">
      <w:pPr>
        <w:pStyle w:val="248"/>
        <w:keepNext w:val="0"/>
        <w:keepLines w:val="0"/>
        <w:widowControl/>
        <w:suppressLineNumbers w:val="0"/>
        <w:bidi w:val="0"/>
        <w:spacing w:before="0" w:beforeAutospacing="1" w:after="0" w:afterAutospacing="0" w:line="240" w:lineRule="auto"/>
        <w:ind w:left="0" w:right="0"/>
        <w:jc w:val="both"/>
        <w:rPr>
          <w:color w:val="000000"/>
        </w:rPr>
      </w:pPr>
    </w:p>
    <w:p w14:paraId="730F0659">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13. Da Fiscalização:</w:t>
      </w:r>
    </w:p>
    <w:p w14:paraId="5302EF2C">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13.1</w:t>
      </w:r>
      <w:r>
        <w:rPr>
          <w:rFonts w:hint="default" w:ascii="Times New Roman" w:hAnsi="Times New Roman" w:cs="Times New Roman"/>
          <w:color w:val="000000"/>
          <w:kern w:val="0"/>
          <w:sz w:val="23"/>
          <w:szCs w:val="23"/>
          <w:lang w:val="pt-BR" w:eastAsia="zh-CN" w:bidi="ar"/>
        </w:rPr>
        <w:t>. A fiscalização será exercida por um representante da Câmara Municipal de Primavera do Leste, designado pelo Órgão, ao qual competirá dirimir as dúvidas que surgirem e de tudo dará ciência ao credenciante.</w:t>
      </w:r>
    </w:p>
    <w:p w14:paraId="243B7AF3">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13.2</w:t>
      </w:r>
      <w:r>
        <w:rPr>
          <w:rFonts w:hint="default" w:ascii="Times New Roman" w:hAnsi="Times New Roman" w:cs="Times New Roman"/>
          <w:color w:val="000000"/>
          <w:kern w:val="0"/>
          <w:sz w:val="23"/>
          <w:szCs w:val="23"/>
          <w:lang w:val="pt-BR" w:eastAsia="zh-CN" w:bidi="ar"/>
        </w:rPr>
        <w:t>. 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14:paraId="5F52C1BC">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14. Dos Casos Omissos:</w:t>
      </w:r>
    </w:p>
    <w:p w14:paraId="5BCFB7CE">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14.1.</w:t>
      </w:r>
      <w:r>
        <w:rPr>
          <w:rFonts w:hint="default" w:ascii="Times New Roman" w:hAnsi="Times New Roman" w:cs="Times New Roman"/>
          <w:color w:val="000000"/>
          <w:kern w:val="0"/>
          <w:sz w:val="23"/>
          <w:szCs w:val="23"/>
          <w:lang w:val="pt-BR" w:eastAsia="zh-CN" w:bidi="ar"/>
        </w:rPr>
        <w:t xml:space="preserve"> Os casos omissos deverão ser dirimidos de acordo com a Lei 14.133/21 (art 54, XII)</w:t>
      </w:r>
    </w:p>
    <w:p w14:paraId="2A00A16F">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 Do Cancelamento da Ata de Registro de Preços:</w:t>
      </w:r>
    </w:p>
    <w:p w14:paraId="4495CB63">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15.1.</w:t>
      </w:r>
      <w:r>
        <w:rPr>
          <w:rFonts w:hint="default" w:ascii="Times New Roman" w:hAnsi="Times New Roman" w:cs="Times New Roman"/>
          <w:color w:val="000000"/>
          <w:kern w:val="0"/>
          <w:sz w:val="23"/>
          <w:szCs w:val="23"/>
          <w:lang w:val="pt-BR" w:eastAsia="zh-CN" w:bidi="ar"/>
        </w:rPr>
        <w:t xml:space="preserve"> O preço registrado poderá ser cancelado nas seguintes hipóteses:</w:t>
      </w:r>
    </w:p>
    <w:p w14:paraId="36D4E25C">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15.1.1</w:t>
      </w:r>
      <w:r>
        <w:rPr>
          <w:rFonts w:hint="default" w:ascii="Times New Roman" w:hAnsi="Times New Roman" w:cs="Times New Roman"/>
          <w:color w:val="000000"/>
          <w:kern w:val="0"/>
          <w:sz w:val="23"/>
          <w:szCs w:val="23"/>
          <w:lang w:val="pt-BR" w:eastAsia="zh-CN" w:bidi="ar"/>
        </w:rPr>
        <w:t>. Pela Administração, no interesse público, ou quando o fornecedor:</w:t>
      </w:r>
    </w:p>
    <w:p w14:paraId="551B07CE">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15.1.2</w:t>
      </w:r>
      <w:r>
        <w:rPr>
          <w:rFonts w:hint="default" w:ascii="Times New Roman" w:hAnsi="Times New Roman" w:cs="Times New Roman"/>
          <w:color w:val="000000"/>
          <w:kern w:val="0"/>
          <w:sz w:val="23"/>
          <w:szCs w:val="23"/>
          <w:lang w:val="pt-BR" w:eastAsia="zh-CN" w:bidi="ar"/>
        </w:rPr>
        <w:t>. Não cumprir as exigências da Ata de Registro de Preços;</w:t>
      </w:r>
    </w:p>
    <w:p w14:paraId="243C64BB">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15.1.3</w:t>
      </w:r>
      <w:r>
        <w:rPr>
          <w:rFonts w:hint="default" w:ascii="Times New Roman" w:hAnsi="Times New Roman" w:cs="Times New Roman"/>
          <w:color w:val="000000"/>
          <w:kern w:val="0"/>
          <w:sz w:val="23"/>
          <w:szCs w:val="23"/>
          <w:lang w:val="pt-BR" w:eastAsia="zh-CN" w:bidi="ar"/>
        </w:rPr>
        <w:t>. Não formalizar Contrato ou documento equivalente (artigo 95, da Lei 14.133/21) decorrente do Registro de Preços ou não retirar o instrumento equivalente no prazo estabelecido, sem justificativa aceitável;</w:t>
      </w:r>
    </w:p>
    <w:p w14:paraId="75CA1F5C">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15.1.4</w:t>
      </w:r>
      <w:r>
        <w:rPr>
          <w:rFonts w:hint="default" w:ascii="Times New Roman" w:hAnsi="Times New Roman" w:cs="Times New Roman"/>
          <w:color w:val="000000"/>
          <w:kern w:val="0"/>
          <w:sz w:val="23"/>
          <w:szCs w:val="23"/>
          <w:lang w:val="pt-BR" w:eastAsia="zh-CN" w:bidi="ar"/>
        </w:rPr>
        <w:t>. Não aceitar reduzir o preço registrado, na hipótese de se tornar este superior aos praticados no mercado;</w:t>
      </w:r>
    </w:p>
    <w:p w14:paraId="58FEB2BD">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15.1.5</w:t>
      </w:r>
      <w:r>
        <w:rPr>
          <w:rFonts w:hint="default" w:ascii="Times New Roman" w:hAnsi="Times New Roman" w:cs="Times New Roman"/>
          <w:color w:val="000000"/>
          <w:kern w:val="0"/>
          <w:sz w:val="23"/>
          <w:szCs w:val="23"/>
          <w:lang w:val="pt-BR" w:eastAsia="zh-CN" w:bidi="ar"/>
        </w:rPr>
        <w:t>. Incorrer em inexecução total ou parcial do contrato ou documento equivalente (artigo 62, da Lei 14.133/21) decorrente do registro de preços;</w:t>
      </w:r>
    </w:p>
    <w:p w14:paraId="534A0B05">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15.1.6</w:t>
      </w:r>
      <w:r>
        <w:rPr>
          <w:rFonts w:hint="default" w:ascii="Times New Roman" w:hAnsi="Times New Roman" w:cs="Times New Roman"/>
          <w:color w:val="000000"/>
          <w:kern w:val="0"/>
          <w:sz w:val="23"/>
          <w:szCs w:val="23"/>
          <w:lang w:val="pt-BR" w:eastAsia="zh-CN" w:bidi="ar"/>
        </w:rPr>
        <w:t>. O cancelamento do registro de preços por parte da Administração, assegurados a ampla defesa e o contraditório, será formalizado por decisão da autoridade competente.</w:t>
      </w:r>
    </w:p>
    <w:p w14:paraId="1F2A5240">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15.1.7</w:t>
      </w:r>
      <w:r>
        <w:rPr>
          <w:rFonts w:hint="default" w:ascii="Times New Roman" w:hAnsi="Times New Roman" w:cs="Times New Roman"/>
          <w:color w:val="000000"/>
          <w:kern w:val="0"/>
          <w:sz w:val="23"/>
          <w:szCs w:val="23"/>
          <w:lang w:val="pt-BR" w:eastAsia="zh-CN" w:bidi="ar"/>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14:paraId="78860648">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15.1.8</w:t>
      </w:r>
      <w:r>
        <w:rPr>
          <w:rFonts w:hint="default" w:ascii="Times New Roman" w:hAnsi="Times New Roman" w:cs="Times New Roman"/>
          <w:color w:val="000000"/>
          <w:kern w:val="0"/>
          <w:sz w:val="23"/>
          <w:szCs w:val="23"/>
          <w:lang w:val="pt-BR" w:eastAsia="zh-CN" w:bidi="ar"/>
        </w:rPr>
        <w:t>. Da decisão da autoridade competente se dará conhecimento aos licitantes, mediante o envio de correspondência, com aviso de recebimento</w:t>
      </w:r>
    </w:p>
    <w:p w14:paraId="5AB32AC1">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15.1.9</w:t>
      </w:r>
      <w:r>
        <w:rPr>
          <w:rFonts w:hint="default" w:ascii="Times New Roman" w:hAnsi="Times New Roman" w:cs="Times New Roman"/>
          <w:color w:val="000000"/>
          <w:kern w:val="0"/>
          <w:sz w:val="23"/>
          <w:szCs w:val="23"/>
          <w:lang w:val="pt-BR" w:eastAsia="zh-CN" w:bidi="ar"/>
        </w:rPr>
        <w:t>. No caso de ser ignorado, incerto ou inacessível o endereço do contratado, a comunicação será efetivada através de publicação na imprensa oficial, considerando-se cancelado o preço registrado, a contar do terceiro dia subsequente ao da publicação.</w:t>
      </w:r>
    </w:p>
    <w:p w14:paraId="23F948F2">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15.2</w:t>
      </w:r>
      <w:r>
        <w:rPr>
          <w:rFonts w:hint="default" w:ascii="Times New Roman" w:hAnsi="Times New Roman" w:cs="Times New Roman"/>
          <w:color w:val="000000"/>
          <w:kern w:val="0"/>
          <w:sz w:val="23"/>
          <w:szCs w:val="23"/>
          <w:lang w:val="pt-BR" w:eastAsia="zh-CN" w:bidi="ar"/>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14:paraId="1A0A27EF">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 Das Sanções:</w:t>
      </w:r>
    </w:p>
    <w:p w14:paraId="09BE50EC">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16.1</w:t>
      </w:r>
      <w:r>
        <w:rPr>
          <w:rFonts w:hint="default" w:ascii="Times New Roman" w:hAnsi="Times New Roman" w:cs="Times New Roman"/>
          <w:color w:val="000000"/>
          <w:kern w:val="0"/>
          <w:sz w:val="23"/>
          <w:szCs w:val="23"/>
          <w:lang w:val="pt-BR" w:eastAsia="zh-CN" w:bidi="ar"/>
        </w:rPr>
        <w:t>. O descumprimento injustificado das obrigações assumidas neste Termo de Referência sujeita a adjudicada a multas, consoante parágrafo único do art. 162 da Lei no 14.133/21, incidentes sobre o valor da Nota de Empenho, na forma seguinte:</w:t>
      </w:r>
    </w:p>
    <w:p w14:paraId="413EAB2F">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16.1.1</w:t>
      </w:r>
      <w:r>
        <w:rPr>
          <w:rFonts w:hint="default" w:ascii="Times New Roman" w:hAnsi="Times New Roman" w:cs="Times New Roman"/>
          <w:color w:val="000000"/>
          <w:kern w:val="0"/>
          <w:sz w:val="23"/>
          <w:szCs w:val="23"/>
          <w:lang w:val="pt-BR" w:eastAsia="zh-CN" w:bidi="ar"/>
        </w:rPr>
        <w:t>. Atraso acima de 3 (três) dias para a entrega, multa de 1% (um por cento);</w:t>
      </w:r>
    </w:p>
    <w:p w14:paraId="59142448">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16.1.2</w:t>
      </w:r>
      <w:r>
        <w:rPr>
          <w:rFonts w:hint="default" w:ascii="Times New Roman" w:hAnsi="Times New Roman" w:cs="Times New Roman"/>
          <w:color w:val="000000"/>
          <w:kern w:val="0"/>
          <w:sz w:val="23"/>
          <w:szCs w:val="23"/>
          <w:lang w:val="pt-BR" w:eastAsia="zh-CN" w:bidi="ar"/>
        </w:rPr>
        <w:t>. A partir do 6º (sexto) até o limite do 10º (décimo) dia, multa de 4% (quatro por cento), caracterizando-se a inexecução total da obrigação a partir do 11º (décimo primeiro) dia de atraso.</w:t>
      </w:r>
    </w:p>
    <w:p w14:paraId="50760288">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16.2</w:t>
      </w:r>
      <w:r>
        <w:rPr>
          <w:rFonts w:hint="default" w:ascii="Times New Roman" w:hAnsi="Times New Roman" w:cs="Times New Roman"/>
          <w:color w:val="000000"/>
          <w:kern w:val="0"/>
          <w:sz w:val="23"/>
          <w:szCs w:val="23"/>
          <w:lang w:val="pt-BR" w:eastAsia="zh-CN" w:bidi="ar"/>
        </w:rPr>
        <w:t>. Sem prejuízo das sanções cominadas pela inexecução total ou parcial do objeto adjudicado, a Câmara Municipal Primavera do Leste poderá, garantida a prévia e ampla defesa, aplicar à Adjudicada multa de até 10% (dez por cento) sobre o valor homologado.</w:t>
      </w:r>
    </w:p>
    <w:p w14:paraId="6AC14448">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16.3</w:t>
      </w:r>
      <w:r>
        <w:rPr>
          <w:rFonts w:hint="default" w:ascii="Times New Roman" w:hAnsi="Times New Roman" w:cs="Times New Roman"/>
          <w:color w:val="000000"/>
          <w:kern w:val="0"/>
          <w:sz w:val="23"/>
          <w:szCs w:val="23"/>
          <w:lang w:val="pt-BR" w:eastAsia="zh-CN" w:bidi="ar"/>
        </w:rPr>
        <w:t>. Se a adjudicatária recusar-se a retirar a nota de empenho injustificadamente ou se não apresentar situação regular no ato da feitura da mesma, garantida prévia e ampla defesa, sujeita-se às seguintes penalidades:</w:t>
      </w:r>
    </w:p>
    <w:p w14:paraId="2CB31139">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16.3.1</w:t>
      </w:r>
      <w:r>
        <w:rPr>
          <w:rFonts w:hint="default" w:ascii="Times New Roman" w:hAnsi="Times New Roman" w:cs="Times New Roman"/>
          <w:color w:val="000000"/>
          <w:kern w:val="0"/>
          <w:sz w:val="23"/>
          <w:szCs w:val="23"/>
          <w:lang w:val="pt-BR" w:eastAsia="zh-CN" w:bidi="ar"/>
        </w:rPr>
        <w:t>. Multa de até 10% sobre o homologado;</w:t>
      </w:r>
    </w:p>
    <w:p w14:paraId="2CDD3666">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16.3.2</w:t>
      </w:r>
      <w:r>
        <w:rPr>
          <w:rFonts w:hint="default" w:ascii="Times New Roman" w:hAnsi="Times New Roman" w:cs="Times New Roman"/>
          <w:color w:val="000000"/>
          <w:kern w:val="0"/>
          <w:sz w:val="23"/>
          <w:szCs w:val="23"/>
          <w:lang w:val="pt-BR" w:eastAsia="zh-CN" w:bidi="ar"/>
        </w:rPr>
        <w:t>. Suspensão temporária de participar de licitações e impedimento de contratar com a Administração Pública, por prazo de até 2 (dois) anos, e;</w:t>
      </w:r>
    </w:p>
    <w:p w14:paraId="4D4AC434">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16.3.3</w:t>
      </w:r>
      <w:r>
        <w:rPr>
          <w:rFonts w:hint="default" w:ascii="Times New Roman" w:hAnsi="Times New Roman" w:cs="Times New Roman"/>
          <w:color w:val="000000"/>
          <w:kern w:val="0"/>
          <w:sz w:val="23"/>
          <w:szCs w:val="23"/>
          <w:lang w:val="pt-BR" w:eastAsia="zh-CN" w:bidi="ar"/>
        </w:rPr>
        <w:t>. Declaração de inidoneidade para licitar ou contratar com a Administração Pública.</w:t>
      </w:r>
    </w:p>
    <w:p w14:paraId="592D4A73">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16.4</w:t>
      </w:r>
      <w:r>
        <w:rPr>
          <w:rFonts w:hint="default" w:ascii="Times New Roman" w:hAnsi="Times New Roman" w:cs="Times New Roman"/>
          <w:color w:val="000000"/>
          <w:kern w:val="0"/>
          <w:sz w:val="23"/>
          <w:szCs w:val="23"/>
          <w:lang w:val="pt-BR" w:eastAsia="zh-CN" w:bidi="ar"/>
        </w:rPr>
        <w:t>.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14:paraId="06003FCD">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16.5</w:t>
      </w:r>
      <w:r>
        <w:rPr>
          <w:rFonts w:hint="default" w:ascii="Times New Roman" w:hAnsi="Times New Roman" w:cs="Times New Roman"/>
          <w:color w:val="000000"/>
          <w:kern w:val="0"/>
          <w:sz w:val="23"/>
          <w:szCs w:val="23"/>
          <w:lang w:val="pt-BR" w:eastAsia="zh-CN" w:bidi="ar"/>
        </w:rPr>
        <w:t>. As multas previstas nesta Seção não eximem a adjudicatária da reparação dos eventuais danos, perdas ou prejuízos que seu ato punível venha causar a Câmara Municipal.</w:t>
      </w:r>
    </w:p>
    <w:p w14:paraId="2C8147A4">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16.6</w:t>
      </w:r>
      <w:r>
        <w:rPr>
          <w:rFonts w:hint="default" w:ascii="Times New Roman" w:hAnsi="Times New Roman" w:cs="Times New Roman"/>
          <w:color w:val="000000"/>
          <w:kern w:val="0"/>
          <w:sz w:val="23"/>
          <w:szCs w:val="23"/>
          <w:lang w:val="pt-BR" w:eastAsia="zh-CN" w:bidi="ar"/>
        </w:rPr>
        <w:t>. O descumprimento injustificado das obrigações assumidas nos termos do presente Termo sujeita a Contratada a multas e alterações, incidentes sobre o valor da Nota de Empenho, na forma seguinte:</w:t>
      </w:r>
    </w:p>
    <w:p w14:paraId="7B54DE94">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16.7</w:t>
      </w:r>
      <w:r>
        <w:rPr>
          <w:rFonts w:hint="default" w:ascii="Times New Roman" w:hAnsi="Times New Roman" w:cs="Times New Roman"/>
          <w:color w:val="000000"/>
          <w:kern w:val="0"/>
          <w:sz w:val="23"/>
          <w:szCs w:val="23"/>
          <w:lang w:val="pt-BR" w:eastAsia="zh-CN" w:bidi="ar"/>
        </w:rPr>
        <w:t>.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14:paraId="11CAA638">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16.8</w:t>
      </w:r>
      <w:r>
        <w:rPr>
          <w:rFonts w:hint="default" w:ascii="Times New Roman" w:hAnsi="Times New Roman" w:cs="Times New Roman"/>
          <w:color w:val="000000"/>
          <w:kern w:val="0"/>
          <w:sz w:val="23"/>
          <w:szCs w:val="23"/>
          <w:lang w:val="pt-BR" w:eastAsia="zh-CN" w:bidi="ar"/>
        </w:rPr>
        <w:t>. 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14:paraId="3EB52E91">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17. DA DOCUMENTAÇÃO EXIGIDA PARA A HABILITAÇÃO</w:t>
      </w:r>
    </w:p>
    <w:p w14:paraId="3A1D6D9A">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ANEXO I – DOCUMENTAÇÃO EXIGIDA PARA HABILITAÇÃO</w:t>
      </w:r>
    </w:p>
    <w:p w14:paraId="0E3CD07F">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r>
        <w:rPr>
          <w:rFonts w:hint="default" w:ascii="Times New Roman" w:hAnsi="Times New Roman" w:cs="Times New Roman"/>
          <w:b/>
          <w:bCs/>
          <w:color w:val="000000"/>
          <w:kern w:val="0"/>
          <w:sz w:val="23"/>
          <w:szCs w:val="23"/>
          <w:lang w:val="pt-BR" w:eastAsia="zh-CN" w:bidi="ar"/>
        </w:rPr>
        <w:t>17.1 Habilitação jurídica:</w:t>
      </w:r>
    </w:p>
    <w:p w14:paraId="38FCCEAD">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17.1.2</w:t>
      </w:r>
      <w:r>
        <w:rPr>
          <w:rFonts w:hint="default" w:ascii="Times New Roman" w:hAnsi="Times New Roman" w:cs="Times New Roman"/>
          <w:color w:val="000000"/>
          <w:sz w:val="23"/>
          <w:szCs w:val="23"/>
          <w:lang w:val="pt-BR"/>
        </w:rPr>
        <w:t xml:space="preserve"> no caso de empresário individual, inscrição no Registro Público de Empresas Mercantis, a cargo da Junta Comercial da respectiva sede;</w:t>
      </w:r>
    </w:p>
    <w:p w14:paraId="6840B50F">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17.1.3</w:t>
      </w:r>
      <w:r>
        <w:rPr>
          <w:rFonts w:hint="default" w:ascii="Times New Roman" w:hAnsi="Times New Roman" w:cs="Times New Roman"/>
          <w:color w:val="000000"/>
          <w:sz w:val="23"/>
          <w:szCs w:val="23"/>
          <w:lang w:val="pt-BR"/>
        </w:rPr>
        <w:t xml:space="preserve"> Em se tratando de Microempreendedor Individual – MEI: Certificado da Condição de Microempreendedor Individual - CCMEI, cuja aceitação ficará condicionada à verificação da autenticidade no sítio www.portaldoempreendedor.gov.br;</w:t>
      </w:r>
    </w:p>
    <w:p w14:paraId="14A5F262">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 xml:space="preserve">17.1.4 </w:t>
      </w:r>
      <w:r>
        <w:rPr>
          <w:rFonts w:hint="default" w:ascii="Times New Roman" w:hAnsi="Times New Roman" w:cs="Times New Roman"/>
          <w:color w:val="000000"/>
          <w:sz w:val="23"/>
          <w:szCs w:val="23"/>
          <w:lang w:val="pt-BR"/>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9615E5C">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17.1.5</w:t>
      </w:r>
      <w:r>
        <w:rPr>
          <w:rFonts w:hint="default" w:ascii="Times New Roman" w:hAnsi="Times New Roman" w:cs="Times New Roman"/>
          <w:color w:val="000000"/>
          <w:sz w:val="23"/>
          <w:szCs w:val="23"/>
          <w:lang w:val="pt-BR"/>
        </w:rPr>
        <w:t xml:space="preserve"> inscrição no Registro Público de Empresas Mercantis onde opera, com averbação no Registro onde tem sede a matriz, no caso de ser o participante sucursal, filial ou agência;</w:t>
      </w:r>
    </w:p>
    <w:p w14:paraId="54D30786">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17.1.6</w:t>
      </w:r>
      <w:r>
        <w:rPr>
          <w:rFonts w:hint="default" w:ascii="Times New Roman" w:hAnsi="Times New Roman" w:cs="Times New Roman"/>
          <w:color w:val="000000"/>
          <w:sz w:val="23"/>
          <w:szCs w:val="23"/>
          <w:lang w:val="pt-BR"/>
        </w:rPr>
        <w:t xml:space="preserve"> No caso de sociedade simples: inscrição do ato constitutivo no Registro Civil das Pessoas Jurídicas do local de sua sede, acompanhada de prova da indicação dos seus administradores;</w:t>
      </w:r>
    </w:p>
    <w:p w14:paraId="587FFD71">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17.1.7</w:t>
      </w:r>
      <w:r>
        <w:rPr>
          <w:rFonts w:hint="default" w:ascii="Times New Roman" w:hAnsi="Times New Roman" w:cs="Times New Roman"/>
          <w:color w:val="000000"/>
          <w:sz w:val="23"/>
          <w:szCs w:val="23"/>
          <w:lang w:val="pt-BR"/>
        </w:rPr>
        <w:t xml:space="preserve"> decreto de autorização, em se tratando de sociedade empresária estrangeira em funcionamento no País;</w:t>
      </w:r>
    </w:p>
    <w:p w14:paraId="3F141F7B">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 xml:space="preserve">17.1.8 </w:t>
      </w:r>
      <w:r>
        <w:rPr>
          <w:rFonts w:hint="default" w:ascii="Times New Roman" w:hAnsi="Times New Roman" w:cs="Times New Roman"/>
          <w:color w:val="000000"/>
          <w:sz w:val="23"/>
          <w:szCs w:val="23"/>
          <w:lang w:val="pt-BR"/>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646D1CC">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17.1.9</w:t>
      </w:r>
      <w:r>
        <w:rPr>
          <w:rFonts w:hint="default" w:ascii="Times New Roman" w:hAnsi="Times New Roman" w:cs="Times New Roman"/>
          <w:color w:val="000000"/>
          <w:sz w:val="23"/>
          <w:szCs w:val="23"/>
          <w:lang w:val="pt-BR"/>
        </w:rPr>
        <w:t xml:space="preserve"> Os documentos acima deverão estar acompanhados de todas as alterações ou da consolidação respectiva.</w:t>
      </w:r>
    </w:p>
    <w:p w14:paraId="54C3F12B">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18.2 Regularidade fiscal, social e trabalhista:</w:t>
      </w:r>
    </w:p>
    <w:p w14:paraId="544D6731">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 xml:space="preserve">18.2.1 </w:t>
      </w:r>
      <w:r>
        <w:rPr>
          <w:rFonts w:hint="default" w:ascii="Times New Roman" w:hAnsi="Times New Roman" w:cs="Times New Roman"/>
          <w:color w:val="000000"/>
          <w:sz w:val="23"/>
          <w:szCs w:val="23"/>
          <w:lang w:val="pt-BR"/>
        </w:rPr>
        <w:t>prova de inscrição no Cadastro Nacional de Pessoas Jurídicas ou no Cadastro de Pessoas Físicas, conforme o caso;</w:t>
      </w:r>
    </w:p>
    <w:p w14:paraId="74805B0B">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18.2.3</w:t>
      </w:r>
      <w:r>
        <w:rPr>
          <w:rFonts w:hint="default" w:ascii="Times New Roman" w:hAnsi="Times New Roman" w:cs="Times New Roman"/>
          <w:color w:val="000000"/>
          <w:sz w:val="23"/>
          <w:szCs w:val="23"/>
          <w:lang w:val="pt-BR"/>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F8BA29D">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 xml:space="preserve">18.2.4 </w:t>
      </w:r>
      <w:r>
        <w:rPr>
          <w:rFonts w:hint="default" w:ascii="Times New Roman" w:hAnsi="Times New Roman" w:cs="Times New Roman"/>
          <w:color w:val="000000"/>
          <w:sz w:val="23"/>
          <w:szCs w:val="23"/>
          <w:lang w:val="pt-BR"/>
        </w:rPr>
        <w:t>prova de regularidade com o Fundo de Garantia do Tempo de Serviço (FGTS);</w:t>
      </w:r>
    </w:p>
    <w:p w14:paraId="35CB0FA5">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 xml:space="preserve">18.2.5 </w:t>
      </w:r>
      <w:r>
        <w:rPr>
          <w:rFonts w:hint="default" w:ascii="Times New Roman" w:hAnsi="Times New Roman" w:cs="Times New Roman"/>
          <w:color w:val="000000"/>
          <w:sz w:val="23"/>
          <w:szCs w:val="23"/>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AEF8777">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18.2.6</w:t>
      </w:r>
      <w:r>
        <w:rPr>
          <w:rFonts w:hint="default" w:ascii="Times New Roman" w:hAnsi="Times New Roman" w:cs="Times New Roman"/>
          <w:color w:val="000000"/>
          <w:sz w:val="23"/>
          <w:szCs w:val="23"/>
          <w:lang w:val="pt-BR"/>
        </w:rPr>
        <w:t xml:space="preserve"> prova de inscrição no cadastro de contribuintes estadual e municipal, relativo ao domicílio ou sede do fornecedor, pertinente ao seu ramo de atividade e compatível com o objeto contratual; </w:t>
      </w:r>
    </w:p>
    <w:p w14:paraId="323E0228">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 xml:space="preserve">18.2.7 </w:t>
      </w:r>
      <w:r>
        <w:rPr>
          <w:rFonts w:hint="default" w:ascii="Times New Roman" w:hAnsi="Times New Roman" w:cs="Times New Roman"/>
          <w:color w:val="000000"/>
          <w:sz w:val="23"/>
          <w:szCs w:val="23"/>
          <w:lang w:val="pt-BR"/>
        </w:rPr>
        <w:t xml:space="preserve">prova de regularidade com a Fazenda Estadual e Municipal do domicílio ou sede do fornecedor, relativa à atividade em cujo exercício contrata ou concorre; </w:t>
      </w:r>
    </w:p>
    <w:p w14:paraId="34E0A262">
      <w:pPr>
        <w:pStyle w:val="3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360" w:lineRule="auto"/>
        <w:ind w:right="0"/>
        <w:jc w:val="both"/>
        <w:rPr>
          <w:sz w:val="23"/>
          <w:szCs w:val="23"/>
        </w:rPr>
      </w:pPr>
      <w:r>
        <w:rPr>
          <w:rFonts w:hint="default" w:ascii="Times New Roman" w:hAnsi="Times New Roman" w:cs="Times New Roman"/>
          <w:b/>
          <w:bCs/>
          <w:color w:val="000000"/>
          <w:sz w:val="23"/>
          <w:szCs w:val="23"/>
          <w:lang w:val="pt-BR"/>
        </w:rPr>
        <w:t>18.2.8</w:t>
      </w:r>
      <w:r>
        <w:rPr>
          <w:rFonts w:hint="default" w:ascii="Times New Roman" w:hAnsi="Times New Roman" w:cs="Times New Roman"/>
          <w:color w:val="000000"/>
          <w:sz w:val="23"/>
          <w:szCs w:val="23"/>
          <w:lang w:val="pt-BR"/>
        </w:rPr>
        <w:t xml:space="preserve"> caso o fornecedor seja considerado isento dos tributos estaduais e municipais relacionados ao objeto contratual, deverá comprovar tal condição mediante a apresentação de declaração da Fazenda respectiva do seu domicílio ou sede, ou outra equivalente, na forma da lei; </w:t>
      </w:r>
    </w:p>
    <w:p w14:paraId="125564CF">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p>
    <w:p w14:paraId="5CE8018E">
      <w:pPr>
        <w:pStyle w:val="248"/>
        <w:keepNext w:val="0"/>
        <w:keepLines w:val="0"/>
        <w:widowControl/>
        <w:suppressLineNumbers w:val="0"/>
        <w:bidi w:val="0"/>
        <w:spacing w:before="0" w:beforeAutospacing="1" w:after="0" w:afterAutospacing="0" w:line="360" w:lineRule="auto"/>
        <w:ind w:left="0" w:right="0"/>
        <w:jc w:val="right"/>
        <w:rPr>
          <w:color w:val="000000"/>
          <w:sz w:val="23"/>
          <w:szCs w:val="23"/>
        </w:rPr>
      </w:pPr>
      <w:r>
        <w:rPr>
          <w:rFonts w:hint="default" w:ascii="Times New Roman" w:hAnsi="Times New Roman" w:cs="Times New Roman"/>
          <w:color w:val="000000"/>
          <w:kern w:val="0"/>
          <w:sz w:val="23"/>
          <w:szCs w:val="23"/>
          <w:lang w:val="pt-BR" w:eastAsia="zh-CN" w:bidi="ar"/>
        </w:rPr>
        <w:t>Primavera do Leste MT, 17 de junho, de 2024.</w:t>
      </w:r>
    </w:p>
    <w:p w14:paraId="52EA2617">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p>
    <w:p w14:paraId="20EF2EED">
      <w:pPr>
        <w:pStyle w:val="248"/>
        <w:keepNext w:val="0"/>
        <w:keepLines w:val="0"/>
        <w:widowControl/>
        <w:suppressLineNumbers w:val="0"/>
        <w:bidi w:val="0"/>
        <w:spacing w:before="0" w:beforeAutospacing="1" w:after="0" w:afterAutospacing="0" w:line="360" w:lineRule="auto"/>
        <w:ind w:left="0" w:right="0"/>
        <w:jc w:val="both"/>
        <w:rPr>
          <w:color w:val="000000"/>
          <w:sz w:val="23"/>
          <w:szCs w:val="23"/>
        </w:rPr>
      </w:pPr>
    </w:p>
    <w:p w14:paraId="5A151FD8">
      <w:pPr>
        <w:pStyle w:val="32"/>
        <w:keepNext w:val="0"/>
        <w:keepLines w:val="0"/>
        <w:widowControl/>
        <w:suppressLineNumbers w:val="0"/>
        <w:spacing w:after="0" w:afterAutospacing="0" w:line="360" w:lineRule="auto"/>
        <w:jc w:val="center"/>
        <w:rPr>
          <w:rFonts w:hint="default" w:ascii="Times New Roman" w:hAnsi="Times New Roman" w:cs="Times New Roman"/>
          <w:color w:val="000000"/>
          <w:sz w:val="23"/>
          <w:szCs w:val="23"/>
          <w:lang w:val="pt-BR"/>
        </w:rPr>
      </w:pPr>
      <w:r>
        <w:rPr>
          <w:rFonts w:hint="default" w:ascii="Times New Roman" w:hAnsi="Times New Roman" w:cs="Times New Roman"/>
          <w:b/>
          <w:bCs/>
          <w:color w:val="000000"/>
          <w:sz w:val="23"/>
          <w:szCs w:val="23"/>
          <w:lang w:val="pt-BR"/>
        </w:rPr>
        <w:t>CLEYTON ANDERSON DA SILVA ARAÚJO</w:t>
      </w:r>
      <w:r>
        <w:rPr>
          <w:rFonts w:hint="default" w:ascii="Times New Roman" w:hAnsi="Times New Roman" w:cs="Times New Roman"/>
          <w:b/>
          <w:bCs/>
          <w:color w:val="000000"/>
          <w:sz w:val="23"/>
          <w:szCs w:val="23"/>
          <w:lang w:val="pt-BR"/>
        </w:rPr>
        <w:br w:type="textWrapping"/>
      </w:r>
      <w:r>
        <w:rPr>
          <w:rFonts w:hint="default" w:ascii="Times New Roman" w:hAnsi="Times New Roman" w:cs="Times New Roman"/>
          <w:color w:val="000000"/>
          <w:sz w:val="23"/>
          <w:szCs w:val="23"/>
          <w:lang w:val="pt-BR"/>
        </w:rPr>
        <w:t>Coordenador Administrativo</w:t>
      </w:r>
    </w:p>
    <w:p w14:paraId="3B9B89C2">
      <w:pPr>
        <w:pStyle w:val="32"/>
        <w:keepNext w:val="0"/>
        <w:keepLines w:val="0"/>
        <w:widowControl/>
        <w:suppressLineNumbers w:val="0"/>
        <w:spacing w:after="0" w:afterAutospacing="0" w:line="240" w:lineRule="auto"/>
        <w:jc w:val="center"/>
        <w:rPr>
          <w:rFonts w:hint="default" w:ascii="Times New Roman" w:hAnsi="Times New Roman" w:cs="Times New Roman"/>
          <w:color w:val="000000"/>
          <w:sz w:val="23"/>
          <w:szCs w:val="23"/>
          <w:lang w:val="pt-BR"/>
        </w:rPr>
      </w:pPr>
    </w:p>
    <w:p w14:paraId="31761993">
      <w:pPr>
        <w:pStyle w:val="32"/>
        <w:keepNext w:val="0"/>
        <w:keepLines w:val="0"/>
        <w:widowControl/>
        <w:suppressLineNumbers w:val="0"/>
        <w:spacing w:after="0" w:afterAutospacing="0" w:line="360" w:lineRule="auto"/>
        <w:jc w:val="center"/>
        <w:rPr>
          <w:rFonts w:hint="default" w:ascii="Times New Roman" w:hAnsi="Times New Roman" w:cs="Times New Roman"/>
          <w:color w:val="000000"/>
          <w:sz w:val="23"/>
          <w:szCs w:val="23"/>
          <w:lang w:val="pt-BR"/>
        </w:rPr>
      </w:pPr>
    </w:p>
    <w:p w14:paraId="6A53D573">
      <w:pPr>
        <w:pStyle w:val="32"/>
        <w:keepNext w:val="0"/>
        <w:keepLines w:val="0"/>
        <w:widowControl/>
        <w:suppressLineNumbers w:val="0"/>
        <w:spacing w:after="0" w:afterAutospacing="0" w:line="360" w:lineRule="auto"/>
        <w:jc w:val="center"/>
        <w:rPr>
          <w:rFonts w:hint="default" w:ascii="Times New Roman" w:hAnsi="Times New Roman" w:cs="Times New Roman"/>
          <w:color w:val="000000"/>
          <w:sz w:val="23"/>
          <w:szCs w:val="23"/>
          <w:lang w:val="pt-BR"/>
        </w:rPr>
      </w:pPr>
    </w:p>
    <w:p w14:paraId="546AD556">
      <w:pPr>
        <w:pStyle w:val="32"/>
        <w:keepNext w:val="0"/>
        <w:keepLines w:val="0"/>
        <w:widowControl/>
        <w:suppressLineNumbers w:val="0"/>
        <w:spacing w:after="0" w:afterAutospacing="0" w:line="360" w:lineRule="auto"/>
        <w:jc w:val="center"/>
        <w:rPr>
          <w:rFonts w:hint="default" w:ascii="Times New Roman" w:hAnsi="Times New Roman" w:cs="Times New Roman"/>
          <w:color w:val="000000"/>
          <w:sz w:val="23"/>
          <w:szCs w:val="23"/>
          <w:lang w:val="pt-BR"/>
        </w:rPr>
      </w:pPr>
    </w:p>
    <w:p w14:paraId="528A3B9B">
      <w:pPr>
        <w:pStyle w:val="32"/>
        <w:keepNext w:val="0"/>
        <w:keepLines w:val="0"/>
        <w:widowControl/>
        <w:suppressLineNumbers w:val="0"/>
        <w:spacing w:after="0" w:afterAutospacing="0" w:line="360" w:lineRule="auto"/>
        <w:jc w:val="center"/>
        <w:rPr>
          <w:rFonts w:hint="default" w:ascii="Times New Roman" w:hAnsi="Times New Roman" w:cs="Times New Roman"/>
          <w:color w:val="000000"/>
          <w:sz w:val="23"/>
          <w:szCs w:val="23"/>
          <w:lang w:val="pt-BR"/>
        </w:rPr>
      </w:pPr>
    </w:p>
    <w:p w14:paraId="7A79698F">
      <w:pPr>
        <w:pStyle w:val="32"/>
        <w:keepNext w:val="0"/>
        <w:keepLines w:val="0"/>
        <w:widowControl/>
        <w:suppressLineNumbers w:val="0"/>
        <w:spacing w:after="0" w:afterAutospacing="0" w:line="360" w:lineRule="auto"/>
        <w:jc w:val="center"/>
        <w:rPr>
          <w:rFonts w:hint="default" w:ascii="Times New Roman" w:hAnsi="Times New Roman" w:cs="Times New Roman"/>
          <w:color w:val="000000"/>
          <w:sz w:val="23"/>
          <w:szCs w:val="23"/>
          <w:lang w:val="pt-BR"/>
        </w:rPr>
      </w:pPr>
    </w:p>
    <w:p w14:paraId="73BD23CA">
      <w:pPr>
        <w:pStyle w:val="2"/>
        <w:numPr>
          <w:ilvl w:val="0"/>
          <w:numId w:val="0"/>
        </w:numPr>
        <w:spacing w:before="0" w:after="120"/>
        <w:ind w:left="0" w:firstLine="0"/>
        <w:rPr>
          <w:rFonts w:ascii="Times New Roman" w:hAnsi="Times New Roman"/>
        </w:rPr>
      </w:pPr>
      <w:bookmarkStart w:id="69" w:name="_ANEXO_I_-_1"/>
      <w:bookmarkEnd w:id="69"/>
      <w:bookmarkStart w:id="70" w:name="_Toc149517467"/>
      <w:r>
        <w:t>ANEXO II - MODELO DE DECLARAÇÕES</w:t>
      </w:r>
      <w:bookmarkEnd w:id="70"/>
    </w:p>
    <w:p w14:paraId="08107E7A">
      <w:pPr>
        <w:pStyle w:val="49"/>
        <w:tabs>
          <w:tab w:val="left" w:pos="1134"/>
        </w:tabs>
        <w:spacing w:before="120" w:beforeAutospacing="0" w:after="120" w:afterAutospacing="0"/>
        <w:jc w:val="center"/>
        <w:textAlignment w:val="baseline"/>
        <w:rPr>
          <w:rFonts w:ascii="Times New Roman" w:hAnsi="Times New Roman"/>
        </w:rPr>
      </w:pPr>
    </w:p>
    <w:p w14:paraId="74C2C2D5">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14:paraId="382154DC">
      <w:pPr>
        <w:pStyle w:val="49"/>
        <w:tabs>
          <w:tab w:val="left" w:pos="1134"/>
        </w:tabs>
        <w:spacing w:before="120" w:beforeAutospacing="0" w:after="120" w:afterAutospacing="0"/>
        <w:ind w:firstLine="567"/>
        <w:jc w:val="both"/>
        <w:textAlignment w:val="baseline"/>
        <w:rPr>
          <w:rFonts w:ascii="Times New Roman" w:hAnsi="Times New Roman"/>
        </w:rPr>
      </w:pPr>
    </w:p>
    <w:p w14:paraId="3497DDCA">
      <w:pPr>
        <w:pStyle w:val="49"/>
        <w:tabs>
          <w:tab w:val="left" w:pos="1134"/>
        </w:tabs>
        <w:spacing w:before="120" w:beforeAutospacing="0" w:after="120" w:afterAutospacing="0"/>
        <w:ind w:firstLine="567"/>
        <w:jc w:val="both"/>
        <w:textAlignment w:val="baseline"/>
        <w:rPr>
          <w:rStyle w:val="52"/>
          <w:rFonts w:hint="default"/>
          <w:color w:val="000000" w:themeColor="text1"/>
          <w:lang w:val="pt-BR"/>
          <w14:textFill>
            <w14:solidFill>
              <w14:schemeClr w14:val="tx1"/>
            </w14:solidFill>
          </w14:textFill>
        </w:rPr>
      </w:pPr>
      <w:r>
        <w:t xml:space="preserve">A __________________________ (razão social da empresa), CNPJ nº ______________________, localizada à __________________, por seu representante legal abaixo-assinado, em cumprimento ao solicitado no </w:t>
      </w:r>
      <w:r>
        <w:rPr>
          <w:lang w:val="pt-BR"/>
        </w:rPr>
        <w:t>Edital de Pregão Eletrônico nº 013/2024</w:t>
      </w:r>
      <w:r>
        <w:rPr>
          <w:rFonts w:hint="default"/>
          <w:lang w:val="pt-BR"/>
        </w:rPr>
        <w:t>.</w:t>
      </w:r>
    </w:p>
    <w:p w14:paraId="39172104">
      <w:pPr>
        <w:pStyle w:val="49"/>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14:paraId="6C0C781C">
      <w:pPr>
        <w:pStyle w:val="49"/>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14:paraId="355F5FE0">
      <w:pPr>
        <w:pStyle w:val="49"/>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61"/>
        </w:rPr>
        <w:instrText xml:space="preserve"> HYPERLINK "https://www.planalto.gov.br/ccivil_03/constituicao/constituicao.htm" \l "art7"</w:instrText>
      </w:r>
      <w:r>
        <w:rPr>
          <w:rStyle w:val="61"/>
        </w:rPr>
        <w:fldChar w:fldCharType="separate"/>
      </w:r>
      <w:r>
        <w:rPr>
          <w:rStyle w:val="61"/>
        </w:rPr>
        <w:t>art. 7°, XXXIII, da Constituição Federal de 1988</w:t>
      </w:r>
      <w:r>
        <w:rPr>
          <w:rStyle w:val="61"/>
        </w:rPr>
        <w:fldChar w:fldCharType="end"/>
      </w:r>
      <w:r>
        <w:rPr>
          <w:color w:val="000000"/>
        </w:rPr>
        <w:t>;</w:t>
      </w:r>
    </w:p>
    <w:p w14:paraId="7C4A07E6">
      <w:pPr>
        <w:pStyle w:val="49"/>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61"/>
        </w:rPr>
        <w:instrText xml:space="preserve"> HYPERLINK "https://www.planalto.gov.br/ccivil_03/_ato2019-2022/2021/lei/l14133.htm" \l "art14"</w:instrText>
      </w:r>
      <w:r>
        <w:rPr>
          <w:rStyle w:val="61"/>
        </w:rPr>
        <w:fldChar w:fldCharType="separate"/>
      </w:r>
      <w:r>
        <w:rPr>
          <w:rStyle w:val="61"/>
        </w:rPr>
        <w:t>art. 14, IV, da Lei Federal nº 14.133, de 2021</w:t>
      </w:r>
      <w:r>
        <w:rPr>
          <w:rStyle w:val="61"/>
        </w:rPr>
        <w:fldChar w:fldCharType="end"/>
      </w:r>
      <w:r>
        <w:rPr>
          <w:color w:val="000000"/>
        </w:rPr>
        <w:t>);</w:t>
      </w:r>
    </w:p>
    <w:p w14:paraId="0DE957B4">
      <w:pPr>
        <w:pStyle w:val="49"/>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61"/>
        </w:rPr>
        <w:instrText xml:space="preserve"> HYPERLINK "https://www.planalto.gov.br/ccivil_03/leis/l8213cons.htm" \l "art93"</w:instrText>
      </w:r>
      <w:r>
        <w:rPr>
          <w:rStyle w:val="61"/>
        </w:rPr>
        <w:fldChar w:fldCharType="separate"/>
      </w:r>
      <w:r>
        <w:rPr>
          <w:rStyle w:val="61"/>
        </w:rPr>
        <w:t>art. 93 da Lei Federal nº 8.213, de 1991</w:t>
      </w:r>
      <w:r>
        <w:rPr>
          <w:rStyle w:val="61"/>
        </w:rPr>
        <w:fldChar w:fldCharType="end"/>
      </w:r>
      <w:r>
        <w:rPr>
          <w:color w:val="000000"/>
        </w:rPr>
        <w:t xml:space="preserve"> (</w:t>
      </w:r>
      <w:r>
        <w:fldChar w:fldCharType="begin"/>
      </w:r>
      <w:r>
        <w:rPr>
          <w:rStyle w:val="61"/>
        </w:rPr>
        <w:instrText xml:space="preserve"> HYPERLINK "https://www.planalto.gov.br/ccivil_03/_ato2019-2022/2021/lei/l14133.htm" \l "art63"</w:instrText>
      </w:r>
      <w:r>
        <w:rPr>
          <w:rStyle w:val="61"/>
        </w:rPr>
        <w:fldChar w:fldCharType="separate"/>
      </w:r>
      <w:r>
        <w:rPr>
          <w:rStyle w:val="61"/>
        </w:rPr>
        <w:t>art. 63, IV, da Lei Federal nº 14.133, de 2021</w:t>
      </w:r>
      <w:r>
        <w:rPr>
          <w:rStyle w:val="61"/>
        </w:rPr>
        <w:fldChar w:fldCharType="end"/>
      </w:r>
      <w:r>
        <w:rPr>
          <w:color w:val="000000"/>
        </w:rPr>
        <w:t>).</w:t>
      </w:r>
    </w:p>
    <w:p w14:paraId="47953E7B">
      <w:pPr>
        <w:pStyle w:val="49"/>
        <w:tabs>
          <w:tab w:val="left" w:pos="1134"/>
        </w:tabs>
        <w:spacing w:before="120" w:beforeAutospacing="0" w:after="120" w:afterAutospacing="0"/>
        <w:ind w:firstLine="567"/>
        <w:jc w:val="both"/>
        <w:textAlignment w:val="baseline"/>
        <w:rPr>
          <w:rFonts w:ascii="Times New Roman" w:hAnsi="Times New Roman"/>
        </w:rPr>
      </w:pPr>
    </w:p>
    <w:p w14:paraId="750C4F6C">
      <w:pPr>
        <w:pStyle w:val="49"/>
        <w:tabs>
          <w:tab w:val="left" w:pos="1134"/>
        </w:tabs>
        <w:spacing w:before="120" w:beforeAutospacing="0" w:after="120" w:afterAutospacing="0"/>
        <w:ind w:firstLine="567"/>
        <w:jc w:val="both"/>
        <w:textAlignment w:val="baseline"/>
        <w:rPr>
          <w:rFonts w:ascii="Times New Roman" w:hAnsi="Times New Roman"/>
        </w:rPr>
      </w:pPr>
      <w:r>
        <w:t>Local e data.</w:t>
      </w:r>
    </w:p>
    <w:p w14:paraId="79935388">
      <w:pPr>
        <w:pStyle w:val="49"/>
        <w:tabs>
          <w:tab w:val="left" w:pos="1134"/>
        </w:tabs>
        <w:spacing w:before="120" w:beforeAutospacing="0" w:after="120" w:afterAutospacing="0"/>
        <w:ind w:firstLine="567"/>
        <w:jc w:val="both"/>
        <w:textAlignment w:val="baseline"/>
        <w:rPr>
          <w:rFonts w:ascii="Times New Roman" w:hAnsi="Times New Roman"/>
        </w:rPr>
      </w:pPr>
    </w:p>
    <w:p w14:paraId="3987FA0F">
      <w:pPr>
        <w:pStyle w:val="49"/>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14:paraId="144AB295">
      <w:pPr>
        <w:pStyle w:val="49"/>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14:paraId="0B1D2D9B">
      <w:pPr>
        <w:rPr>
          <w:rFonts w:ascii="Times New Roman" w:hAnsi="Times New Roman" w:eastAsia="Times New Roman" w:cs="Times New Roman"/>
          <w:sz w:val="24"/>
          <w:szCs w:val="24"/>
          <w:lang w:eastAsia="pt-BR"/>
        </w:rPr>
      </w:pPr>
      <w:r>
        <w:br w:type="page"/>
      </w:r>
    </w:p>
    <w:p w14:paraId="3477CAB3">
      <w:pPr>
        <w:pStyle w:val="2"/>
        <w:numPr>
          <w:ilvl w:val="0"/>
          <w:numId w:val="0"/>
        </w:numPr>
        <w:spacing w:before="0" w:after="120"/>
        <w:ind w:left="0" w:firstLine="0"/>
        <w:rPr>
          <w:rFonts w:ascii="Times New Roman" w:hAnsi="Times New Roman"/>
        </w:rPr>
      </w:pPr>
      <w:bookmarkStart w:id="71" w:name="_Toc149517468"/>
      <w:r>
        <w:t>ANEXO III - MODELO DE PROPOSTA</w:t>
      </w:r>
      <w:bookmarkEnd w:id="71"/>
    </w:p>
    <w:p w14:paraId="3E3657CE">
      <w:pPr>
        <w:pStyle w:val="49"/>
        <w:tabs>
          <w:tab w:val="left" w:pos="1134"/>
        </w:tabs>
        <w:spacing w:before="120" w:beforeAutospacing="0" w:after="120" w:afterAutospacing="0"/>
        <w:jc w:val="center"/>
        <w:textAlignment w:val="baseline"/>
        <w:rPr>
          <w:rFonts w:ascii="Times New Roman" w:hAnsi="Times New Roman"/>
        </w:rPr>
      </w:pPr>
    </w:p>
    <w:p w14:paraId="1968685A">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14:paraId="15B9F01F">
      <w:pPr>
        <w:spacing w:before="0" w:after="0" w:line="240" w:lineRule="auto"/>
        <w:jc w:val="both"/>
        <w:rPr>
          <w:rFonts w:ascii="Times New Roman" w:hAnsi="Times New Roman"/>
        </w:rPr>
      </w:pPr>
      <w:r>
        <w:rPr>
          <w:rFonts w:ascii="Times New Roman" w:hAnsi="Times New Roman" w:cs="Times New Roman"/>
          <w:sz w:val="24"/>
          <w:szCs w:val="24"/>
        </w:rPr>
        <w:t>À</w:t>
      </w:r>
    </w:p>
    <w:p w14:paraId="42963D75">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14:paraId="22D03AC2">
      <w:pPr>
        <w:spacing w:before="0" w:after="0" w:line="240" w:lineRule="auto"/>
        <w:jc w:val="both"/>
        <w:rPr>
          <w:rFonts w:hint="default" w:ascii="Times New Roman" w:hAnsi="Times New Roman"/>
          <w:lang w:val="pt-BR"/>
        </w:rPr>
      </w:pPr>
      <w:r>
        <w:rPr>
          <w:rFonts w:ascii="Times New Roman" w:hAnsi="Times New Roman" w:cs="Times New Roman"/>
          <w:sz w:val="24"/>
          <w:szCs w:val="24"/>
        </w:rPr>
        <w:t>A/C Pregoeiro do</w:t>
      </w:r>
      <w:r>
        <w:rPr>
          <w:rFonts w:hint="default" w:cs="Times New Roman"/>
          <w:sz w:val="24"/>
          <w:szCs w:val="24"/>
          <w:lang w:val="pt-BR"/>
        </w:rPr>
        <w:t xml:space="preserve"> </w:t>
      </w:r>
      <w:r>
        <w:rPr>
          <w:rFonts w:cs="Times New Roman"/>
          <w:sz w:val="24"/>
          <w:szCs w:val="24"/>
          <w:lang w:val="pt-BR"/>
        </w:rPr>
        <w:t>Pregão Eletrônico nº 013/2024</w:t>
      </w:r>
    </w:p>
    <w:p w14:paraId="24F33993">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14:paraId="63AEBD94">
      <w:pPr>
        <w:spacing w:before="0" w:after="0" w:line="240" w:lineRule="auto"/>
        <w:jc w:val="both"/>
        <w:rPr>
          <w:rFonts w:ascii="Times New Roman" w:hAnsi="Times New Roman" w:cs="Times New Roman"/>
          <w:sz w:val="24"/>
          <w:szCs w:val="24"/>
        </w:rPr>
      </w:pPr>
    </w:p>
    <w:p w14:paraId="0D67B504">
      <w:pPr>
        <w:jc w:val="center"/>
        <w:rPr>
          <w:rFonts w:ascii="Times New Roman" w:hAnsi="Times New Roman"/>
        </w:rPr>
      </w:pPr>
      <w:r>
        <w:rPr>
          <w:rFonts w:ascii="Times New Roman" w:hAnsi="Times New Roman" w:cs="Times New Roman"/>
          <w:b/>
          <w:bCs/>
          <w:sz w:val="24"/>
          <w:szCs w:val="24"/>
          <w:u w:val="single"/>
        </w:rPr>
        <w:t>PROPOSTA</w:t>
      </w:r>
    </w:p>
    <w:p w14:paraId="1B4CB93E">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7"/>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14:paraId="6199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14:paraId="4509F953">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14:paraId="244E5B3B">
            <w:pPr>
              <w:widowControl/>
              <w:suppressAutoHyphens/>
              <w:spacing w:before="0" w:after="0" w:line="240" w:lineRule="auto"/>
              <w:jc w:val="both"/>
              <w:rPr>
                <w:rFonts w:ascii="Times New Roman" w:hAnsi="Times New Roman" w:cs="Times New Roman"/>
                <w:sz w:val="16"/>
                <w:szCs w:val="16"/>
              </w:rPr>
            </w:pPr>
          </w:p>
        </w:tc>
      </w:tr>
      <w:tr w14:paraId="773B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6575CA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14:paraId="0F1501F2">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23511ADD">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14:paraId="55754AEE">
            <w:pPr>
              <w:widowControl/>
              <w:suppressAutoHyphens/>
              <w:spacing w:before="0" w:after="0" w:line="240" w:lineRule="auto"/>
              <w:jc w:val="both"/>
              <w:rPr>
                <w:rFonts w:ascii="Times New Roman" w:hAnsi="Times New Roman" w:cs="Times New Roman"/>
                <w:sz w:val="16"/>
                <w:szCs w:val="16"/>
              </w:rPr>
            </w:pPr>
          </w:p>
        </w:tc>
      </w:tr>
      <w:tr w14:paraId="1539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3CBF928D">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14:paraId="6692CF72">
            <w:pPr>
              <w:widowControl/>
              <w:suppressAutoHyphens/>
              <w:spacing w:before="0" w:after="0" w:line="240" w:lineRule="auto"/>
              <w:jc w:val="both"/>
              <w:rPr>
                <w:rFonts w:ascii="Times New Roman" w:hAnsi="Times New Roman" w:cs="Times New Roman"/>
                <w:sz w:val="16"/>
                <w:szCs w:val="16"/>
              </w:rPr>
            </w:pPr>
          </w:p>
        </w:tc>
        <w:tc>
          <w:tcPr>
            <w:tcW w:w="2972" w:type="dxa"/>
          </w:tcPr>
          <w:p w14:paraId="457C1B5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14:paraId="2DE379DC">
            <w:pPr>
              <w:widowControl/>
              <w:suppressAutoHyphens/>
              <w:spacing w:before="0" w:after="0" w:line="240" w:lineRule="auto"/>
              <w:jc w:val="both"/>
              <w:rPr>
                <w:rFonts w:ascii="Times New Roman" w:hAnsi="Times New Roman" w:cs="Times New Roman"/>
                <w:sz w:val="16"/>
                <w:szCs w:val="16"/>
              </w:rPr>
            </w:pPr>
          </w:p>
        </w:tc>
      </w:tr>
      <w:tr w14:paraId="5E8E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14:paraId="02CB2221">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14:paraId="5C5AE3C5">
            <w:pPr>
              <w:widowControl/>
              <w:suppressAutoHyphens/>
              <w:spacing w:before="0" w:after="0" w:line="240" w:lineRule="auto"/>
              <w:jc w:val="both"/>
              <w:rPr>
                <w:rFonts w:ascii="Times New Roman" w:hAnsi="Times New Roman" w:cs="Times New Roman"/>
                <w:sz w:val="16"/>
                <w:szCs w:val="16"/>
              </w:rPr>
            </w:pPr>
          </w:p>
        </w:tc>
        <w:tc>
          <w:tcPr>
            <w:tcW w:w="4457" w:type="dxa"/>
            <w:gridSpan w:val="2"/>
          </w:tcPr>
          <w:p w14:paraId="0600A01C">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14:paraId="03AFE9C8">
            <w:pPr>
              <w:widowControl/>
              <w:suppressAutoHyphens/>
              <w:spacing w:before="0" w:after="0" w:line="240" w:lineRule="auto"/>
              <w:jc w:val="both"/>
              <w:rPr>
                <w:rFonts w:ascii="Times New Roman" w:hAnsi="Times New Roman" w:cs="Times New Roman"/>
                <w:sz w:val="16"/>
                <w:szCs w:val="16"/>
              </w:rPr>
            </w:pPr>
          </w:p>
        </w:tc>
      </w:tr>
      <w:tr w14:paraId="22D9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C3ABB9E">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14:paraId="26FD2476">
            <w:pPr>
              <w:widowControl/>
              <w:suppressAutoHyphens/>
              <w:spacing w:before="0" w:after="0" w:line="240" w:lineRule="auto"/>
              <w:jc w:val="both"/>
              <w:rPr>
                <w:rFonts w:ascii="Times New Roman" w:hAnsi="Times New Roman" w:cs="Times New Roman"/>
                <w:sz w:val="16"/>
                <w:szCs w:val="16"/>
              </w:rPr>
            </w:pPr>
          </w:p>
        </w:tc>
        <w:tc>
          <w:tcPr>
            <w:tcW w:w="2972" w:type="dxa"/>
          </w:tcPr>
          <w:p w14:paraId="6F7D0D14">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14:paraId="181EB027">
            <w:pPr>
              <w:widowControl/>
              <w:suppressAutoHyphens/>
              <w:spacing w:before="0" w:after="0" w:line="240" w:lineRule="auto"/>
              <w:jc w:val="both"/>
              <w:rPr>
                <w:rFonts w:ascii="Times New Roman" w:hAnsi="Times New Roman" w:cs="Times New Roman"/>
                <w:sz w:val="16"/>
                <w:szCs w:val="16"/>
              </w:rPr>
            </w:pPr>
          </w:p>
        </w:tc>
      </w:tr>
      <w:tr w14:paraId="51A4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DA3ACB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14:paraId="562BF2E0">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63BA92C7">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14:paraId="1552CE11">
            <w:pPr>
              <w:widowControl/>
              <w:suppressAutoHyphens/>
              <w:spacing w:before="0" w:after="0" w:line="240" w:lineRule="auto"/>
              <w:jc w:val="both"/>
              <w:rPr>
                <w:rFonts w:ascii="Times New Roman" w:hAnsi="Times New Roman" w:cs="Times New Roman"/>
                <w:sz w:val="16"/>
                <w:szCs w:val="16"/>
              </w:rPr>
            </w:pPr>
          </w:p>
        </w:tc>
      </w:tr>
      <w:tr w14:paraId="145D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6E374F0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14:paraId="7F9B6525">
            <w:pPr>
              <w:widowControl/>
              <w:suppressAutoHyphens/>
              <w:spacing w:before="0" w:after="0" w:line="240" w:lineRule="auto"/>
              <w:jc w:val="both"/>
              <w:rPr>
                <w:rFonts w:ascii="Times New Roman" w:hAnsi="Times New Roman" w:cs="Times New Roman"/>
                <w:sz w:val="16"/>
                <w:szCs w:val="16"/>
              </w:rPr>
            </w:pPr>
          </w:p>
        </w:tc>
        <w:tc>
          <w:tcPr>
            <w:tcW w:w="2973" w:type="dxa"/>
            <w:gridSpan w:val="2"/>
          </w:tcPr>
          <w:p w14:paraId="7F50B66C">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14:paraId="1FB3B391">
            <w:pPr>
              <w:widowControl/>
              <w:suppressAutoHyphens/>
              <w:spacing w:before="0" w:after="0" w:line="240" w:lineRule="auto"/>
              <w:jc w:val="both"/>
              <w:rPr>
                <w:rFonts w:ascii="Times New Roman" w:hAnsi="Times New Roman" w:cs="Times New Roman"/>
                <w:sz w:val="16"/>
                <w:szCs w:val="16"/>
              </w:rPr>
            </w:pPr>
          </w:p>
        </w:tc>
        <w:tc>
          <w:tcPr>
            <w:tcW w:w="2972" w:type="dxa"/>
          </w:tcPr>
          <w:p w14:paraId="62E493D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14:paraId="09F8C5D4">
            <w:pPr>
              <w:widowControl/>
              <w:suppressAutoHyphens/>
              <w:spacing w:before="0" w:after="0" w:line="240" w:lineRule="auto"/>
              <w:jc w:val="both"/>
              <w:rPr>
                <w:rFonts w:ascii="Times New Roman" w:hAnsi="Times New Roman" w:cs="Times New Roman"/>
                <w:sz w:val="16"/>
                <w:szCs w:val="16"/>
              </w:rPr>
            </w:pPr>
          </w:p>
        </w:tc>
      </w:tr>
      <w:tr w14:paraId="0403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5445F4F0">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14:paraId="1BE993B9">
            <w:pPr>
              <w:widowControl/>
              <w:suppressAutoHyphens/>
              <w:spacing w:before="0" w:after="0" w:line="240" w:lineRule="auto"/>
              <w:jc w:val="both"/>
              <w:rPr>
                <w:rFonts w:ascii="Times New Roman" w:hAnsi="Times New Roman" w:cs="Times New Roman"/>
                <w:sz w:val="16"/>
                <w:szCs w:val="16"/>
              </w:rPr>
            </w:pPr>
          </w:p>
        </w:tc>
        <w:tc>
          <w:tcPr>
            <w:tcW w:w="2972" w:type="dxa"/>
          </w:tcPr>
          <w:p w14:paraId="749AEA5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14:paraId="13AD6901">
            <w:pPr>
              <w:widowControl/>
              <w:suppressAutoHyphens/>
              <w:spacing w:before="0" w:after="0" w:line="240" w:lineRule="auto"/>
              <w:jc w:val="both"/>
              <w:rPr>
                <w:rFonts w:ascii="Times New Roman" w:hAnsi="Times New Roman" w:cs="Times New Roman"/>
                <w:sz w:val="16"/>
                <w:szCs w:val="16"/>
              </w:rPr>
            </w:pPr>
          </w:p>
        </w:tc>
      </w:tr>
    </w:tbl>
    <w:p w14:paraId="760A70F6">
      <w:pPr>
        <w:spacing w:before="0" w:after="0" w:line="240" w:lineRule="auto"/>
        <w:jc w:val="both"/>
        <w:rPr>
          <w:rFonts w:ascii="Times New Roman" w:hAnsi="Times New Roman" w:cs="Times New Roman"/>
          <w:sz w:val="24"/>
          <w:szCs w:val="24"/>
        </w:rPr>
      </w:pPr>
    </w:p>
    <w:p w14:paraId="31112825">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 xml:space="preserve"> </w:t>
      </w:r>
      <w:r>
        <w:rPr>
          <w:rFonts w:cs="Times New Roman"/>
          <w:sz w:val="24"/>
          <w:szCs w:val="24"/>
          <w:lang w:val="pt-BR"/>
        </w:rPr>
        <w:t>Pregão Eletrônico nº 013/2024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14:paraId="0D73FA59">
      <w:pPr>
        <w:spacing w:before="0" w:after="0" w:line="240" w:lineRule="auto"/>
        <w:ind w:firstLine="2268"/>
        <w:jc w:val="both"/>
        <w:rPr>
          <w:rFonts w:ascii="Times New Roman" w:hAnsi="Times New Roman" w:cs="Times New Roman"/>
          <w:sz w:val="24"/>
          <w:szCs w:val="24"/>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14:paraId="622B6F45">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FD49CBE">
            <w:pPr>
              <w:spacing w:before="0" w:after="0" w:line="240" w:lineRule="auto"/>
              <w:jc w:val="center"/>
              <w:rPr>
                <w:rFonts w:ascii="Times New Roman" w:hAnsi="Times New Roman"/>
              </w:rPr>
            </w:pPr>
            <w:r>
              <w:rPr>
                <w:rFonts w:ascii="Times New Roman" w:hAnsi="Times New Roman" w:cs="Times New Roman"/>
                <w:b/>
                <w:bCs/>
                <w:sz w:val="20"/>
                <w:szCs w:val="20"/>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788BF5B">
            <w:pPr>
              <w:spacing w:before="0" w:after="0" w:line="240" w:lineRule="auto"/>
              <w:jc w:val="center"/>
              <w:rPr>
                <w:rFonts w:ascii="Times New Roman" w:hAnsi="Times New Roman"/>
              </w:rPr>
            </w:pPr>
            <w:r>
              <w:rPr>
                <w:rFonts w:ascii="Times New Roman" w:hAnsi="Times New Roman" w:cs="Times New Roman"/>
                <w:b/>
                <w:bCs/>
                <w:sz w:val="20"/>
                <w:szCs w:val="20"/>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BAE88E5">
            <w:pPr>
              <w:spacing w:before="0" w:after="0" w:line="240" w:lineRule="auto"/>
              <w:jc w:val="center"/>
              <w:rPr>
                <w:rFonts w:ascii="Times New Roman" w:hAnsi="Times New Roman"/>
              </w:rPr>
            </w:pPr>
            <w:r>
              <w:rPr>
                <w:rFonts w:ascii="Times New Roman" w:hAnsi="Times New Roman" w:cs="Times New Roman"/>
                <w:b/>
                <w:bCs/>
                <w:sz w:val="20"/>
                <w:szCs w:val="20"/>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2C6E66B">
            <w:pPr>
              <w:spacing w:before="0" w:after="0" w:line="240" w:lineRule="auto"/>
              <w:jc w:val="center"/>
              <w:rPr>
                <w:rFonts w:ascii="Times New Roman" w:hAnsi="Times New Roman"/>
              </w:rPr>
            </w:pPr>
            <w:r>
              <w:rPr>
                <w:rFonts w:ascii="Times New Roman" w:hAnsi="Times New Roman" w:cs="Times New Roman"/>
                <w:b/>
                <w:bCs/>
                <w:sz w:val="20"/>
                <w:szCs w:val="20"/>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4E75B7E">
            <w:pPr>
              <w:spacing w:before="0" w:after="0" w:line="240" w:lineRule="auto"/>
              <w:jc w:val="center"/>
              <w:rPr>
                <w:rFonts w:ascii="Times New Roman" w:hAnsi="Times New Roman"/>
              </w:rPr>
            </w:pPr>
            <w:r>
              <w:rPr>
                <w:rFonts w:ascii="Times New Roman" w:hAnsi="Times New Roman" w:cs="Times New Roman"/>
                <w:b/>
                <w:bCs/>
                <w:sz w:val="20"/>
                <w:szCs w:val="20"/>
              </w:rPr>
              <w:t>Preço</w:t>
            </w:r>
          </w:p>
          <w:p w14:paraId="64E452FD">
            <w:pPr>
              <w:spacing w:before="0" w:after="0" w:line="240" w:lineRule="auto"/>
              <w:jc w:val="center"/>
              <w:rPr>
                <w:rFonts w:ascii="Times New Roman" w:hAnsi="Times New Roman"/>
              </w:rPr>
            </w:pPr>
            <w:r>
              <w:rPr>
                <w:rFonts w:ascii="Times New Roman" w:hAnsi="Times New Roman" w:cs="Times New Roman"/>
                <w:b/>
                <w:bCs/>
                <w:sz w:val="20"/>
                <w:szCs w:val="20"/>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AB29070">
            <w:pPr>
              <w:spacing w:before="0" w:after="0" w:line="240" w:lineRule="auto"/>
              <w:jc w:val="center"/>
              <w:rPr>
                <w:rFonts w:ascii="Times New Roman" w:hAnsi="Times New Roman"/>
              </w:rPr>
            </w:pPr>
            <w:r>
              <w:rPr>
                <w:rFonts w:ascii="Times New Roman" w:hAnsi="Times New Roman" w:cs="Times New Roman"/>
                <w:b/>
                <w:sz w:val="20"/>
                <w:szCs w:val="20"/>
              </w:rPr>
              <w:t>Preço</w:t>
            </w:r>
          </w:p>
          <w:p w14:paraId="16D760E9">
            <w:pPr>
              <w:spacing w:before="0" w:after="0" w:line="240" w:lineRule="auto"/>
              <w:jc w:val="center"/>
              <w:rPr>
                <w:rFonts w:ascii="Times New Roman" w:hAnsi="Times New Roman"/>
              </w:rPr>
            </w:pPr>
            <w:r>
              <w:rPr>
                <w:rFonts w:ascii="Times New Roman" w:hAnsi="Times New Roman" w:cs="Times New Roman"/>
                <w:b/>
                <w:sz w:val="20"/>
                <w:szCs w:val="20"/>
              </w:rPr>
              <w:t>Total</w:t>
            </w:r>
            <w:r>
              <w:rPr>
                <w:rStyle w:val="20"/>
                <w:rFonts w:ascii="Times New Roman" w:hAnsi="Times New Roman" w:cs="Times New Roman"/>
                <w:b/>
                <w:sz w:val="20"/>
                <w:szCs w:val="20"/>
              </w:rPr>
              <w:footnoteReference w:id="0"/>
            </w:r>
          </w:p>
        </w:tc>
      </w:tr>
      <w:tr w14:paraId="3EB3BB22">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2D29C6CF">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06C0DD16">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14:paraId="18B796D1">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0AD14634">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14:paraId="7E01FFDB">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14:paraId="63AA5935">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14:paraId="00F0B7B6">
      <w:pPr>
        <w:rPr>
          <w:rFonts w:ascii="Times New Roman" w:hAnsi="Times New Roman" w:cs="Times New Roman"/>
          <w:b/>
          <w:sz w:val="24"/>
          <w:szCs w:val="24"/>
        </w:rPr>
      </w:pPr>
    </w:p>
    <w:p w14:paraId="2A960EC9">
      <w:pPr>
        <w:spacing w:before="0" w:after="0" w:line="240" w:lineRule="auto"/>
        <w:ind w:firstLine="2268"/>
        <w:jc w:val="both"/>
        <w:rPr>
          <w:rFonts w:ascii="Times New Roman" w:hAnsi="Times New Roman"/>
        </w:rPr>
      </w:pPr>
      <w:r>
        <w:rPr>
          <w:rFonts w:ascii="Times New Roman" w:hAnsi="Times New Roman" w:cs="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14:paraId="7F0B52AF">
      <w:pPr>
        <w:spacing w:before="0" w:after="0" w:line="240" w:lineRule="auto"/>
        <w:ind w:firstLine="2268"/>
        <w:jc w:val="both"/>
        <w:rPr>
          <w:rFonts w:ascii="Times New Roman" w:hAnsi="Times New Roman" w:cs="Times New Roman"/>
          <w:sz w:val="24"/>
          <w:szCs w:val="24"/>
        </w:rPr>
      </w:pPr>
    </w:p>
    <w:p w14:paraId="4A60B3D6">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14:paraId="58E1DB1D">
      <w:pPr>
        <w:jc w:val="center"/>
        <w:rPr>
          <w:rFonts w:ascii="Times New Roman" w:hAnsi="Times New Roman" w:cs="Times New Roman"/>
          <w:sz w:val="24"/>
          <w:szCs w:val="24"/>
        </w:rPr>
      </w:pPr>
    </w:p>
    <w:p w14:paraId="4024C696">
      <w:pPr>
        <w:jc w:val="center"/>
        <w:rPr>
          <w:rFonts w:ascii="Times New Roman" w:hAnsi="Times New Roman" w:cs="Times New Roman"/>
          <w:sz w:val="24"/>
          <w:szCs w:val="24"/>
        </w:rPr>
      </w:pPr>
    </w:p>
    <w:p w14:paraId="0FE98F90">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14:paraId="335496B1">
      <w:pPr>
        <w:pStyle w:val="49"/>
        <w:tabs>
          <w:tab w:val="left" w:pos="1134"/>
        </w:tabs>
        <w:spacing w:before="0" w:beforeAutospacing="0" w:after="0" w:afterAutospacing="0"/>
        <w:jc w:val="center"/>
        <w:textAlignment w:val="baseline"/>
        <w:rPr>
          <w:rFonts w:ascii="Times New Roman" w:hAnsi="Times New Roman"/>
        </w:rPr>
      </w:pPr>
      <w:r>
        <w:t>Nome completo e Assinatura do proponente</w:t>
      </w:r>
    </w:p>
    <w:p w14:paraId="7A8EA391">
      <w:pPr>
        <w:rPr>
          <w:rFonts w:ascii="Times New Roman" w:hAnsi="Times New Roman"/>
          <w:lang w:eastAsia="pt-BR"/>
        </w:rPr>
      </w:pPr>
      <w:r>
        <w:br w:type="page"/>
      </w:r>
    </w:p>
    <w:p w14:paraId="31367E79">
      <w:pPr>
        <w:pStyle w:val="2"/>
        <w:numPr>
          <w:ilvl w:val="0"/>
          <w:numId w:val="0"/>
        </w:numPr>
        <w:spacing w:before="0" w:after="120"/>
        <w:ind w:left="0" w:firstLine="0"/>
        <w:jc w:val="center"/>
        <w:rPr>
          <w:rFonts w:hint="default" w:ascii="Times New Roman" w:hAnsi="Times New Roman"/>
          <w:lang w:val="pt-BR"/>
        </w:rPr>
      </w:pPr>
      <w:bookmarkStart w:id="72" w:name="_ANEXO_V_-"/>
      <w:bookmarkEnd w:id="72"/>
      <w:bookmarkStart w:id="73" w:name="_ANEXO_IV_-"/>
      <w:bookmarkEnd w:id="73"/>
      <w:bookmarkStart w:id="74" w:name="_ANEXO_VII_-"/>
      <w:bookmarkEnd w:id="74"/>
      <w:bookmarkStart w:id="75" w:name="_Toc149517469"/>
      <w:r>
        <w:t>ANEXO IV – MINUTA DA ATA DE REGISTRO DE PREÇOS</w:t>
      </w:r>
      <w:bookmarkEnd w:id="75"/>
      <w:r>
        <w:rPr>
          <w:rFonts w:hint="default"/>
          <w:lang w:val="pt-BR"/>
        </w:rPr>
        <w:t xml:space="preserve"> Nº_____/2024.</w:t>
      </w:r>
    </w:p>
    <w:p w14:paraId="6C69909B">
      <w:pPr>
        <w:tabs>
          <w:tab w:val="left" w:pos="1134"/>
          <w:tab w:val="left" w:pos="3001"/>
        </w:tabs>
        <w:spacing w:before="360" w:after="120" w:line="240" w:lineRule="auto"/>
        <w:ind w:firstLine="567"/>
        <w:jc w:val="both"/>
        <w:rPr>
          <w:sz w:val="22"/>
          <w:szCs w:val="22"/>
        </w:rPr>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w:t>
      </w:r>
      <w:r>
        <w:rPr>
          <w:rFonts w:ascii="Times New Roman" w:hAnsi="Times New Roman" w:cs="Times New Roman"/>
          <w:b/>
          <w:bCs/>
          <w:sz w:val="22"/>
          <w:szCs w:val="22"/>
          <w:lang w:eastAsia="pt-BR"/>
        </w:rPr>
        <w:t>ARP - ATA DE REGISTRO DE PREÇOS</w:t>
      </w:r>
      <w:r>
        <w:rPr>
          <w:rFonts w:ascii="Times New Roman" w:hAnsi="Times New Roman" w:cs="Times New Roman"/>
          <w:sz w:val="22"/>
          <w:szCs w:val="22"/>
          <w:lang w:eastAsia="pt-BR"/>
        </w:rPr>
        <w:t>, decorrente da licitação na modalidade de Pregão, em sua forma eletrônica, sob o número</w:t>
      </w:r>
      <w:r>
        <w:rPr>
          <w:rFonts w:hint="default" w:ascii="Times New Roman" w:hAnsi="Times New Roman" w:cs="Times New Roman"/>
          <w:sz w:val="22"/>
          <w:szCs w:val="22"/>
          <w:lang w:val="en-US" w:eastAsia="pt-BR"/>
        </w:rPr>
        <w:t xml:space="preserve"> 0</w:t>
      </w:r>
      <w:r>
        <w:rPr>
          <w:rFonts w:hint="default" w:cs="Times New Roman"/>
          <w:sz w:val="22"/>
          <w:szCs w:val="22"/>
          <w:lang w:val="en-US" w:eastAsia="pt-BR"/>
        </w:rPr>
        <w:t>14</w:t>
      </w:r>
      <w:r>
        <w:rPr>
          <w:rFonts w:ascii="Times New Roman" w:hAnsi="Times New Roman" w:cs="Times New Roman"/>
          <w:sz w:val="22"/>
          <w:szCs w:val="22"/>
          <w:shd w:val="clear" w:fill="auto"/>
          <w:lang w:eastAsia="pt-BR"/>
        </w:rPr>
        <w:t xml:space="preserve">/2024, </w:t>
      </w:r>
      <w:r>
        <w:rPr>
          <w:rFonts w:ascii="Times New Roman" w:hAnsi="Times New Roman" w:cs="Times New Roman"/>
          <w:sz w:val="22"/>
          <w:szCs w:val="22"/>
          <w:lang w:eastAsia="pt-BR"/>
        </w:rPr>
        <w:t xml:space="preserve">com critério de julgamento </w:t>
      </w:r>
      <w:r>
        <w:rPr>
          <w:rFonts w:cs="Times New Roman"/>
          <w:b/>
          <w:bCs/>
          <w:sz w:val="22"/>
          <w:szCs w:val="22"/>
          <w:lang w:eastAsia="pt-BR"/>
        </w:rPr>
        <w:t xml:space="preserve">MENOR PREÇO POR </w:t>
      </w:r>
      <w:r>
        <w:rPr>
          <w:rFonts w:hint="default" w:cs="Times New Roman"/>
          <w:b/>
          <w:bCs/>
          <w:sz w:val="22"/>
          <w:szCs w:val="22"/>
          <w:lang w:val="en-US" w:eastAsia="pt-BR"/>
        </w:rPr>
        <w:t>LOTE</w:t>
      </w:r>
      <w:r>
        <w:rPr>
          <w:rFonts w:ascii="Times New Roman" w:hAnsi="Times New Roman" w:cs="Times New Roman"/>
          <w:sz w:val="22"/>
          <w:szCs w:val="22"/>
          <w:lang w:eastAsia="pt-BR"/>
        </w:rPr>
        <w:t xml:space="preserve">, cujo objeto é </w:t>
      </w:r>
      <w:r>
        <w:rPr>
          <w:rStyle w:val="52"/>
          <w:rFonts w:hint="default"/>
          <w:b/>
          <w:bCs/>
          <w:color w:val="000000" w:themeColor="text1"/>
          <w:kern w:val="0"/>
          <w:sz w:val="22"/>
          <w:szCs w:val="22"/>
          <w:lang w:val="pt-BR"/>
          <w14:textFill>
            <w14:solidFill>
              <w14:schemeClr w14:val="tx1"/>
            </w14:solidFill>
          </w14:textFill>
        </w:rPr>
        <w:t>Registro de preços para futura e eventual contratação empresa especializada em confecção, montagem e instalação de móveis planejados, bem como aquisição de cadeiras, poltronas e eletrodomésticos para o anexo da Câmara Municipal de Primavera do Leste - MT, conforme padrão estabelecido em projeto</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w:t>
      </w:r>
      <w:r>
        <w:rPr>
          <w:rFonts w:cs="Times New Roman"/>
          <w:sz w:val="22"/>
          <w:szCs w:val="22"/>
          <w:lang w:eastAsia="pt-BR"/>
        </w:rPr>
        <w:t>Processo Administrativo nº 035/2024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"art40"</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40, II</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"art78"</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78, IV</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14:paraId="6EEAD42D">
      <w:pPr>
        <w:pStyle w:val="67"/>
        <w:numPr>
          <w:ilvl w:val="0"/>
          <w:numId w:val="13"/>
        </w:numPr>
        <w:tabs>
          <w:tab w:val="left" w:pos="480"/>
        </w:tabs>
        <w:spacing w:before="240" w:after="120" w:line="240" w:lineRule="auto"/>
        <w:ind w:left="357" w:hanging="357"/>
        <w:contextualSpacing w:val="0"/>
        <w:jc w:val="both"/>
        <w:rPr>
          <w:rFonts w:ascii="Times New Roman" w:hAnsi="Times New Roman" w:cs="Times New Roman"/>
          <w:sz w:val="22"/>
          <w:szCs w:val="22"/>
          <w:lang w:eastAsia="pt-BR"/>
        </w:rPr>
      </w:pPr>
      <w:r>
        <w:rPr>
          <w:rFonts w:ascii="Times New Roman" w:hAnsi="Times New Roman" w:cs="Times New Roman"/>
          <w:b/>
          <w:bCs/>
          <w:sz w:val="22"/>
          <w:szCs w:val="22"/>
          <w:u w:val="single"/>
          <w:lang w:eastAsia="pt-BR"/>
        </w:rPr>
        <w:t>OBJETO</w:t>
      </w:r>
    </w:p>
    <w:p w14:paraId="51975CC4">
      <w:pPr>
        <w:pStyle w:val="67"/>
        <w:numPr>
          <w:ilvl w:val="0"/>
          <w:numId w:val="0"/>
        </w:numPr>
        <w:tabs>
          <w:tab w:val="left" w:pos="480"/>
        </w:tabs>
        <w:spacing w:before="240" w:after="120" w:line="240" w:lineRule="auto"/>
        <w:ind w:leftChars="0"/>
        <w:contextualSpacing w:val="0"/>
        <w:jc w:val="both"/>
        <w:rPr>
          <w:rFonts w:ascii="Times New Roman" w:hAnsi="Times New Roman" w:cs="Times New Roman"/>
          <w:sz w:val="22"/>
          <w:szCs w:val="22"/>
          <w:lang w:eastAsia="pt-BR"/>
        </w:rPr>
      </w:pPr>
      <w:r>
        <w:rPr>
          <w:rFonts w:hint="default" w:ascii="Times New Roman" w:hAnsi="Times New Roman" w:cs="Times New Roman"/>
          <w:b/>
          <w:bCs/>
          <w:sz w:val="22"/>
          <w:szCs w:val="22"/>
          <w:u w:val="none"/>
          <w:lang w:val="en-US" w:eastAsia="pt-BR"/>
        </w:rPr>
        <w:t xml:space="preserve">1.1 </w:t>
      </w:r>
      <w:r>
        <w:rPr>
          <w:rFonts w:ascii="Times New Roman" w:hAnsi="Times New Roman" w:cs="Times New Roman"/>
          <w:sz w:val="22"/>
          <w:szCs w:val="22"/>
          <w:lang w:eastAsia="pt-BR"/>
        </w:rPr>
        <w:t xml:space="preserve">A presente Ata tem por objeto </w:t>
      </w:r>
      <w:r>
        <w:rPr>
          <w:rFonts w:hint="default" w:cs="Times New Roman"/>
          <w:sz w:val="22"/>
          <w:szCs w:val="22"/>
          <w:lang w:val="en-US" w:eastAsia="pt-BR"/>
        </w:rPr>
        <w:t xml:space="preserve">é o </w:t>
      </w:r>
      <w:r>
        <w:rPr>
          <w:rStyle w:val="52"/>
          <w:rFonts w:hint="default"/>
          <w:b/>
          <w:bCs/>
          <w:color w:val="000000" w:themeColor="text1"/>
          <w:kern w:val="0"/>
          <w:sz w:val="22"/>
          <w:szCs w:val="22"/>
          <w:lang w:val="pt-BR"/>
          <w14:textFill>
            <w14:solidFill>
              <w14:schemeClr w14:val="tx1"/>
            </w14:solidFill>
          </w14:textFill>
        </w:rPr>
        <w:t>Registro de preços para futura e eventual contratação empresa especializada em confecção, montagem e instalação de móveis planejados, bem como aquisição de cadeiras, poltronas e eletrodomésticos para o anexo da Câmara Municipal de Primavera do Leste - MT, conforme padrão estabelecido em projeto</w:t>
      </w:r>
      <w:r>
        <w:rPr>
          <w:rFonts w:hint="default" w:cs="Times New Roman"/>
          <w:b/>
          <w:bCs/>
          <w:kern w:val="0"/>
          <w:sz w:val="22"/>
          <w:szCs w:val="22"/>
          <w:lang w:val="pt-BR" w:eastAsia="zh-CN" w:bidi="ar"/>
        </w:rPr>
        <w:t>.</w:t>
      </w:r>
    </w:p>
    <w:p w14:paraId="5EE856AD">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14:paraId="0B9F0E2C">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14:paraId="3CEEEBD0">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14:paraId="68A31B5B">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presente ARP estabelece as cláusulas e condições gerais para o</w:t>
      </w:r>
      <w:r>
        <w:rPr>
          <w:rFonts w:hint="default" w:cs="Times New Roman"/>
          <w:sz w:val="22"/>
          <w:szCs w:val="22"/>
          <w:lang w:val="en-US" w:eastAsia="pt-BR"/>
        </w:rPr>
        <w:t xml:space="preserve"> </w:t>
      </w:r>
      <w:r>
        <w:rPr>
          <w:rStyle w:val="52"/>
          <w:rFonts w:hint="default"/>
          <w:b/>
          <w:bCs/>
          <w:color w:val="000000" w:themeColor="text1"/>
          <w:kern w:val="0"/>
          <w:sz w:val="22"/>
          <w:szCs w:val="22"/>
          <w:lang w:val="pt-BR"/>
          <w14:textFill>
            <w14:solidFill>
              <w14:schemeClr w14:val="tx1"/>
            </w14:solidFill>
          </w14:textFill>
        </w:rPr>
        <w:t>Registro de preços para futura e eventual contratação empresa especializada em confecção, montagem e instalação de móveis planejados, bem como aquisição de cadeiras, poltronas e eletrodomésticos para o anexo da Câmara Municipal de Primavera do Leste - MT, conforme padrão estabelecido em projeto</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14:paraId="5CC9A7CC">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14:paraId="6DBE170D">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14:paraId="0111569B">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14:paraId="3B0A6A79">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14:paraId="7FD91E21">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14:paraId="4E99A4E1">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14:paraId="698A3CF0">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14:paraId="46A08213">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8D46410">
            <w:pPr>
              <w:spacing w:before="0" w:after="0" w:line="240" w:lineRule="auto"/>
              <w:jc w:val="center"/>
              <w:rPr>
                <w:rFonts w:ascii="Times New Roman" w:hAnsi="Times New Roman"/>
                <w:sz w:val="22"/>
                <w:szCs w:val="22"/>
              </w:rPr>
            </w:pPr>
            <w:r>
              <w:rPr>
                <w:rFonts w:ascii="Times New Roman" w:hAnsi="Times New Roman" w:cs="Times New Roman"/>
                <w:b/>
                <w:bCs/>
                <w:sz w:val="22"/>
                <w:szCs w:val="22"/>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94A3766">
            <w:pPr>
              <w:spacing w:before="0" w:after="0" w:line="240" w:lineRule="auto"/>
              <w:jc w:val="center"/>
              <w:rPr>
                <w:rFonts w:ascii="Times New Roman" w:hAnsi="Times New Roman"/>
                <w:sz w:val="22"/>
                <w:szCs w:val="22"/>
              </w:rPr>
            </w:pPr>
            <w:r>
              <w:rPr>
                <w:rFonts w:ascii="Times New Roman" w:hAnsi="Times New Roman" w:cs="Times New Roman"/>
                <w:b/>
                <w:bCs/>
                <w:sz w:val="22"/>
                <w:szCs w:val="22"/>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7F69884">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665EE4C5">
            <w:pPr>
              <w:spacing w:before="0" w:after="0" w:line="240" w:lineRule="auto"/>
              <w:jc w:val="center"/>
              <w:rPr>
                <w:rFonts w:ascii="Times New Roman" w:hAnsi="Times New Roman"/>
                <w:sz w:val="22"/>
                <w:szCs w:val="22"/>
              </w:rPr>
            </w:pPr>
            <w:r>
              <w:rPr>
                <w:rFonts w:ascii="Times New Roman" w:hAnsi="Times New Roman" w:cs="Times New Roman"/>
                <w:b/>
                <w:bCs/>
                <w:sz w:val="22"/>
                <w:szCs w:val="22"/>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B5C195D">
            <w:pPr>
              <w:spacing w:before="0" w:after="0" w:line="240" w:lineRule="auto"/>
              <w:jc w:val="center"/>
              <w:rPr>
                <w:rFonts w:ascii="Times New Roman" w:hAnsi="Times New Roman"/>
                <w:sz w:val="22"/>
                <w:szCs w:val="22"/>
              </w:rPr>
            </w:pPr>
            <w:r>
              <w:rPr>
                <w:rFonts w:ascii="Times New Roman" w:hAnsi="Times New Roman" w:cs="Times New Roman"/>
                <w:b/>
                <w:bCs/>
                <w:sz w:val="22"/>
                <w:szCs w:val="22"/>
              </w:rPr>
              <w:t>Preço</w:t>
            </w:r>
          </w:p>
          <w:p w14:paraId="4B65D700">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54DA4F3">
            <w:pPr>
              <w:spacing w:before="0" w:after="0" w:line="240" w:lineRule="auto"/>
              <w:jc w:val="center"/>
              <w:rPr>
                <w:rFonts w:ascii="Times New Roman" w:hAnsi="Times New Roman"/>
                <w:sz w:val="22"/>
                <w:szCs w:val="22"/>
              </w:rPr>
            </w:pPr>
            <w:r>
              <w:rPr>
                <w:rFonts w:ascii="Times New Roman" w:hAnsi="Times New Roman" w:cs="Times New Roman"/>
                <w:b/>
                <w:sz w:val="22"/>
                <w:szCs w:val="22"/>
              </w:rPr>
              <w:t>Preço</w:t>
            </w:r>
          </w:p>
          <w:p w14:paraId="1DBA43CB">
            <w:pPr>
              <w:spacing w:before="0" w:after="0" w:line="240" w:lineRule="auto"/>
              <w:jc w:val="center"/>
              <w:rPr>
                <w:rFonts w:ascii="Times New Roman" w:hAnsi="Times New Roman"/>
                <w:sz w:val="22"/>
                <w:szCs w:val="22"/>
              </w:rPr>
            </w:pPr>
            <w:r>
              <w:rPr>
                <w:rFonts w:ascii="Times New Roman" w:hAnsi="Times New Roman" w:cs="Times New Roman"/>
                <w:b/>
                <w:sz w:val="22"/>
                <w:szCs w:val="22"/>
              </w:rPr>
              <w:t>Total</w:t>
            </w:r>
          </w:p>
        </w:tc>
      </w:tr>
      <w:tr w14:paraId="527990B6">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3127E4D2">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57D9FE15">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14:paraId="148BF6D3">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61DE327A">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14:paraId="0D1819CE">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14:paraId="526A1667">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14:paraId="1F518DD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14:paraId="1EB10C8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14:paraId="207BE7AF">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14:paraId="152D1849">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Edital do  </w:t>
      </w:r>
      <w:r>
        <w:rPr>
          <w:rFonts w:cs="Times New Roman"/>
          <w:sz w:val="22"/>
          <w:szCs w:val="22"/>
          <w:lang w:eastAsia="pt-BR"/>
        </w:rPr>
        <w:t>Pregão Eletrônico  nº 0</w:t>
      </w:r>
      <w:r>
        <w:rPr>
          <w:rFonts w:hint="default" w:cs="Times New Roman"/>
          <w:sz w:val="22"/>
          <w:szCs w:val="22"/>
          <w:lang w:val="en-US" w:eastAsia="pt-BR"/>
        </w:rPr>
        <w:t>14</w:t>
      </w:r>
      <w:r>
        <w:rPr>
          <w:rFonts w:cs="Times New Roman"/>
          <w:sz w:val="22"/>
          <w:szCs w:val="22"/>
          <w:lang w:eastAsia="pt-BR"/>
        </w:rPr>
        <w:t>/2024</w:t>
      </w:r>
      <w:r>
        <w:rPr>
          <w:rFonts w:ascii="Times New Roman" w:hAnsi="Times New Roman" w:cs="Times New Roman"/>
          <w:sz w:val="22"/>
          <w:szCs w:val="22"/>
          <w:lang w:eastAsia="pt-BR"/>
        </w:rPr>
        <w:t>.</w:t>
      </w:r>
    </w:p>
    <w:p w14:paraId="2D42E4DB">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14:paraId="68014F40">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14:paraId="28192BE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14:paraId="67B7E0B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14:paraId="6FB86987">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14:paraId="5FDB8864">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14:paraId="4485BBD6">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14:paraId="2CABC70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14:paraId="080C6419">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3E58917">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contratação decorrente deverá observar as condições fixadas no Edital de Licitação referente ao  </w:t>
      </w:r>
      <w:r>
        <w:rPr>
          <w:rFonts w:cs="Times New Roman"/>
          <w:sz w:val="22"/>
          <w:szCs w:val="22"/>
          <w:lang w:eastAsia="pt-BR"/>
        </w:rPr>
        <w:t>Pregão nº 012/2024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14:paraId="7BEEA03B">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14:paraId="05325A38">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14:paraId="477C94E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2"/>
          <w:szCs w:val="22"/>
          <w:lang w:eastAsia="pt-BR"/>
        </w:rPr>
        <w:t>Pregão nº 012/2024</w:t>
      </w:r>
      <w:r>
        <w:rPr>
          <w:rFonts w:ascii="Times New Roman" w:hAnsi="Times New Roman" w:cs="Times New Roman"/>
          <w:sz w:val="22"/>
          <w:szCs w:val="22"/>
          <w:shd w:val="clear" w:fill="auto"/>
          <w:lang w:eastAsia="pt-BR"/>
        </w:rPr>
        <w:t>.</w:t>
      </w:r>
    </w:p>
    <w:p w14:paraId="1D1B9372">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14:paraId="59CF6B16">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86, §§ 2º a 5º,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14:paraId="0ECC2DEA">
      <w:pPr>
        <w:pStyle w:val="67"/>
        <w:numPr>
          <w:ilvl w:val="2"/>
          <w:numId w:val="13"/>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14:paraId="0AF4840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14:paraId="1D7294F2">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14:paraId="77D7248A">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61"/>
          <w:rFonts w:ascii="Times New Roman" w:hAnsi="Times New Roman"/>
          <w:sz w:val="22"/>
          <w:szCs w:val="22"/>
          <w:lang w:eastAsia="pt-BR"/>
        </w:rPr>
        <w:t>compras@primaveradoleste.mt.leg.br</w:t>
      </w:r>
      <w:r>
        <w:rPr>
          <w:rStyle w:val="61"/>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14:paraId="306E2689">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14:paraId="630399FF">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14:paraId="0CACD96E">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14:paraId="163F1DA4">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14:paraId="6CDE61B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3558A268">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9817649">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14:paraId="30D466E1">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171167F6">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14:paraId="38DD0AB6">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14:paraId="4EDA31A9">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14:paraId="0D2BDA1F">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14:paraId="3472ADA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14:paraId="7A163B32">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14:paraId="3020458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14:paraId="52F5D24A">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14:paraId="18FC815F">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2"/>
          <w:szCs w:val="22"/>
          <w:lang w:eastAsia="pt-BR"/>
        </w:rPr>
        <w:t>Edital do  Pregão nº 012/2024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61"/>
          <w:rFonts w:ascii="Times New Roman" w:hAnsi="Times New Roman"/>
          <w:sz w:val="22"/>
          <w:szCs w:val="22"/>
          <w:lang w:eastAsia="pt-BR"/>
        </w:rPr>
        <w:instrText xml:space="preserve"> HYPERLINK "https://www.planalto.gov.br/ccivil_03/_ato2019-2022/2021/lei/l14133.htm" \l "art95"</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95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14:paraId="5624A90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14:paraId="3E2EE6B5">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arts. 124 a 136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76EE5AAF">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14:paraId="35A10FE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14:paraId="2768B539">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14:paraId="2DA92BD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14:paraId="44B492F9">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14:paraId="62704C4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14:paraId="182B8A38">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14:paraId="61EB205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14:paraId="770D648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14:paraId="5A0DFDD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14:paraId="5068EDA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14:paraId="0CD23FC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14:paraId="4A07D32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14:paraId="32A4720B">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14:paraId="00D65A61">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14:paraId="014D1AB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14:paraId="248265D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14:paraId="2277E33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14:paraId="6C9A592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14:paraId="3752BA31">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14:paraId="07A1BF2B">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14:paraId="47849D10">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14:paraId="710D3892">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14:paraId="61F9F7AB">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14:paraId="038AB7E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73E3CA24">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Respeitar as demais condições e obrigações contidas nesta ARP e no Edital e Anexos do  </w:t>
      </w:r>
      <w:r>
        <w:rPr>
          <w:rFonts w:cs="Times New Roman"/>
          <w:sz w:val="22"/>
          <w:szCs w:val="22"/>
          <w:lang w:eastAsia="pt-BR"/>
        </w:rPr>
        <w:t>Pregão nº 012/2024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14:paraId="5909148C">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14:paraId="5AEBAC7A">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14:paraId="2631D65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14:paraId="3680CBC2">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14:paraId="2E460C53">
      <w:pPr>
        <w:pStyle w:val="67"/>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14:paraId="2DE9D258">
      <w:pPr>
        <w:pStyle w:val="67"/>
        <w:numPr>
          <w:ilvl w:val="2"/>
          <w:numId w:val="13"/>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14:paraId="6DA9AE72">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14:paraId="3926ED52">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VII, e § 5º, VI,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35D29A89">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14:paraId="431EAAD4">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63CF5036">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14:paraId="48624508">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14:paraId="1D2730D2">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14:paraId="72BF5243">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61"/>
          <w:rFonts w:ascii="Times New Roman" w:hAnsi="Times New Roman"/>
          <w:sz w:val="22"/>
          <w:szCs w:val="22"/>
          <w:lang w:eastAsia="pt-BR"/>
        </w:rPr>
        <w:t>Diário Oficial</w:t>
      </w:r>
      <w:r>
        <w:rPr>
          <w:rStyle w:val="61"/>
          <w:rFonts w:ascii="Times New Roman" w:hAnsi="Times New Roman"/>
          <w:sz w:val="22"/>
          <w:szCs w:val="22"/>
          <w:lang w:eastAsia="pt-BR"/>
        </w:rPr>
        <w:fldChar w:fldCharType="end"/>
      </w:r>
      <w:r>
        <w:rPr>
          <w:rFonts w:ascii="Times New Roman" w:hAnsi="Times New Roman" w:cs="Times New Roman"/>
          <w:sz w:val="22"/>
          <w:szCs w:val="22"/>
        </w:rPr>
        <w:t>.</w:t>
      </w:r>
    </w:p>
    <w:p w14:paraId="371A5324">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61"/>
          <w:rFonts w:ascii="Times New Roman" w:hAnsi="Times New Roman"/>
          <w:sz w:val="22"/>
          <w:szCs w:val="22"/>
        </w:rPr>
        <w:t>https://www.primaveradoleste.mt.leg.br/</w:t>
      </w:r>
      <w:r>
        <w:rPr>
          <w:rStyle w:val="61"/>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14:paraId="0514A810">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14:paraId="62C0778C">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14:paraId="322A7E40">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1567AF77">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3EFE88E8">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14:paraId="6E06E87D">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14:paraId="3B9E1EF6">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0EB106D8">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14:paraId="6412368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14:paraId="56C2D9A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14:paraId="2EFE5859">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68214551">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14:paraId="263C1CB2">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14:paraId="2031119E">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14:paraId="05A3049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14:paraId="368175C8">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14:paraId="024DB67C">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76" w:name="nao_comprovacao_majoracao_mercado"/>
      <w:bookmarkEnd w:id="76"/>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14:paraId="1F7BEA7A">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14:paraId="7785EAE3">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14:paraId="0F33586D">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14:paraId="7EE4668C">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14:paraId="0EC59546">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14:paraId="17699F66">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14:paraId="460FDD9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14:paraId="158BF30E">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77" w:name="gerenciador_estimador_é_partic_em_remane"/>
      <w:bookmarkEnd w:id="77"/>
    </w:p>
    <w:p w14:paraId="6C9D0102">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14:paraId="2FE1E709">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14:paraId="13D83EAA">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67F56C2D">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14:paraId="576958C8">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78" w:name="cancelamento_do_fornecedor"/>
      <w:bookmarkEnd w:id="78"/>
    </w:p>
    <w:p w14:paraId="75D9A6A7">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14:paraId="045457C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14:paraId="76B56BF6">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14:paraId="2BB37EA9">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III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 4º,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ou</w:t>
      </w:r>
    </w:p>
    <w:p w14:paraId="55B13FE6">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14:paraId="7CFF6384">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incisos III ou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14:paraId="450D977D">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14:paraId="7139EBAF">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14:paraId="5C31DB6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9" w:name="cancelamento_da_ata"/>
      <w:bookmarkEnd w:id="79"/>
      <w:r>
        <w:rPr>
          <w:rFonts w:ascii="Times New Roman" w:hAnsi="Times New Roman" w:cs="Times New Roman"/>
          <w:sz w:val="22"/>
          <w:szCs w:val="22"/>
          <w:lang w:eastAsia="pt-BR"/>
        </w:rPr>
        <w:t xml:space="preserve"> </w:t>
      </w:r>
    </w:p>
    <w:p w14:paraId="317FD03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14:paraId="5B0CEAA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14:paraId="520C031D">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14:paraId="2A534F43">
      <w:pPr>
        <w:pStyle w:val="67"/>
        <w:numPr>
          <w:ilvl w:val="0"/>
          <w:numId w:val="13"/>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14:paraId="3A70F72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As empresas com preços registrados nesta ARP e signatárias dos respectivos contratos estarão sujeitas às sanções administrativas previstas neste Edital de Licitação do  </w:t>
      </w:r>
      <w:r>
        <w:rPr>
          <w:rFonts w:cs="Times New Roman"/>
          <w:sz w:val="22"/>
          <w:szCs w:val="22"/>
          <w:lang w:eastAsia="pt-BR"/>
        </w:rPr>
        <w:t>Pregão nº 012/2024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14:paraId="5DD5DF1B">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7DCDFE4">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14:paraId="51B75289">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14:paraId="186C1306">
      <w:pPr>
        <w:pStyle w:val="67"/>
        <w:numPr>
          <w:ilvl w:val="0"/>
          <w:numId w:val="13"/>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14:paraId="7AD4AD83">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registro de preços poderá ser CANCELADO/REVOGADO, </w:t>
      </w:r>
      <w:r>
        <w:rPr>
          <w:rFonts w:cs="Times New Roman"/>
          <w:sz w:val="22"/>
          <w:szCs w:val="22"/>
          <w:lang w:eastAsia="pt-BR"/>
        </w:rPr>
        <w:t>POR LOTE</w:t>
      </w:r>
      <w:r>
        <w:rPr>
          <w:rFonts w:ascii="Times New Roman" w:hAnsi="Times New Roman" w:cs="Times New Roman"/>
          <w:sz w:val="22"/>
          <w:szCs w:val="22"/>
          <w:lang w:eastAsia="pt-BR"/>
        </w:rPr>
        <w:t>/GRUPO, por iniciativa do ÓRGÃO GERENCIADOR, quando:</w:t>
      </w:r>
    </w:p>
    <w:p w14:paraId="18747934">
      <w:pPr>
        <w:pStyle w:val="67"/>
        <w:numPr>
          <w:ilvl w:val="2"/>
          <w:numId w:val="13"/>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1149135">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14:paraId="46774DC8">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14:paraId="314E6D55">
      <w:pPr>
        <w:pStyle w:val="67"/>
        <w:numPr>
          <w:ilvl w:val="1"/>
          <w:numId w:val="13"/>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14:paraId="147993E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14:paraId="08E6D34F">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14:paraId="292EF6C0">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14:paraId="07D8F1DB">
      <w:pPr>
        <w:pStyle w:val="67"/>
        <w:numPr>
          <w:ilvl w:val="2"/>
          <w:numId w:val="13"/>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14:paraId="270768F7">
      <w:pPr>
        <w:pStyle w:val="67"/>
        <w:numPr>
          <w:ilvl w:val="2"/>
          <w:numId w:val="13"/>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III ou IV,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"https://www.planalto.gov.br/ccivil_03/leis/l8666cons.htm" \l "art87"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87, III ou IV, da Lei Federal nº 8.666, de 1993</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"http://www.planalto.gov.br/ccivil_03/leis/2002/l10520.htm" \l "art7"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7º da Lei Federal nº 10.520, de 2002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6363568E">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14:paraId="5D56E600">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14:paraId="2C1EC499">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14:paraId="2139BA6B">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14:paraId="569FF86C">
      <w:pPr>
        <w:pStyle w:val="67"/>
        <w:numPr>
          <w:ilvl w:val="1"/>
          <w:numId w:val="13"/>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14:paraId="6B901163">
      <w:pPr>
        <w:pStyle w:val="67"/>
        <w:numPr>
          <w:ilvl w:val="0"/>
          <w:numId w:val="13"/>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14:paraId="317E002F">
      <w:pPr>
        <w:pStyle w:val="67"/>
        <w:numPr>
          <w:ilvl w:val="1"/>
          <w:numId w:val="13"/>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Style w:val="61"/>
          <w:rFonts w:ascii="Times New Roman" w:hAnsi="Times New Roman" w:cs="Times New Roman"/>
          <w:sz w:val="22"/>
          <w:szCs w:val="22"/>
          <w:lang w:eastAsia="pt-BR"/>
        </w:rPr>
        <w:t>.</w:t>
      </w:r>
    </w:p>
    <w:p w14:paraId="6895AD1F">
      <w:pPr>
        <w:tabs>
          <w:tab w:val="left" w:pos="1134"/>
          <w:tab w:val="left" w:pos="3001"/>
        </w:tabs>
        <w:spacing w:before="120" w:after="120" w:line="240" w:lineRule="auto"/>
        <w:jc w:val="both"/>
        <w:rPr>
          <w:rFonts w:ascii="Times New Roman" w:hAnsi="Times New Roman" w:cs="Times New Roman"/>
          <w:sz w:val="22"/>
          <w:szCs w:val="22"/>
          <w:lang w:eastAsia="pt-BR"/>
        </w:rPr>
      </w:pPr>
    </w:p>
    <w:p w14:paraId="76755D8F">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14:paraId="7A4A613B">
      <w:pPr>
        <w:tabs>
          <w:tab w:val="left" w:pos="3001"/>
        </w:tabs>
        <w:rPr>
          <w:rFonts w:ascii="Times New Roman" w:hAnsi="Times New Roman" w:eastAsiaTheme="minorHAnsi" w:cstheme="minorBidi"/>
          <w:sz w:val="22"/>
          <w:szCs w:val="22"/>
          <w:highlight w:val="none"/>
          <w:shd w:val="clear" w:fill="auto"/>
          <w:lang w:eastAsia="pt-BR"/>
        </w:rPr>
      </w:pPr>
    </w:p>
    <w:p w14:paraId="7D3D396C">
      <w:pPr>
        <w:tabs>
          <w:tab w:val="left" w:pos="3001"/>
        </w:tabs>
        <w:rPr>
          <w:rFonts w:ascii="Times New Roman" w:hAnsi="Times New Roman"/>
          <w:sz w:val="22"/>
          <w:szCs w:val="22"/>
          <w:lang w:eastAsia="pt-BR"/>
        </w:rPr>
      </w:pPr>
    </w:p>
    <w:p w14:paraId="7C37F0E5">
      <w:pPr>
        <w:tabs>
          <w:tab w:val="left" w:pos="3001"/>
        </w:tabs>
        <w:rPr>
          <w:rFonts w:ascii="Times New Roman" w:hAnsi="Times New Roman"/>
          <w:sz w:val="22"/>
          <w:szCs w:val="22"/>
          <w:lang w:eastAsia="pt-BR"/>
        </w:rPr>
      </w:pPr>
    </w:p>
    <w:tbl>
      <w:tblPr>
        <w:tblStyle w:val="4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14:paraId="2186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14:paraId="38980FD5">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14:paraId="08ADB018">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14:paraId="6F8609EB">
      <w:pPr>
        <w:tabs>
          <w:tab w:val="left" w:pos="3001"/>
        </w:tabs>
        <w:rPr>
          <w:rFonts w:ascii="Times New Roman" w:hAnsi="Times New Roman"/>
          <w:sz w:val="22"/>
          <w:szCs w:val="22"/>
          <w:lang w:eastAsia="pt-BR"/>
        </w:rPr>
      </w:pPr>
    </w:p>
    <w:p w14:paraId="33A50D22">
      <w:pPr>
        <w:rPr>
          <w:rFonts w:ascii="Times New Roman" w:hAnsi="Times New Roman"/>
          <w:sz w:val="22"/>
          <w:szCs w:val="22"/>
          <w:lang w:eastAsia="pt-BR"/>
        </w:rPr>
      </w:pPr>
      <w:r>
        <w:br w:type="page"/>
      </w:r>
    </w:p>
    <w:p w14:paraId="534F9757">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14:paraId="0D27F557">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u w:val="single"/>
          <w:lang w:eastAsia="pt-BR"/>
        </w:rPr>
        <w:t>2ª</w:t>
      </w:r>
      <w:r>
        <w:rPr>
          <w:rFonts w:ascii="Times New Roman" w:hAnsi="Times New Roman" w:cs="Times New Roman"/>
          <w:b/>
          <w:bCs/>
          <w:sz w:val="22"/>
          <w:szCs w:val="22"/>
          <w:highlight w:val="none"/>
          <w:u w:val="single"/>
          <w:lang w:eastAsia="pt-BR"/>
        </w:rPr>
        <w:t xml:space="preserve">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7D2D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139DE9DC">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050F50FF">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1BFD1E30">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0BFC76DB">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2C8E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2E759F0">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14:paraId="7EC450AC">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14:paraId="28D880DF">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14:paraId="3A01A541">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14:paraId="4B8FAB2D">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14:paraId="32FF4952">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14:paraId="3BD49169">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14:paraId="67286FCE">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14:paraId="48F7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20E58">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07CD18BA">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11F9B163">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1FDD2255">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53DDC6DD">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7506C45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220CED25">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220FB81E">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14:paraId="52C2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17DD2D">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2E98C487">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2C0BB27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37938DE5">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74357BAA">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2F0C8B5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1AF06286">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4E1546C8">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14:paraId="27303347">
      <w:pPr>
        <w:tabs>
          <w:tab w:val="left" w:pos="3001"/>
        </w:tabs>
        <w:rPr>
          <w:rFonts w:ascii="Times New Roman" w:hAnsi="Times New Roman" w:cs="Times New Roman"/>
          <w:sz w:val="22"/>
          <w:szCs w:val="22"/>
          <w:highlight w:val="none"/>
          <w:lang w:eastAsia="pt-BR"/>
        </w:rPr>
      </w:pPr>
    </w:p>
    <w:p w14:paraId="23AB6C58">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578B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62348356">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6F410EFC">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4CF1174F">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6717EF6B">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489A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7D1BC793">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Item</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T.R.</w:t>
            </w:r>
          </w:p>
        </w:tc>
        <w:tc>
          <w:tcPr>
            <w:tcW w:w="2560" w:type="dxa"/>
            <w:shd w:val="clear" w:color="auto" w:fill="D8D8D8" w:themeFill="background1" w:themeFillShade="D9"/>
            <w:vAlign w:val="center"/>
          </w:tcPr>
          <w:p w14:paraId="43C22CD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Especificação</w:t>
            </w:r>
          </w:p>
        </w:tc>
        <w:tc>
          <w:tcPr>
            <w:tcW w:w="1134" w:type="dxa"/>
            <w:shd w:val="clear" w:color="auto" w:fill="D8D8D8" w:themeFill="background1" w:themeFillShade="D9"/>
            <w:vAlign w:val="center"/>
          </w:tcPr>
          <w:p w14:paraId="0D0ECD05">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Marca</w:t>
            </w:r>
          </w:p>
        </w:tc>
        <w:tc>
          <w:tcPr>
            <w:tcW w:w="1418" w:type="dxa"/>
            <w:shd w:val="clear" w:color="auto" w:fill="D8D8D8" w:themeFill="background1" w:themeFillShade="D9"/>
            <w:vAlign w:val="center"/>
          </w:tcPr>
          <w:p w14:paraId="302C23E7">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Modelo</w:t>
            </w:r>
          </w:p>
        </w:tc>
        <w:tc>
          <w:tcPr>
            <w:tcW w:w="851" w:type="dxa"/>
            <w:shd w:val="clear" w:color="auto" w:fill="D8D8D8" w:themeFill="background1" w:themeFillShade="D9"/>
            <w:vAlign w:val="center"/>
          </w:tcPr>
          <w:p w14:paraId="2BF5FA4B">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Unidade</w:t>
            </w:r>
          </w:p>
        </w:tc>
        <w:tc>
          <w:tcPr>
            <w:tcW w:w="850" w:type="dxa"/>
            <w:shd w:val="clear" w:color="auto" w:fill="D8D8D8" w:themeFill="background1" w:themeFillShade="D9"/>
            <w:vAlign w:val="center"/>
          </w:tcPr>
          <w:p w14:paraId="0AE0368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Máxima</w:t>
            </w:r>
          </w:p>
        </w:tc>
        <w:tc>
          <w:tcPr>
            <w:tcW w:w="855" w:type="dxa"/>
            <w:shd w:val="clear" w:color="auto" w:fill="D8D8D8" w:themeFill="background1" w:themeFillShade="D9"/>
            <w:vAlign w:val="center"/>
          </w:tcPr>
          <w:p w14:paraId="7CE64D28">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Mínima</w:t>
            </w:r>
          </w:p>
        </w:tc>
        <w:tc>
          <w:tcPr>
            <w:tcW w:w="845" w:type="dxa"/>
            <w:shd w:val="clear" w:color="auto" w:fill="D8D8D8" w:themeFill="background1" w:themeFillShade="D9"/>
            <w:vAlign w:val="center"/>
          </w:tcPr>
          <w:p w14:paraId="24EF603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Valor</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Unitário</w:t>
            </w:r>
          </w:p>
        </w:tc>
      </w:tr>
      <w:tr w14:paraId="473A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21EF18B">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7C6F054C">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71717EFC">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3B793F66">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62A9E2B1">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3683F71B">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75210F50">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2D4BCC9C">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r w14:paraId="4C90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C313975">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31A247C3">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0F5F15BE">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7479B2EA">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1569A7C2">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1177A3B5">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47786996">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3F27DEAF">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bl>
    <w:p w14:paraId="4CE7E038">
      <w:pPr>
        <w:tabs>
          <w:tab w:val="left" w:pos="3001"/>
        </w:tabs>
        <w:rPr>
          <w:rFonts w:ascii="Times New Roman" w:hAnsi="Times New Roman" w:cs="Times New Roman"/>
          <w:sz w:val="22"/>
          <w:szCs w:val="22"/>
          <w:lang w:eastAsia="pt-BR"/>
        </w:rPr>
      </w:pPr>
    </w:p>
    <w:p w14:paraId="45B47A55">
      <w:pPr>
        <w:rPr>
          <w:rFonts w:ascii="Times New Roman" w:hAnsi="Times New Roman" w:cs="Times New Roman"/>
          <w:sz w:val="22"/>
          <w:szCs w:val="22"/>
          <w:lang w:eastAsia="pt-BR"/>
        </w:rPr>
      </w:pPr>
      <w:r>
        <w:br w:type="page"/>
      </w:r>
    </w:p>
    <w:p w14:paraId="0412369D">
      <w:pPr>
        <w:pStyle w:val="2"/>
        <w:numPr>
          <w:ilvl w:val="0"/>
          <w:numId w:val="0"/>
        </w:numPr>
        <w:spacing w:before="0" w:after="120"/>
        <w:ind w:left="0" w:firstLine="0"/>
        <w:jc w:val="center"/>
        <w:rPr>
          <w:rFonts w:hint="default" w:ascii="Times New Roman" w:hAnsi="Times New Roman"/>
          <w:sz w:val="22"/>
          <w:szCs w:val="22"/>
          <w:lang w:val="pt-BR"/>
        </w:rPr>
      </w:pPr>
      <w:bookmarkStart w:id="80" w:name="_Toc149517470"/>
      <w:r>
        <w:rPr>
          <w:sz w:val="22"/>
          <w:szCs w:val="22"/>
        </w:rPr>
        <w:t>ANEXO V – MINUTA DO INSTRUMENTO DE CONTRATO</w:t>
      </w:r>
      <w:bookmarkEnd w:id="80"/>
      <w:r>
        <w:rPr>
          <w:rFonts w:hint="default"/>
          <w:sz w:val="22"/>
          <w:szCs w:val="22"/>
          <w:lang w:val="pt-BR"/>
        </w:rPr>
        <w:t xml:space="preserve"> Nº _____/2024</w:t>
      </w:r>
    </w:p>
    <w:p w14:paraId="4FB2C5D1">
      <w:pPr>
        <w:pStyle w:val="131"/>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Style w:val="52"/>
          <w:rFonts w:hint="default" w:ascii="Times New Roman" w:hAnsi="Times New Roman" w:cs="Times New Roman"/>
          <w:b/>
          <w:bCs/>
          <w:color w:val="000000" w:themeColor="text1"/>
          <w:kern w:val="0"/>
          <w:sz w:val="22"/>
          <w:szCs w:val="22"/>
          <w:lang w:val="pt-BR"/>
          <w14:textFill>
            <w14:solidFill>
              <w14:schemeClr w14:val="tx1"/>
            </w14:solidFill>
          </w14:textFill>
        </w:rPr>
        <w:t>Registro de preços para futura e eventual contratação empresa especializada em confecção, montagem e instalação de móveis planejados, bem como aquisição de cadeiras, poltronas e eletrodomésticos para o anexo da Câmara Municipal de Primavera do Leste - MT, conforme padrão estabelecido em projeto</w:t>
      </w:r>
      <w:r>
        <w:rPr>
          <w:rStyle w:val="48"/>
          <w:rFonts w:hint="default" w:ascii="Times New Roman" w:hAnsi="Times New Roman" w:eastAsia="Times New Roman" w:cs="Times New Roman"/>
          <w:b/>
          <w:bCs/>
          <w:sz w:val="22"/>
          <w:szCs w:val="22"/>
          <w:lang w:val="pt-BR" w:eastAsia="en-US"/>
        </w:rPr>
        <w: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035/2024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14:paraId="037F48EF">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Processo Administrativo nº 035/2024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61"/>
          <w:rFonts w:ascii="Times New Roman" w:hAnsi="Times New Roman" w:eastAsia="Arial"/>
          <w:sz w:val="22"/>
          <w:szCs w:val="22"/>
        </w:rPr>
        <w:t>Lei Federal nº 14.133, de 2021</w:t>
      </w:r>
      <w:r>
        <w:rPr>
          <w:rStyle w:val="61"/>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w:t>
      </w:r>
      <w:r>
        <w:rPr>
          <w:rFonts w:eastAsia="Arial" w:cs="Times New Roman"/>
          <w:sz w:val="22"/>
          <w:szCs w:val="22"/>
          <w:lang w:val="pt-BR"/>
        </w:rPr>
        <w:t>Pregão Eletrônico nº 013/2024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14:paraId="5355FB3B">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OBJETO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 e II</w:t>
      </w:r>
      <w:r>
        <w:rPr>
          <w:rStyle w:val="61"/>
          <w:sz w:val="22"/>
          <w:szCs w:val="22"/>
        </w:rPr>
        <w:fldChar w:fldCharType="end"/>
      </w:r>
      <w:r>
        <w:rPr>
          <w:rStyle w:val="61"/>
          <w:sz w:val="22"/>
          <w:szCs w:val="22"/>
        </w:rPr>
        <w:t>, da Lei Federal nº 14.133, de 2021</w:t>
      </w:r>
      <w:r>
        <w:rPr>
          <w:sz w:val="22"/>
          <w:szCs w:val="22"/>
        </w:rPr>
        <w:t>)</w:t>
      </w:r>
    </w:p>
    <w:p w14:paraId="7FA07A93">
      <w:pPr>
        <w:pStyle w:val="32"/>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sz w:val="22"/>
          <w:szCs w:val="22"/>
        </w:rPr>
        <w:t xml:space="preserve">O objeto do presente instrumento é </w:t>
      </w:r>
      <w:r>
        <w:rPr>
          <w:rFonts w:hint="default"/>
          <w:sz w:val="22"/>
          <w:szCs w:val="22"/>
          <w:lang w:val="pt-BR"/>
        </w:rPr>
        <w:t xml:space="preserve">o </w:t>
      </w:r>
      <w:r>
        <w:rPr>
          <w:rStyle w:val="52"/>
          <w:rFonts w:hint="default"/>
          <w:b/>
          <w:bCs/>
          <w:color w:val="000000" w:themeColor="text1"/>
          <w:kern w:val="0"/>
          <w:sz w:val="22"/>
          <w:szCs w:val="22"/>
          <w:lang w:val="pt-BR"/>
          <w14:textFill>
            <w14:solidFill>
              <w14:schemeClr w14:val="tx1"/>
            </w14:solidFill>
          </w14:textFill>
        </w:rPr>
        <w:t>Registro de preços para futura e eventual contratação empresa especializada em confecção, montagem e instalação de móveis planejados, bem como aquisição de cadeiras, poltronas e eletrodomésticos para o anexo da Câmara Municipal de Primavera do Leste - MT, conforme padrão estabelecido em projeto</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14:paraId="2D39C687">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14:paraId="09790305">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3603AED0">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68237C9C">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130765F1">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6D2C323">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7F7364FB">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14:paraId="3481223D">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14:paraId="7BA8C204">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14:paraId="6F5A7A3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14:paraId="3DB3776D">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14:paraId="03866F4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14:paraId="1B91DCC2">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14:paraId="53207D49">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14:paraId="76C4FA5B">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14:paraId="3EB1116F">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14:paraId="138FD97B">
      <w:pPr>
        <w:pStyle w:val="32"/>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14:paraId="002B4C3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14:paraId="6312FC7B">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428B21A6">
      <w:pPr>
        <w:pStyle w:val="32"/>
        <w:numPr>
          <w:ilvl w:val="2"/>
          <w:numId w:val="14"/>
        </w:numPr>
        <w:tabs>
          <w:tab w:val="left" w:pos="993"/>
        </w:tabs>
        <w:spacing w:before="0" w:beforeAutospacing="0" w:after="0" w:afterAutospacing="0"/>
        <w:ind w:left="1077" w:hanging="357"/>
        <w:jc w:val="both"/>
      </w:pPr>
      <w:r>
        <w:rPr>
          <w:sz w:val="22"/>
          <w:szCs w:val="22"/>
        </w:rPr>
        <w:t xml:space="preserve">O </w:t>
      </w:r>
      <w:r>
        <w:rPr>
          <w:rStyle w:val="52"/>
          <w:color w:val="000000"/>
          <w:sz w:val="22"/>
          <w:szCs w:val="22"/>
        </w:rPr>
        <w:t>Termo de Referência</w:t>
      </w:r>
      <w:r>
        <w:rPr>
          <w:sz w:val="22"/>
          <w:szCs w:val="22"/>
        </w:rPr>
        <w:t>;</w:t>
      </w:r>
    </w:p>
    <w:p w14:paraId="0B87C17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Edital do  Pregão</w:t>
      </w:r>
      <w:r>
        <w:rPr>
          <w:rFonts w:hint="default"/>
          <w:sz w:val="22"/>
          <w:szCs w:val="22"/>
          <w:lang w:val="pt-BR"/>
        </w:rPr>
        <w:t xml:space="preserve">Eletronico </w:t>
      </w:r>
      <w:r>
        <w:rPr>
          <w:sz w:val="22"/>
          <w:szCs w:val="22"/>
          <w:lang w:val="pt-BR"/>
        </w:rPr>
        <w:t xml:space="preserve"> nº 0</w:t>
      </w:r>
      <w:r>
        <w:rPr>
          <w:rFonts w:hint="default"/>
          <w:sz w:val="22"/>
          <w:szCs w:val="22"/>
          <w:lang w:val="pt-BR"/>
        </w:rPr>
        <w:t>13</w:t>
      </w:r>
      <w:r>
        <w:rPr>
          <w:sz w:val="22"/>
          <w:szCs w:val="22"/>
          <w:lang w:val="pt-BR"/>
        </w:rPr>
        <w:t>/2024</w:t>
      </w:r>
      <w:r>
        <w:rPr>
          <w:rFonts w:eastAsiaTheme="minorHAnsi" w:cstheme="minorBidi"/>
          <w:color w:val="000000"/>
          <w:sz w:val="22"/>
          <w:szCs w:val="22"/>
          <w:shd w:val="clear" w:fill="auto"/>
        </w:rPr>
        <w:t>;</w:t>
      </w:r>
    </w:p>
    <w:p w14:paraId="5E257C2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14:paraId="4FF0D4B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14:paraId="66DE840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14:paraId="4D3F8089">
      <w:pPr>
        <w:pStyle w:val="32"/>
        <w:numPr>
          <w:ilvl w:val="0"/>
          <w:numId w:val="0"/>
        </w:numPr>
        <w:tabs>
          <w:tab w:val="left" w:pos="993"/>
        </w:tabs>
        <w:spacing w:before="0" w:beforeAutospacing="0" w:after="0" w:afterAutospacing="0"/>
        <w:ind w:left="1080" w:firstLine="0"/>
        <w:jc w:val="both"/>
        <w:rPr>
          <w:rFonts w:ascii="Times New Roman" w:hAnsi="Times New Roman"/>
          <w:sz w:val="22"/>
          <w:szCs w:val="22"/>
        </w:rPr>
      </w:pPr>
    </w:p>
    <w:p w14:paraId="6E9D02AF">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VIGÊNCIA E PRORROGAÇÃO</w:t>
      </w:r>
    </w:p>
    <w:p w14:paraId="4CAD7B4E">
      <w:pPr>
        <w:pStyle w:val="32"/>
        <w:numPr>
          <w:ilvl w:val="1"/>
          <w:numId w:val="14"/>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61"/>
          <w:sz w:val="22"/>
          <w:szCs w:val="22"/>
        </w:rPr>
        <w:instrText xml:space="preserve"> HYPERLINK "http://www.planalto.gov.br/ccivil_03/_ato2019-2022/2021/lei/L14133.htm" \l "art111"</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 ressalvadas as providências cabíveis no caso de culpa da Contratada, previstas neste instrumento.</w:t>
      </w:r>
    </w:p>
    <w:p w14:paraId="09377A1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14:paraId="665C80D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14:paraId="33AC0EE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469C520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2646E7AC">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851190B">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bookmarkStart w:id="81" w:name="_Hlk114497502"/>
      <w:bookmarkEnd w:id="81"/>
      <w:bookmarkStart w:id="82" w:name="_Hlk114497577"/>
      <w:bookmarkEnd w:id="82"/>
      <w:r>
        <w:rPr>
          <w:rStyle w:val="16"/>
          <w:color w:val="000000"/>
          <w:sz w:val="22"/>
          <w:szCs w:val="22"/>
        </w:rPr>
        <w:t>LEGISLAÇÃO APLICÁVEL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 da Lei Federal nº 14.133, de 2021)</w:t>
      </w:r>
      <w:r>
        <w:rPr>
          <w:rStyle w:val="61"/>
          <w:sz w:val="22"/>
          <w:szCs w:val="22"/>
        </w:rPr>
        <w:fldChar w:fldCharType="end"/>
      </w:r>
    </w:p>
    <w:p w14:paraId="5783F689">
      <w:pPr>
        <w:pStyle w:val="32"/>
        <w:numPr>
          <w:ilvl w:val="1"/>
          <w:numId w:val="14"/>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e, subsidiariamente, às seguintes leis:</w:t>
      </w:r>
    </w:p>
    <w:p w14:paraId="3267DFEF">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61"/>
          <w:sz w:val="22"/>
          <w:szCs w:val="22"/>
        </w:rPr>
        <w:t>Lei Complementar Federal nº 123, de 2006</w:t>
      </w:r>
      <w:r>
        <w:rPr>
          <w:rStyle w:val="61"/>
          <w:sz w:val="22"/>
          <w:szCs w:val="22"/>
        </w:rPr>
        <w:fldChar w:fldCharType="end"/>
      </w:r>
      <w:r>
        <w:rPr>
          <w:sz w:val="22"/>
          <w:szCs w:val="22"/>
        </w:rPr>
        <w:t xml:space="preserve"> (Estatuto Nacional da Microempresa e Pequena Empresa);</w:t>
      </w:r>
    </w:p>
    <w:p w14:paraId="643C040F">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61"/>
          <w:sz w:val="22"/>
          <w:szCs w:val="22"/>
        </w:rPr>
        <w:t>Lei Federal nº 10.406, de 2002</w:t>
      </w:r>
      <w:r>
        <w:rPr>
          <w:rStyle w:val="61"/>
          <w:sz w:val="22"/>
          <w:szCs w:val="22"/>
        </w:rPr>
        <w:fldChar w:fldCharType="end"/>
      </w:r>
      <w:r>
        <w:rPr>
          <w:sz w:val="22"/>
          <w:szCs w:val="22"/>
        </w:rPr>
        <w:t xml:space="preserve"> (Código Civil);</w:t>
      </w:r>
    </w:p>
    <w:p w14:paraId="2A04ACA4">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61"/>
          <w:sz w:val="22"/>
          <w:szCs w:val="22"/>
        </w:rPr>
        <w:t>Lei Federal nº 8.078, de 1990</w:t>
      </w:r>
      <w:r>
        <w:rPr>
          <w:rStyle w:val="61"/>
          <w:sz w:val="22"/>
          <w:szCs w:val="22"/>
        </w:rPr>
        <w:fldChar w:fldCharType="end"/>
      </w:r>
      <w:r>
        <w:rPr>
          <w:sz w:val="22"/>
          <w:szCs w:val="22"/>
        </w:rPr>
        <w:t xml:space="preserve"> (Código de Defesa do Consumidor);</w:t>
      </w:r>
    </w:p>
    <w:p w14:paraId="7A67C57A">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14:paraId="29EB4602">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61"/>
          <w:sz w:val="22"/>
          <w:szCs w:val="22"/>
        </w:rPr>
        <w:t>Lei Federal nº 12.527, de 2011</w:t>
      </w:r>
      <w:r>
        <w:rPr>
          <w:rStyle w:val="61"/>
          <w:sz w:val="22"/>
          <w:szCs w:val="22"/>
        </w:rPr>
        <w:fldChar w:fldCharType="end"/>
      </w:r>
      <w:r>
        <w:rPr>
          <w:sz w:val="22"/>
          <w:szCs w:val="22"/>
        </w:rPr>
        <w:t xml:space="preserve"> (Lei de Acesso à Informação);</w:t>
      </w:r>
    </w:p>
    <w:p w14:paraId="47CE38FF">
      <w:pPr>
        <w:pStyle w:val="32"/>
        <w:numPr>
          <w:ilvl w:val="2"/>
          <w:numId w:val="14"/>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(Lei Geral de Proteção de Dados - LGPD).</w:t>
      </w:r>
    </w:p>
    <w:p w14:paraId="4A7CF1D0">
      <w:pPr>
        <w:pStyle w:val="32"/>
        <w:numPr>
          <w:ilvl w:val="0"/>
          <w:numId w:val="0"/>
        </w:numPr>
        <w:tabs>
          <w:tab w:val="left" w:pos="993"/>
        </w:tabs>
        <w:spacing w:before="0" w:beforeAutospacing="0" w:after="0" w:afterAutospacing="0"/>
        <w:ind w:left="720" w:leftChars="0"/>
        <w:jc w:val="both"/>
      </w:pPr>
    </w:p>
    <w:p w14:paraId="3732142A">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REGIME DE EXECUÇÃO </w:t>
      </w:r>
      <w:r>
        <w:rPr>
          <w:sz w:val="22"/>
          <w:szCs w:val="22"/>
        </w:rPr>
        <w:t>(</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IV, da Lei Federal nº 14.133, de 2021</w:t>
      </w:r>
      <w:r>
        <w:rPr>
          <w:rStyle w:val="61"/>
          <w:sz w:val="22"/>
          <w:szCs w:val="22"/>
        </w:rPr>
        <w:fldChar w:fldCharType="end"/>
      </w:r>
      <w:r>
        <w:rPr>
          <w:sz w:val="22"/>
          <w:szCs w:val="22"/>
        </w:rPr>
        <w:t>)</w:t>
      </w:r>
    </w:p>
    <w:p w14:paraId="4E4F8B6D">
      <w:pPr>
        <w:pStyle w:val="32"/>
        <w:numPr>
          <w:ilvl w:val="1"/>
          <w:numId w:val="14"/>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61"/>
          <w:sz w:val="22"/>
          <w:szCs w:val="22"/>
        </w:rPr>
        <w:instrText xml:space="preserve"> HYPERLINK "http://www.planalto.gov.br/ccivil_03/_ato2019-2022/2021/lei/L14133.htm" \l "art46"</w:instrText>
      </w:r>
      <w:r>
        <w:rPr>
          <w:rStyle w:val="61"/>
          <w:sz w:val="22"/>
          <w:szCs w:val="22"/>
        </w:rPr>
        <w:fldChar w:fldCharType="separate"/>
      </w:r>
      <w:r>
        <w:rPr>
          <w:rStyle w:val="61"/>
          <w:sz w:val="22"/>
          <w:szCs w:val="22"/>
        </w:rPr>
        <w:t>art. 46, II, da Lei Federal nº 14.133, de 2021</w:t>
      </w:r>
      <w:r>
        <w:rPr>
          <w:rStyle w:val="61"/>
          <w:sz w:val="22"/>
          <w:szCs w:val="22"/>
        </w:rPr>
        <w:fldChar w:fldCharType="end"/>
      </w:r>
      <w:r>
        <w:rPr>
          <w:sz w:val="22"/>
          <w:szCs w:val="22"/>
        </w:rPr>
        <w:t>).</w:t>
      </w:r>
    </w:p>
    <w:p w14:paraId="368E3839">
      <w:pPr>
        <w:pStyle w:val="32"/>
        <w:numPr>
          <w:ilvl w:val="0"/>
          <w:numId w:val="0"/>
        </w:numPr>
        <w:tabs>
          <w:tab w:val="left" w:pos="993"/>
        </w:tabs>
        <w:spacing w:before="0" w:beforeAutospacing="0" w:after="0" w:afterAutospacing="0"/>
        <w:ind w:left="567" w:leftChars="0"/>
        <w:jc w:val="both"/>
      </w:pPr>
    </w:p>
    <w:p w14:paraId="3E94B7A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SUBCONTRATAÇÃO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"art122"</w:instrText>
      </w:r>
      <w:r>
        <w:rPr>
          <w:rStyle w:val="61"/>
          <w:sz w:val="22"/>
          <w:szCs w:val="22"/>
        </w:rPr>
        <w:fldChar w:fldCharType="separate"/>
      </w:r>
      <w:r>
        <w:rPr>
          <w:rStyle w:val="61"/>
          <w:sz w:val="22"/>
          <w:szCs w:val="22"/>
        </w:rPr>
        <w:t>art. 122 da Lei Federal nº 14.133, de 2021</w:t>
      </w:r>
      <w:r>
        <w:rPr>
          <w:rStyle w:val="61"/>
          <w:sz w:val="22"/>
          <w:szCs w:val="22"/>
        </w:rPr>
        <w:fldChar w:fldCharType="end"/>
      </w:r>
      <w:r>
        <w:rPr>
          <w:rStyle w:val="16"/>
          <w:b w:val="0"/>
          <w:bCs w:val="0"/>
          <w:color w:val="000000"/>
          <w:sz w:val="22"/>
          <w:szCs w:val="22"/>
        </w:rPr>
        <w:t>)</w:t>
      </w:r>
    </w:p>
    <w:p w14:paraId="7029F944">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14:paraId="5C76D77B">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4EEACF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DO CONTRATANTE</w:t>
      </w:r>
      <w:r>
        <w:rPr>
          <w:sz w:val="22"/>
          <w:szCs w:val="22"/>
        </w:rPr>
        <w:t xml:space="preserve">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X, XI e XIV, da Lei Federal nº 14.133, de 2021</w:t>
      </w:r>
      <w:r>
        <w:rPr>
          <w:rStyle w:val="61"/>
          <w:sz w:val="22"/>
          <w:szCs w:val="22"/>
        </w:rPr>
        <w:fldChar w:fldCharType="end"/>
      </w:r>
      <w:r>
        <w:rPr>
          <w:sz w:val="22"/>
          <w:szCs w:val="22"/>
        </w:rPr>
        <w:t>)</w:t>
      </w:r>
    </w:p>
    <w:p w14:paraId="04F238D1">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14:paraId="4C92C4E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14:paraId="796C7815">
      <w:pPr>
        <w:pStyle w:val="32"/>
        <w:numPr>
          <w:ilvl w:val="2"/>
          <w:numId w:val="14"/>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52"/>
          <w:color w:val="000000"/>
          <w:sz w:val="22"/>
          <w:szCs w:val="22"/>
        </w:rPr>
        <w:t>Termo de Referência</w:t>
      </w:r>
      <w:r>
        <w:rPr>
          <w:color w:val="000000"/>
          <w:sz w:val="22"/>
          <w:szCs w:val="22"/>
        </w:rPr>
        <w:t>;</w:t>
      </w:r>
    </w:p>
    <w:p w14:paraId="0A826F4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14:paraId="08DCCE60">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14:paraId="4234B36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14:paraId="5450C84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14:paraId="7CC5252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14:paraId="21DE05A0">
      <w:pPr>
        <w:pStyle w:val="32"/>
        <w:numPr>
          <w:ilvl w:val="2"/>
          <w:numId w:val="14"/>
        </w:numPr>
        <w:tabs>
          <w:tab w:val="left" w:pos="993"/>
        </w:tabs>
        <w:spacing w:before="0" w:beforeAutospacing="0" w:after="0" w:afterAutospacing="0"/>
        <w:jc w:val="both"/>
      </w:pPr>
      <w:r>
        <w:rPr>
          <w:sz w:val="22"/>
          <w:szCs w:val="22"/>
        </w:rPr>
        <w:t xml:space="preserve">receber o objeto no prazo e condições estabelecidas no </w:t>
      </w:r>
      <w:r>
        <w:rPr>
          <w:rStyle w:val="52"/>
          <w:color w:val="000000"/>
          <w:sz w:val="22"/>
          <w:szCs w:val="22"/>
        </w:rPr>
        <w:t>Termo de Referência</w:t>
      </w:r>
      <w:r>
        <w:rPr>
          <w:sz w:val="22"/>
          <w:szCs w:val="22"/>
        </w:rPr>
        <w:t>;</w:t>
      </w:r>
    </w:p>
    <w:p w14:paraId="5B1C2759">
      <w:pPr>
        <w:pStyle w:val="32"/>
        <w:numPr>
          <w:ilvl w:val="2"/>
          <w:numId w:val="14"/>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52"/>
          <w:color w:val="000000"/>
          <w:sz w:val="22"/>
          <w:szCs w:val="22"/>
        </w:rPr>
        <w:t>Termo de Referência</w:t>
      </w:r>
      <w:r>
        <w:rPr>
          <w:sz w:val="22"/>
          <w:szCs w:val="22"/>
        </w:rPr>
        <w:t>, salvo no caso de parcela onde houver controvérsia.</w:t>
      </w:r>
    </w:p>
    <w:p w14:paraId="4C4A53FD">
      <w:pPr>
        <w:pStyle w:val="32"/>
        <w:numPr>
          <w:ilvl w:val="1"/>
          <w:numId w:val="14"/>
        </w:numPr>
        <w:tabs>
          <w:tab w:val="left" w:pos="993"/>
        </w:tabs>
        <w:spacing w:before="0" w:beforeAutospacing="0" w:after="0" w:afterAutospacing="0"/>
        <w:ind w:left="0" w:firstLine="567"/>
        <w:jc w:val="both"/>
      </w:pPr>
      <w:bookmarkStart w:id="83" w:name="_Hlk114499841"/>
      <w:bookmarkEnd w:id="83"/>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61"/>
          <w:sz w:val="22"/>
          <w:szCs w:val="22"/>
        </w:rPr>
        <w:instrText xml:space="preserve"> HYPERLINK "https://www.planalto.gov.br/ccivil_03/_ato2019-2022/2021/lei/l14133.htm" \l "art123"</w:instrText>
      </w:r>
      <w:r>
        <w:rPr>
          <w:rStyle w:val="61"/>
          <w:sz w:val="22"/>
          <w:szCs w:val="22"/>
        </w:rPr>
        <w:fldChar w:fldCharType="separate"/>
      </w:r>
      <w:r>
        <w:rPr>
          <w:rStyle w:val="61"/>
          <w:sz w:val="22"/>
          <w:szCs w:val="22"/>
        </w:rPr>
        <w:t>art. 123 da Lei Federal nº 14.133, de 2021</w:t>
      </w:r>
      <w:r>
        <w:rPr>
          <w:rStyle w:val="61"/>
          <w:sz w:val="22"/>
          <w:szCs w:val="22"/>
        </w:rPr>
        <w:fldChar w:fldCharType="end"/>
      </w:r>
      <w:r>
        <w:rPr>
          <w:color w:val="000000"/>
          <w:sz w:val="22"/>
          <w:szCs w:val="22"/>
        </w:rPr>
        <w:t>)</w:t>
      </w:r>
    </w:p>
    <w:p w14:paraId="2D5D895A">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5DA2E858">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CDA7756">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DA CONTRATADA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 XVI e XVII</w:t>
      </w:r>
      <w:r>
        <w:rPr>
          <w:rStyle w:val="61"/>
          <w:sz w:val="22"/>
          <w:szCs w:val="22"/>
        </w:rPr>
        <w:fldChar w:fldCharType="end"/>
      </w:r>
      <w:r>
        <w:rPr>
          <w:rStyle w:val="61"/>
          <w:sz w:val="22"/>
          <w:szCs w:val="22"/>
        </w:rPr>
        <w:t>, da Lei Federal nº 14.133, de 2021</w:t>
      </w:r>
      <w:r>
        <w:rPr>
          <w:sz w:val="22"/>
          <w:szCs w:val="22"/>
        </w:rPr>
        <w:t>)</w:t>
      </w:r>
    </w:p>
    <w:p w14:paraId="3BE188B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14:paraId="58BE6FC1">
      <w:pPr>
        <w:pStyle w:val="32"/>
        <w:numPr>
          <w:ilvl w:val="2"/>
          <w:numId w:val="14"/>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61"/>
          <w:sz w:val="22"/>
          <w:szCs w:val="22"/>
        </w:rPr>
        <w:instrText xml:space="preserve"> HYPERLINK "https://www.planalto.gov.br/ccivil_03/_ato2019-2022/2021/lei/l14133.htm" \l "art118"</w:instrText>
      </w:r>
      <w:r>
        <w:rPr>
          <w:rStyle w:val="61"/>
          <w:sz w:val="22"/>
          <w:szCs w:val="22"/>
        </w:rPr>
        <w:fldChar w:fldCharType="separate"/>
      </w:r>
      <w:r>
        <w:rPr>
          <w:rStyle w:val="61"/>
          <w:sz w:val="22"/>
          <w:szCs w:val="22"/>
        </w:rPr>
        <w:t>art. 118 da Lei Federal nº 14.133, de 2021</w:t>
      </w:r>
      <w:r>
        <w:rPr>
          <w:rStyle w:val="61"/>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14:paraId="1383F2C6">
      <w:pPr>
        <w:pStyle w:val="32"/>
        <w:numPr>
          <w:ilvl w:val="2"/>
          <w:numId w:val="14"/>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w:t>
      </w:r>
      <w:r>
        <w:rPr>
          <w:rStyle w:val="61"/>
          <w:sz w:val="22"/>
          <w:szCs w:val="22"/>
        </w:rPr>
        <w:fldChar w:fldCharType="end"/>
      </w:r>
      <w:r>
        <w:rPr>
          <w:rStyle w:val="61"/>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14:paraId="09B18466">
      <w:pPr>
        <w:pStyle w:val="32"/>
        <w:numPr>
          <w:ilvl w:val="2"/>
          <w:numId w:val="14"/>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2"/>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14:paraId="51C6483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14:paraId="6EDC01B0">
      <w:pPr>
        <w:pStyle w:val="32"/>
        <w:numPr>
          <w:ilvl w:val="2"/>
          <w:numId w:val="14"/>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61"/>
          <w:sz w:val="22"/>
          <w:szCs w:val="22"/>
        </w:rPr>
        <w:t>Código de Defesa do Consumidor (Lei Federal nº 8.078, de 1990</w:t>
      </w:r>
      <w:r>
        <w:rPr>
          <w:rStyle w:val="61"/>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568191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14:paraId="6DB66692">
      <w:pPr>
        <w:pStyle w:val="32"/>
        <w:numPr>
          <w:ilvl w:val="2"/>
          <w:numId w:val="14"/>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61"/>
          <w:sz w:val="22"/>
          <w:szCs w:val="22"/>
        </w:rPr>
        <w:instrText xml:space="preserve"> HYPERLINK "http://www.planalto.gov.br/ccivil_03/_ato2019-2022/2021/lei/L14133.htm" \l "art48"</w:instrText>
      </w:r>
      <w:r>
        <w:rPr>
          <w:rStyle w:val="61"/>
          <w:sz w:val="22"/>
          <w:szCs w:val="22"/>
        </w:rPr>
        <w:fldChar w:fldCharType="separate"/>
      </w:r>
      <w:r>
        <w:rPr>
          <w:rStyle w:val="61"/>
          <w:sz w:val="22"/>
          <w:szCs w:val="22"/>
        </w:rPr>
        <w:t>artigo 48, parágrafo único, da Lei Federal nº 14.133, de 2021</w:t>
      </w:r>
      <w:r>
        <w:rPr>
          <w:rStyle w:val="61"/>
          <w:sz w:val="22"/>
          <w:szCs w:val="22"/>
        </w:rPr>
        <w:fldChar w:fldCharType="end"/>
      </w:r>
      <w:r>
        <w:rPr>
          <w:sz w:val="22"/>
          <w:szCs w:val="22"/>
        </w:rPr>
        <w:t>;</w:t>
      </w:r>
    </w:p>
    <w:p w14:paraId="7E7837D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14:paraId="2973714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80D8B2E">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14:paraId="2AF2A677">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14:paraId="57B261FA">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2F58AE75">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14:paraId="0E509C7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14:paraId="7B64152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FE1B91">
      <w:pPr>
        <w:pStyle w:val="32"/>
        <w:numPr>
          <w:ilvl w:val="2"/>
          <w:numId w:val="14"/>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61"/>
          <w:sz w:val="22"/>
          <w:szCs w:val="22"/>
        </w:rPr>
        <w:instrText xml:space="preserve"> HYPERLINK "http://www.planalto.gov.br/ccivil_03/_ato2019-2022/2021/lei/L14133.htm" \l "art116"</w:instrText>
      </w:r>
      <w:r>
        <w:rPr>
          <w:rStyle w:val="61"/>
          <w:sz w:val="22"/>
          <w:szCs w:val="22"/>
        </w:rPr>
        <w:fldChar w:fldCharType="separate"/>
      </w:r>
      <w:r>
        <w:rPr>
          <w:rStyle w:val="61"/>
          <w:sz w:val="22"/>
          <w:szCs w:val="22"/>
        </w:rPr>
        <w:t>art. 116</w:t>
      </w:r>
      <w:r>
        <w:rPr>
          <w:rStyle w:val="61"/>
          <w:sz w:val="22"/>
          <w:szCs w:val="22"/>
        </w:rPr>
        <w:fldChar w:fldCharType="end"/>
      </w:r>
      <w:r>
        <w:rPr>
          <w:rStyle w:val="61"/>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14:paraId="78443E2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14:paraId="4D14026E">
      <w:pPr>
        <w:pStyle w:val="32"/>
        <w:numPr>
          <w:ilvl w:val="2"/>
          <w:numId w:val="14"/>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 124, II, d, da Lei Federal nº 14.133, de 2021</w:t>
      </w:r>
      <w:r>
        <w:rPr>
          <w:rStyle w:val="61"/>
          <w:sz w:val="22"/>
          <w:szCs w:val="22"/>
        </w:rPr>
        <w:fldChar w:fldCharType="end"/>
      </w:r>
      <w:r>
        <w:rPr>
          <w:sz w:val="22"/>
          <w:szCs w:val="22"/>
        </w:rPr>
        <w:t>;</w:t>
      </w:r>
    </w:p>
    <w:p w14:paraId="58761B56">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14:paraId="4C3F6E4F">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14:paraId="5DD13E7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14:paraId="5BC4140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14:paraId="155129FE">
      <w:pPr>
        <w:pStyle w:val="32"/>
        <w:numPr>
          <w:ilvl w:val="2"/>
          <w:numId w:val="14"/>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61"/>
          <w:sz w:val="22"/>
          <w:szCs w:val="22"/>
        </w:rPr>
        <w:instrText xml:space="preserve"> HYPERLINK "https://www.planalto.gov.br/ccivil_03/_ato2019-2022/2021/lei/l14133.htm" \l "art137"</w:instrText>
      </w:r>
      <w:r>
        <w:rPr>
          <w:rStyle w:val="61"/>
          <w:sz w:val="22"/>
          <w:szCs w:val="22"/>
        </w:rPr>
        <w:fldChar w:fldCharType="separate"/>
      </w:r>
      <w:r>
        <w:rPr>
          <w:rStyle w:val="61"/>
          <w:sz w:val="22"/>
          <w:szCs w:val="22"/>
        </w:rPr>
        <w:t>art. 137, II, da Lei Federal nº 14.133, de 2021</w:t>
      </w:r>
      <w:r>
        <w:rPr>
          <w:rStyle w:val="61"/>
          <w:sz w:val="22"/>
          <w:szCs w:val="22"/>
        </w:rPr>
        <w:fldChar w:fldCharType="end"/>
      </w:r>
      <w:r>
        <w:rPr>
          <w:color w:val="000000"/>
          <w:sz w:val="22"/>
          <w:szCs w:val="22"/>
        </w:rPr>
        <w:t>) e prestar todo esclarecimento ou informação por eles solicitados;</w:t>
      </w:r>
    </w:p>
    <w:p w14:paraId="2257241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D9BA2E9">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14:paraId="615EAE8C">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7B646BB">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14A1FDC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14:paraId="4A3A6518">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14:paraId="7760F029">
      <w:pPr>
        <w:pStyle w:val="32"/>
        <w:numPr>
          <w:ilvl w:val="2"/>
          <w:numId w:val="14"/>
        </w:numPr>
        <w:tabs>
          <w:tab w:val="left" w:pos="993"/>
        </w:tabs>
        <w:spacing w:before="0" w:beforeAutospacing="0" w:after="0" w:afterAutospacing="0"/>
        <w:jc w:val="both"/>
        <w:rPr>
          <w:rFonts w:ascii="Times New Roman" w:hAnsi="Times New Roman"/>
          <w:sz w:val="22"/>
          <w:szCs w:val="22"/>
        </w:rPr>
      </w:pPr>
      <w:bookmarkStart w:id="84"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84"/>
    </w:p>
    <w:p w14:paraId="7D3DD470">
      <w:pPr>
        <w:pStyle w:val="32"/>
        <w:numPr>
          <w:ilvl w:val="2"/>
          <w:numId w:val="14"/>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color w:val="000000"/>
          <w:sz w:val="22"/>
          <w:szCs w:val="22"/>
        </w:rPr>
        <w:t>, adotando medidas eficazes para proteção de dados pessoais a que tenha acesso por força da execução deste contrato;</w:t>
      </w:r>
    </w:p>
    <w:p w14:paraId="0485D2FC">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E467F40">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14:paraId="048BA832">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14:paraId="188512D8">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14:paraId="0C1670B3">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14:paraId="75799C7D">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14:paraId="0F22A870">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14:paraId="2FFA2A4D">
      <w:pPr>
        <w:pStyle w:val="32"/>
        <w:numPr>
          <w:ilvl w:val="2"/>
          <w:numId w:val="14"/>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14:paraId="07CE0203">
      <w:pPr>
        <w:pStyle w:val="32"/>
        <w:numPr>
          <w:ilvl w:val="0"/>
          <w:numId w:val="0"/>
        </w:numPr>
        <w:tabs>
          <w:tab w:val="left" w:pos="993"/>
        </w:tabs>
        <w:spacing w:before="0" w:beforeAutospacing="0" w:after="0" w:afterAutospacing="0"/>
        <w:ind w:left="720" w:leftChars="0"/>
        <w:jc w:val="both"/>
        <w:rPr>
          <w:rFonts w:ascii="Times New Roman" w:hAnsi="Times New Roman"/>
          <w:sz w:val="22"/>
          <w:szCs w:val="22"/>
        </w:rPr>
      </w:pPr>
    </w:p>
    <w:p w14:paraId="7439CF8E">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OBRIGAÇÕES PERTINENTES À LGPD </w:t>
      </w:r>
      <w:r>
        <w:rPr>
          <w:rStyle w:val="16"/>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rStyle w:val="16"/>
          <w:b w:val="0"/>
          <w:bCs w:val="0"/>
          <w:color w:val="000000"/>
          <w:sz w:val="22"/>
          <w:szCs w:val="22"/>
        </w:rPr>
        <w:t>)</w:t>
      </w:r>
    </w:p>
    <w:p w14:paraId="7516A166">
      <w:pPr>
        <w:pStyle w:val="32"/>
        <w:numPr>
          <w:ilvl w:val="1"/>
          <w:numId w:val="14"/>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61"/>
          <w:sz w:val="22"/>
          <w:szCs w:val="22"/>
        </w:rPr>
        <w:t>Lei Federal nº 13.709, de 2018 (LGPD)</w:t>
      </w:r>
      <w:r>
        <w:rPr>
          <w:rStyle w:val="61"/>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54EBCD">
      <w:pPr>
        <w:pStyle w:val="32"/>
        <w:numPr>
          <w:ilvl w:val="1"/>
          <w:numId w:val="14"/>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sz w:val="22"/>
          <w:szCs w:val="22"/>
        </w:rPr>
        <w:t>.</w:t>
      </w:r>
    </w:p>
    <w:p w14:paraId="0B7BFF1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14:paraId="3DACFE94">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14:paraId="16BD7814">
      <w:pPr>
        <w:pStyle w:val="32"/>
        <w:numPr>
          <w:ilvl w:val="1"/>
          <w:numId w:val="14"/>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61"/>
          <w:sz w:val="22"/>
          <w:szCs w:val="22"/>
        </w:rPr>
        <w:instrText xml:space="preserve"> HYPERLINK "https://www.planalto.gov.br/ccivil_03/_ato2015-2018/2018/lei/l13709.htm" \l "art15"</w:instrText>
      </w:r>
      <w:r>
        <w:rPr>
          <w:rStyle w:val="61"/>
          <w:sz w:val="22"/>
          <w:szCs w:val="22"/>
        </w:rPr>
        <w:fldChar w:fldCharType="separate"/>
      </w:r>
      <w:r>
        <w:rPr>
          <w:rStyle w:val="61"/>
          <w:sz w:val="22"/>
          <w:szCs w:val="22"/>
        </w:rPr>
        <w:t>art. 15 da Lei Federal nº 13.709, de 2018</w:t>
      </w:r>
      <w:r>
        <w:rPr>
          <w:rStyle w:val="61"/>
          <w:sz w:val="22"/>
          <w:szCs w:val="22"/>
        </w:rPr>
        <w:fldChar w:fldCharType="end"/>
      </w:r>
      <w:r>
        <w:rPr>
          <w:sz w:val="22"/>
          <w:szCs w:val="22"/>
        </w:rPr>
        <w:t xml:space="preserve">, é dever da Contratada eliminá-los, com exceção das hipóteses do </w:t>
      </w:r>
      <w: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da Lei Federal nº 13.709, de 2018</w:t>
      </w:r>
      <w:r>
        <w:rPr>
          <w:rStyle w:val="61"/>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54B25E79">
      <w:pPr>
        <w:pStyle w:val="32"/>
        <w:numPr>
          <w:ilvl w:val="1"/>
          <w:numId w:val="14"/>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w:t>
      </w:r>
    </w:p>
    <w:p w14:paraId="68BBAEB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14:paraId="313DF84F">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14:paraId="6AA4F9E6">
      <w:pPr>
        <w:pStyle w:val="32"/>
        <w:numPr>
          <w:ilvl w:val="1"/>
          <w:numId w:val="14"/>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inclusive quanto a eventual descarte realizado. </w:t>
      </w:r>
    </w:p>
    <w:p w14:paraId="092F9CED">
      <w:pPr>
        <w:pStyle w:val="32"/>
        <w:numPr>
          <w:ilvl w:val="1"/>
          <w:numId w:val="14"/>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61"/>
          <w:sz w:val="22"/>
          <w:szCs w:val="22"/>
        </w:rPr>
        <w:t>art. 37 da Lei Federal nº 13.709, de 2018</w:t>
      </w:r>
      <w:r>
        <w:rPr>
          <w:rStyle w:val="61"/>
          <w:sz w:val="22"/>
          <w:szCs w:val="22"/>
        </w:rPr>
        <w:fldChar w:fldCharType="end"/>
      </w:r>
      <w:r>
        <w:rPr>
          <w:sz w:val="22"/>
          <w:szCs w:val="22"/>
        </w:rPr>
        <w:t>), com cada acesso, data, horário e registro da finalidade, para efeito de responsabilização, em caso de eventuais omissões, desvios ou abusos.</w:t>
      </w:r>
    </w:p>
    <w:p w14:paraId="2A7EC43E">
      <w:pPr>
        <w:pStyle w:val="32"/>
        <w:numPr>
          <w:ilvl w:val="1"/>
          <w:numId w:val="14"/>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14:paraId="4E416892">
      <w:pPr>
        <w:pStyle w:val="32"/>
        <w:numPr>
          <w:ilvl w:val="1"/>
          <w:numId w:val="14"/>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14:paraId="62E254CB">
      <w:pPr>
        <w:pStyle w:val="32"/>
        <w:numPr>
          <w:ilvl w:val="0"/>
          <w:numId w:val="0"/>
        </w:numPr>
        <w:tabs>
          <w:tab w:val="left" w:pos="993"/>
        </w:tabs>
        <w:spacing w:before="0" w:beforeAutospacing="0" w:after="0" w:afterAutospacing="0"/>
        <w:ind w:left="567" w:leftChars="0"/>
        <w:jc w:val="both"/>
      </w:pPr>
    </w:p>
    <w:p w14:paraId="59BD39D4">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PRAZOS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 da Lei Federal nº 14.133, de 2021</w:t>
      </w:r>
      <w:r>
        <w:rPr>
          <w:rStyle w:val="61"/>
          <w:sz w:val="22"/>
          <w:szCs w:val="22"/>
        </w:rPr>
        <w:fldChar w:fldCharType="end"/>
      </w:r>
      <w:r>
        <w:rPr>
          <w:rStyle w:val="16"/>
          <w:b w:val="0"/>
          <w:bCs w:val="0"/>
          <w:color w:val="000000"/>
          <w:sz w:val="22"/>
          <w:szCs w:val="22"/>
        </w:rPr>
        <w:t>)</w:t>
      </w:r>
    </w:p>
    <w:p w14:paraId="5C25A4A0">
      <w:pPr>
        <w:pStyle w:val="32"/>
        <w:numPr>
          <w:ilvl w:val="1"/>
          <w:numId w:val="14"/>
        </w:numPr>
        <w:tabs>
          <w:tab w:val="left" w:pos="993"/>
        </w:tabs>
        <w:spacing w:before="0" w:beforeAutospacing="0" w:after="0" w:afterAutospacing="0"/>
        <w:ind w:left="0" w:firstLine="567"/>
        <w:jc w:val="both"/>
      </w:pPr>
      <w:r>
        <w:rPr>
          <w:color w:val="000000"/>
          <w:sz w:val="22"/>
          <w:szCs w:val="22"/>
        </w:rPr>
        <w:t>A</w:t>
      </w:r>
      <w:r>
        <w:rPr>
          <w:rFonts w:hint="default"/>
          <w:color w:val="000000"/>
          <w:sz w:val="22"/>
          <w:szCs w:val="22"/>
          <w:lang w:val="pt-BR"/>
        </w:rPr>
        <w:t xml:space="preserve"> </w:t>
      </w:r>
      <w:r>
        <w:rPr>
          <w:color w:val="000000"/>
          <w:sz w:val="22"/>
          <w:szCs w:val="22"/>
        </w:rPr>
        <w:t xml:space="preserve">execução dos serviços </w:t>
      </w:r>
      <w:r>
        <w:rPr>
          <w:rFonts w:hint="default"/>
          <w:color w:val="000000"/>
          <w:sz w:val="22"/>
          <w:szCs w:val="22"/>
          <w:lang w:val="pt-BR"/>
        </w:rPr>
        <w:t xml:space="preserve">de </w:t>
      </w:r>
      <w:r>
        <w:rPr>
          <w:rFonts w:hint="default" w:ascii="Times New Roman" w:hAnsi="Times New Roman" w:cs="Times New Roman"/>
          <w:color w:val="000000"/>
          <w:kern w:val="0"/>
          <w:sz w:val="23"/>
          <w:szCs w:val="23"/>
          <w:lang w:val="pt-BR" w:eastAsia="zh-CN" w:bidi="ar"/>
        </w:rPr>
        <w:t xml:space="preserve"> entrega e instalação do produto deve ser de até 30 (trinta) dias úteis a partir da solicitação do Poder Legislativo Municipal devendo ser entregue na Câmara Municipal de Primavera do Leste</w:t>
      </w:r>
      <w:r>
        <w:rPr>
          <w:rFonts w:hint="default" w:cs="Times New Roman"/>
          <w:color w:val="000000"/>
          <w:kern w:val="0"/>
          <w:sz w:val="23"/>
          <w:szCs w:val="23"/>
          <w:lang w:val="pt-BR" w:eastAsia="zh-CN" w:bidi="ar"/>
        </w:rPr>
        <w:t xml:space="preserve"> </w:t>
      </w:r>
      <w:r>
        <w:rPr>
          <w:rFonts w:hint="default"/>
          <w:color w:val="000000"/>
          <w:sz w:val="22"/>
          <w:szCs w:val="22"/>
          <w:lang w:val="pt-BR"/>
        </w:rPr>
        <w:t xml:space="preserve">conforme consta ja estabelecido no </w:t>
      </w:r>
      <w:r>
        <w:rPr>
          <w:rFonts w:hint="default"/>
          <w:b/>
          <w:bCs/>
          <w:color w:val="000000"/>
          <w:sz w:val="22"/>
          <w:szCs w:val="22"/>
          <w:lang w:val="pt-BR"/>
        </w:rPr>
        <w:t>“item 5”</w:t>
      </w:r>
      <w:r>
        <w:rPr>
          <w:rFonts w:hint="default"/>
          <w:color w:val="000000"/>
          <w:sz w:val="22"/>
          <w:szCs w:val="22"/>
          <w:lang w:val="pt-BR"/>
        </w:rPr>
        <w:t xml:space="preserve"> no </w:t>
      </w:r>
      <w:r>
        <w:rPr>
          <w:rFonts w:hint="default"/>
          <w:b/>
          <w:bCs/>
          <w:color w:val="000000"/>
          <w:sz w:val="22"/>
          <w:szCs w:val="22"/>
          <w:lang w:val="pt-BR"/>
        </w:rPr>
        <w:t>Termo de Referencia nº 34/2024</w:t>
      </w:r>
      <w:r>
        <w:rPr>
          <w:rFonts w:hint="default"/>
          <w:color w:val="000000"/>
          <w:sz w:val="22"/>
          <w:szCs w:val="22"/>
          <w:lang w:val="pt-BR"/>
        </w:rPr>
        <w:t>,</w:t>
      </w:r>
      <w:r>
        <w:rPr>
          <w:color w:val="000000"/>
          <w:sz w:val="22"/>
          <w:szCs w:val="22"/>
        </w:rPr>
        <w:t xml:space="preserve"> salvo em caso fortuito ou de força maior (</w:t>
      </w:r>
      <w:r>
        <w:fldChar w:fldCharType="begin"/>
      </w:r>
      <w:r>
        <w:instrText xml:space="preserve"> HYPERLINK "https://www.planalto.gov.br/ccivil_03/leis/2002/l10406compilada.htm" \h </w:instrText>
      </w:r>
      <w:r>
        <w:fldChar w:fldCharType="separate"/>
      </w:r>
      <w:r>
        <w:rPr>
          <w:rStyle w:val="61"/>
          <w:sz w:val="22"/>
          <w:szCs w:val="22"/>
        </w:rPr>
        <w:t>art. 393 da Lei Federal nº 10.406, de 2002</w:t>
      </w:r>
      <w:r>
        <w:rPr>
          <w:rStyle w:val="61"/>
          <w:sz w:val="22"/>
          <w:szCs w:val="22"/>
        </w:rPr>
        <w:fldChar w:fldCharType="end"/>
      </w:r>
      <w:r>
        <w:rPr>
          <w:color w:val="000000"/>
          <w:sz w:val="22"/>
          <w:szCs w:val="22"/>
        </w:rPr>
        <w:t>).</w:t>
      </w:r>
    </w:p>
    <w:p w14:paraId="68A467A0">
      <w:pPr>
        <w:pStyle w:val="32"/>
        <w:numPr>
          <w:ilvl w:val="0"/>
          <w:numId w:val="0"/>
        </w:numPr>
        <w:tabs>
          <w:tab w:val="left" w:pos="993"/>
        </w:tabs>
        <w:spacing w:before="0" w:beforeAutospacing="0" w:after="0" w:afterAutospacing="0"/>
        <w:ind w:left="567" w:leftChars="0"/>
        <w:jc w:val="both"/>
      </w:pPr>
    </w:p>
    <w:p w14:paraId="5D92AEB2">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RECEBIMENTO DO OBJETO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rStyle w:val="16"/>
          <w:b w:val="0"/>
          <w:bCs w:val="0"/>
          <w:color w:val="000000"/>
          <w:sz w:val="22"/>
          <w:szCs w:val="22"/>
        </w:rPr>
        <w:t>)</w:t>
      </w:r>
    </w:p>
    <w:p w14:paraId="0E83BA01">
      <w:pPr>
        <w:pStyle w:val="32"/>
        <w:numPr>
          <w:ilvl w:val="1"/>
          <w:numId w:val="14"/>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2"/>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2"/>
          <w:color w:val="000000"/>
          <w:sz w:val="22"/>
          <w:szCs w:val="22"/>
        </w:rPr>
        <w:t>Termo de Referência</w:t>
      </w:r>
      <w:r>
        <w:rPr>
          <w:color w:val="000000"/>
          <w:sz w:val="22"/>
          <w:szCs w:val="22"/>
        </w:rPr>
        <w:t>.</w:t>
      </w:r>
    </w:p>
    <w:p w14:paraId="0EB7912E">
      <w:pPr>
        <w:pStyle w:val="32"/>
        <w:keepNext w:val="0"/>
        <w:keepLines w:val="0"/>
        <w:pageBreakBefore w:val="0"/>
        <w:widowControl/>
        <w:numPr>
          <w:ilvl w:val="1"/>
          <w:numId w:val="14"/>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rPr>
          <w:color w:val="000000"/>
          <w:sz w:val="22"/>
          <w:szCs w:val="22"/>
        </w:rPr>
      </w:pPr>
      <w:r>
        <w:rPr>
          <w:color w:val="000000"/>
          <w:sz w:val="22"/>
          <w:szCs w:val="22"/>
        </w:rPr>
        <w:t xml:space="preserve"> entrega deverá ocorrer:</w:t>
      </w:r>
    </w:p>
    <w:p w14:paraId="2717CA4B">
      <w:pPr>
        <w:pStyle w:val="49"/>
        <w:keepNext w:val="0"/>
        <w:keepLines w:val="0"/>
        <w:pageBreakBefore w:val="0"/>
        <w:widowControl/>
        <w:numPr>
          <w:ilvl w:val="2"/>
          <w:numId w:val="15"/>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14:paraId="4B15D34B">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14:paraId="2A0E7540">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14:paraId="5EEFE73E">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14:paraId="1F2DEFB8">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14:paraId="7D7BF141">
      <w:pPr>
        <w:pStyle w:val="32"/>
        <w:numPr>
          <w:ilvl w:val="1"/>
          <w:numId w:val="14"/>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52"/>
          <w:color w:val="000000"/>
          <w:sz w:val="22"/>
          <w:szCs w:val="22"/>
        </w:rPr>
        <w:t>Termo de Referência</w:t>
      </w:r>
      <w:r>
        <w:rPr>
          <w:color w:val="000000"/>
          <w:sz w:val="22"/>
          <w:szCs w:val="22"/>
        </w:rPr>
        <w:t>.</w:t>
      </w:r>
    </w:p>
    <w:p w14:paraId="495BCD42">
      <w:pPr>
        <w:pStyle w:val="32"/>
        <w:numPr>
          <w:ilvl w:val="1"/>
          <w:numId w:val="14"/>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color w:val="000000"/>
          <w:sz w:val="22"/>
          <w:szCs w:val="22"/>
        </w:rPr>
        <w:t>):</w:t>
      </w:r>
    </w:p>
    <w:p w14:paraId="1D7739DF">
      <w:pPr>
        <w:pStyle w:val="49"/>
        <w:numPr>
          <w:ilvl w:val="2"/>
          <w:numId w:val="17"/>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xml:space="preserve">); e </w:t>
      </w:r>
    </w:p>
    <w:p w14:paraId="5CAC29FE">
      <w:pPr>
        <w:pStyle w:val="49"/>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14:paraId="4EC02BB3">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DOTAÇÃO ORÇAMENTÁRIA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VIII</w:t>
      </w:r>
      <w:r>
        <w:rPr>
          <w:rStyle w:val="61"/>
          <w:sz w:val="22"/>
          <w:szCs w:val="22"/>
        </w:rPr>
        <w:fldChar w:fldCharType="end"/>
      </w:r>
      <w:r>
        <w:rPr>
          <w:rStyle w:val="61"/>
          <w:sz w:val="22"/>
          <w:szCs w:val="22"/>
        </w:rPr>
        <w:t>, da Lei Federal nº 14.133, de 2021</w:t>
      </w:r>
      <w:r>
        <w:rPr>
          <w:sz w:val="22"/>
          <w:szCs w:val="22"/>
        </w:rPr>
        <w:t>)</w:t>
      </w:r>
    </w:p>
    <w:p w14:paraId="3A6471CF">
      <w:pPr>
        <w:pStyle w:val="32"/>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14:paraId="63BCDC99">
      <w:pPr>
        <w:spacing w:line="240" w:lineRule="auto"/>
        <w:jc w:val="both"/>
        <w:rPr>
          <w:rFonts w:eastAsia="Arial" w:cs="Times New Roman"/>
          <w:sz w:val="24"/>
          <w:szCs w:val="24"/>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2028DFAB">
        <w:tblPrEx>
          <w:tblCellMar>
            <w:top w:w="55" w:type="dxa"/>
            <w:left w:w="55" w:type="dxa"/>
            <w:bottom w:w="55" w:type="dxa"/>
            <w:right w:w="55" w:type="dxa"/>
          </w:tblCellMar>
        </w:tblPrEx>
        <w:tc>
          <w:tcPr>
            <w:tcW w:w="2160" w:type="dxa"/>
            <w:tcBorders>
              <w:top w:val="single" w:color="000000" w:sz="4" w:space="0"/>
              <w:left w:val="single" w:color="000000" w:sz="4" w:space="0"/>
              <w:bottom w:val="single" w:color="000000" w:sz="4" w:space="0"/>
            </w:tcBorders>
            <w:shd w:val="clear" w:color="auto" w:fill="auto"/>
            <w:noWrap w:val="0"/>
            <w:vAlign w:val="top"/>
          </w:tcPr>
          <w:p w14:paraId="14F49568">
            <w:pPr>
              <w:pStyle w:val="217"/>
              <w:spacing w:line="360" w:lineRule="auto"/>
              <w:rPr>
                <w:rFonts w:cs="Times New Roman"/>
                <w:sz w:val="18"/>
                <w:szCs w:val="18"/>
              </w:rPr>
            </w:pPr>
            <w:r>
              <w:rPr>
                <w:rFonts w:cs="Times New Roman"/>
                <w:sz w:val="18"/>
                <w:szCs w:val="18"/>
              </w:rPr>
              <w:t>Órgão</w:t>
            </w:r>
          </w:p>
        </w:tc>
        <w:tc>
          <w:tcPr>
            <w:tcW w:w="2657" w:type="dxa"/>
            <w:tcBorders>
              <w:top w:val="single" w:color="000000" w:sz="4" w:space="0"/>
              <w:left w:val="single" w:color="000000" w:sz="4" w:space="0"/>
              <w:bottom w:val="single" w:color="000000" w:sz="4" w:space="0"/>
            </w:tcBorders>
            <w:shd w:val="clear" w:color="auto" w:fill="auto"/>
            <w:noWrap w:val="0"/>
            <w:vAlign w:val="top"/>
          </w:tcPr>
          <w:p w14:paraId="1458975F">
            <w:pPr>
              <w:pStyle w:val="217"/>
              <w:spacing w:line="360" w:lineRule="auto"/>
              <w:rPr>
                <w:rFonts w:cs="Times New Roman"/>
                <w:sz w:val="18"/>
                <w:szCs w:val="18"/>
              </w:rPr>
            </w:pPr>
            <w:r>
              <w:rPr>
                <w:rFonts w:cs="Times New Roman"/>
                <w:sz w:val="18"/>
                <w:szCs w:val="18"/>
              </w:rPr>
              <w:t>01</w:t>
            </w:r>
          </w:p>
        </w:tc>
        <w:tc>
          <w:tcPr>
            <w:tcW w:w="425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3B6152B">
            <w:pPr>
              <w:pStyle w:val="217"/>
              <w:spacing w:line="360" w:lineRule="auto"/>
              <w:rPr>
                <w:sz w:val="18"/>
                <w:szCs w:val="18"/>
              </w:rPr>
            </w:pPr>
            <w:r>
              <w:rPr>
                <w:rFonts w:cs="Times New Roman"/>
                <w:sz w:val="18"/>
                <w:szCs w:val="18"/>
              </w:rPr>
              <w:t>CÂMARA MUNICIPAL</w:t>
            </w:r>
          </w:p>
        </w:tc>
      </w:tr>
      <w:tr w14:paraId="4A60810C">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0484E7A6">
            <w:pPr>
              <w:pStyle w:val="217"/>
              <w:spacing w:line="360" w:lineRule="auto"/>
              <w:rPr>
                <w:rFonts w:cs="Times New Roman"/>
                <w:sz w:val="18"/>
                <w:szCs w:val="18"/>
              </w:rPr>
            </w:pPr>
            <w:r>
              <w:rPr>
                <w:rFonts w:cs="Times New Roman"/>
                <w:sz w:val="18"/>
                <w:szCs w:val="18"/>
              </w:rPr>
              <w:t>Unid Orçamentária</w:t>
            </w:r>
          </w:p>
        </w:tc>
        <w:tc>
          <w:tcPr>
            <w:tcW w:w="2657" w:type="dxa"/>
            <w:tcBorders>
              <w:left w:val="single" w:color="000000" w:sz="4" w:space="0"/>
              <w:bottom w:val="single" w:color="000000" w:sz="4" w:space="0"/>
            </w:tcBorders>
            <w:shd w:val="clear" w:color="auto" w:fill="auto"/>
            <w:noWrap w:val="0"/>
            <w:vAlign w:val="top"/>
          </w:tcPr>
          <w:p w14:paraId="34D7D2FA">
            <w:pPr>
              <w:pStyle w:val="217"/>
              <w:spacing w:line="360" w:lineRule="auto"/>
              <w:rPr>
                <w:rFonts w:cs="Times New Roman"/>
                <w:sz w:val="18"/>
                <w:szCs w:val="18"/>
              </w:rPr>
            </w:pPr>
            <w:r>
              <w:rPr>
                <w:rFonts w:cs="Times New Roman"/>
                <w:sz w:val="18"/>
                <w:szCs w:val="18"/>
              </w:rPr>
              <w:t>01.00.01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7B34E8E8">
            <w:pPr>
              <w:pStyle w:val="217"/>
              <w:spacing w:line="360" w:lineRule="auto"/>
              <w:rPr>
                <w:sz w:val="18"/>
                <w:szCs w:val="18"/>
              </w:rPr>
            </w:pPr>
            <w:r>
              <w:rPr>
                <w:rFonts w:cs="Times New Roman"/>
                <w:sz w:val="18"/>
                <w:szCs w:val="18"/>
              </w:rPr>
              <w:t>DEPARTAMENTO ADMINISTRATIVO</w:t>
            </w:r>
          </w:p>
        </w:tc>
      </w:tr>
      <w:tr w14:paraId="15E28C3B">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58C79A06">
            <w:pPr>
              <w:pStyle w:val="217"/>
              <w:spacing w:line="360" w:lineRule="auto"/>
              <w:rPr>
                <w:rFonts w:cs="Times New Roman"/>
                <w:sz w:val="18"/>
                <w:szCs w:val="18"/>
              </w:rPr>
            </w:pPr>
            <w:r>
              <w:rPr>
                <w:rFonts w:cs="Times New Roman"/>
                <w:sz w:val="18"/>
                <w:szCs w:val="18"/>
              </w:rPr>
              <w:t>Unidade Executora</w:t>
            </w:r>
          </w:p>
        </w:tc>
        <w:tc>
          <w:tcPr>
            <w:tcW w:w="2657" w:type="dxa"/>
            <w:tcBorders>
              <w:left w:val="single" w:color="000000" w:sz="4" w:space="0"/>
              <w:bottom w:val="single" w:color="000000" w:sz="4" w:space="0"/>
            </w:tcBorders>
            <w:shd w:val="clear" w:color="auto" w:fill="auto"/>
            <w:noWrap w:val="0"/>
            <w:vAlign w:val="top"/>
          </w:tcPr>
          <w:p w14:paraId="5C3A70F7">
            <w:pPr>
              <w:pStyle w:val="217"/>
              <w:spacing w:line="360" w:lineRule="auto"/>
              <w:rPr>
                <w:rFonts w:cs="Times New Roman"/>
                <w:sz w:val="18"/>
                <w:szCs w:val="18"/>
              </w:rPr>
            </w:pPr>
            <w:r>
              <w:rPr>
                <w:rFonts w:cs="Times New Roman"/>
                <w:sz w:val="18"/>
                <w:szCs w:val="18"/>
              </w:rPr>
              <w:t>01.001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49D38797">
            <w:pPr>
              <w:pStyle w:val="217"/>
              <w:spacing w:line="360" w:lineRule="auto"/>
              <w:rPr>
                <w:sz w:val="18"/>
                <w:szCs w:val="18"/>
              </w:rPr>
            </w:pPr>
            <w:r>
              <w:rPr>
                <w:rFonts w:cs="Times New Roman"/>
                <w:sz w:val="18"/>
                <w:szCs w:val="18"/>
              </w:rPr>
              <w:t>DEPARTAMENTO ADMINISTRATIVO</w:t>
            </w:r>
          </w:p>
        </w:tc>
      </w:tr>
      <w:tr w14:paraId="07FE7FDF">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5B8AA2FB">
            <w:pPr>
              <w:pStyle w:val="217"/>
              <w:spacing w:line="360" w:lineRule="auto"/>
              <w:rPr>
                <w:rFonts w:cs="Times New Roman"/>
                <w:sz w:val="18"/>
                <w:szCs w:val="18"/>
              </w:rPr>
            </w:pPr>
            <w:r>
              <w:rPr>
                <w:rFonts w:cs="Times New Roman"/>
                <w:sz w:val="18"/>
                <w:szCs w:val="18"/>
              </w:rPr>
              <w:t>Função programática</w:t>
            </w:r>
          </w:p>
        </w:tc>
        <w:tc>
          <w:tcPr>
            <w:tcW w:w="2657" w:type="dxa"/>
            <w:tcBorders>
              <w:left w:val="single" w:color="000000" w:sz="4" w:space="0"/>
              <w:bottom w:val="single" w:color="000000" w:sz="4" w:space="0"/>
            </w:tcBorders>
            <w:shd w:val="clear" w:color="auto" w:fill="auto"/>
            <w:noWrap w:val="0"/>
            <w:vAlign w:val="top"/>
          </w:tcPr>
          <w:p w14:paraId="5C111B6B">
            <w:pPr>
              <w:pStyle w:val="217"/>
              <w:spacing w:line="360" w:lineRule="auto"/>
              <w:rPr>
                <w:rFonts w:cs="Times New Roman"/>
                <w:sz w:val="18"/>
                <w:szCs w:val="18"/>
              </w:rPr>
            </w:pPr>
            <w:r>
              <w:rPr>
                <w:rFonts w:cs="Times New Roman"/>
                <w:sz w:val="18"/>
                <w:szCs w:val="18"/>
              </w:rPr>
              <w:t>01.031.0001-2.003</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6EF50A89">
            <w:pPr>
              <w:pStyle w:val="217"/>
              <w:spacing w:line="360" w:lineRule="auto"/>
              <w:rPr>
                <w:sz w:val="18"/>
                <w:szCs w:val="18"/>
              </w:rPr>
            </w:pPr>
            <w:r>
              <w:rPr>
                <w:rFonts w:cs="Times New Roman"/>
                <w:sz w:val="18"/>
                <w:szCs w:val="18"/>
              </w:rPr>
              <w:t>MANUTENÇÃO DA AÇÃO LEGISLATIVA</w:t>
            </w:r>
          </w:p>
        </w:tc>
      </w:tr>
      <w:tr w14:paraId="213ABE45">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61AE54AD">
            <w:pPr>
              <w:pStyle w:val="217"/>
              <w:spacing w:line="360" w:lineRule="auto"/>
              <w:rPr>
                <w:rFonts w:cs="Times New Roman"/>
                <w:sz w:val="18"/>
                <w:szCs w:val="18"/>
              </w:rPr>
            </w:pPr>
            <w:r>
              <w:rPr>
                <w:rFonts w:cs="Times New Roman"/>
                <w:sz w:val="18"/>
                <w:szCs w:val="18"/>
              </w:rPr>
              <w:t>Elemento</w:t>
            </w:r>
          </w:p>
        </w:tc>
        <w:tc>
          <w:tcPr>
            <w:tcW w:w="2657" w:type="dxa"/>
            <w:tcBorders>
              <w:left w:val="single" w:color="000000" w:sz="4" w:space="0"/>
              <w:bottom w:val="single" w:color="000000" w:sz="4" w:space="0"/>
            </w:tcBorders>
            <w:shd w:val="clear" w:color="auto" w:fill="auto"/>
            <w:noWrap w:val="0"/>
            <w:vAlign w:val="top"/>
          </w:tcPr>
          <w:p w14:paraId="0A7A08C2">
            <w:pPr>
              <w:pStyle w:val="217"/>
              <w:spacing w:line="360" w:lineRule="auto"/>
              <w:rPr>
                <w:rFonts w:cs="Times New Roman"/>
                <w:sz w:val="18"/>
                <w:szCs w:val="18"/>
              </w:rPr>
            </w:pPr>
            <w:r>
              <w:rPr>
                <w:rFonts w:cs="Times New Roman"/>
                <w:sz w:val="18"/>
                <w:szCs w:val="18"/>
              </w:rPr>
              <w:t>3.3.90.39.00</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4F1435AB">
            <w:pPr>
              <w:pStyle w:val="217"/>
              <w:spacing w:line="360" w:lineRule="auto"/>
              <w:rPr>
                <w:sz w:val="18"/>
                <w:szCs w:val="18"/>
              </w:rPr>
            </w:pPr>
            <w:r>
              <w:rPr>
                <w:rFonts w:cs="Times New Roman"/>
                <w:sz w:val="18"/>
                <w:szCs w:val="18"/>
              </w:rPr>
              <w:t>OUTROS SERVIÇOS DE TERCEIROS – PESSOA JURÍDICA</w:t>
            </w:r>
          </w:p>
        </w:tc>
      </w:tr>
    </w:tbl>
    <w:p w14:paraId="5309A6F6">
      <w:pPr>
        <w:spacing w:line="360" w:lineRule="auto"/>
        <w:jc w:val="both"/>
        <w:rPr>
          <w:rFonts w:eastAsia="Times New Roman" w:cs="Times New Roman"/>
          <w:sz w:val="18"/>
          <w:szCs w:val="18"/>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43353F45">
        <w:tblPrEx>
          <w:tblCellMar>
            <w:top w:w="55" w:type="dxa"/>
            <w:left w:w="55" w:type="dxa"/>
            <w:bottom w:w="55" w:type="dxa"/>
            <w:right w:w="55" w:type="dxa"/>
          </w:tblCellMar>
        </w:tblPrEx>
        <w:tc>
          <w:tcPr>
            <w:tcW w:w="2160" w:type="dxa"/>
            <w:tcBorders>
              <w:top w:val="single" w:color="000000" w:sz="4" w:space="0"/>
              <w:left w:val="single" w:color="000000" w:sz="4" w:space="0"/>
              <w:bottom w:val="single" w:color="000000" w:sz="4" w:space="0"/>
            </w:tcBorders>
            <w:shd w:val="clear" w:color="auto" w:fill="auto"/>
            <w:noWrap w:val="0"/>
            <w:vAlign w:val="top"/>
          </w:tcPr>
          <w:p w14:paraId="7E2E6D90">
            <w:pPr>
              <w:pStyle w:val="217"/>
              <w:spacing w:line="360" w:lineRule="auto"/>
              <w:rPr>
                <w:rFonts w:cs="Times New Roman"/>
                <w:sz w:val="18"/>
                <w:szCs w:val="18"/>
              </w:rPr>
            </w:pPr>
            <w:r>
              <w:rPr>
                <w:rFonts w:cs="Times New Roman"/>
                <w:sz w:val="18"/>
                <w:szCs w:val="18"/>
              </w:rPr>
              <w:t>Órgão</w:t>
            </w:r>
          </w:p>
        </w:tc>
        <w:tc>
          <w:tcPr>
            <w:tcW w:w="2657" w:type="dxa"/>
            <w:tcBorders>
              <w:top w:val="single" w:color="000000" w:sz="4" w:space="0"/>
              <w:left w:val="single" w:color="000000" w:sz="4" w:space="0"/>
              <w:bottom w:val="single" w:color="000000" w:sz="4" w:space="0"/>
            </w:tcBorders>
            <w:shd w:val="clear" w:color="auto" w:fill="auto"/>
            <w:noWrap w:val="0"/>
            <w:vAlign w:val="top"/>
          </w:tcPr>
          <w:p w14:paraId="7DF0E596">
            <w:pPr>
              <w:pStyle w:val="217"/>
              <w:spacing w:line="360" w:lineRule="auto"/>
              <w:rPr>
                <w:rFonts w:cs="Times New Roman"/>
                <w:sz w:val="18"/>
                <w:szCs w:val="18"/>
              </w:rPr>
            </w:pPr>
            <w:r>
              <w:rPr>
                <w:rFonts w:cs="Times New Roman"/>
                <w:sz w:val="18"/>
                <w:szCs w:val="18"/>
              </w:rPr>
              <w:t>01</w:t>
            </w:r>
          </w:p>
        </w:tc>
        <w:tc>
          <w:tcPr>
            <w:tcW w:w="425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D3EC060">
            <w:pPr>
              <w:pStyle w:val="217"/>
              <w:spacing w:line="360" w:lineRule="auto"/>
              <w:rPr>
                <w:sz w:val="18"/>
                <w:szCs w:val="18"/>
              </w:rPr>
            </w:pPr>
            <w:r>
              <w:rPr>
                <w:rFonts w:cs="Times New Roman"/>
                <w:sz w:val="18"/>
                <w:szCs w:val="18"/>
              </w:rPr>
              <w:t>CÂMARA MUNICIPAL</w:t>
            </w:r>
          </w:p>
        </w:tc>
      </w:tr>
      <w:tr w14:paraId="7E0727E3">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026B263F">
            <w:pPr>
              <w:pStyle w:val="217"/>
              <w:spacing w:line="360" w:lineRule="auto"/>
              <w:rPr>
                <w:rFonts w:cs="Times New Roman"/>
                <w:sz w:val="18"/>
                <w:szCs w:val="18"/>
              </w:rPr>
            </w:pPr>
            <w:r>
              <w:rPr>
                <w:rFonts w:cs="Times New Roman"/>
                <w:sz w:val="18"/>
                <w:szCs w:val="18"/>
              </w:rPr>
              <w:t>Unid Orçamentária</w:t>
            </w:r>
          </w:p>
        </w:tc>
        <w:tc>
          <w:tcPr>
            <w:tcW w:w="2657" w:type="dxa"/>
            <w:tcBorders>
              <w:left w:val="single" w:color="000000" w:sz="4" w:space="0"/>
              <w:bottom w:val="single" w:color="000000" w:sz="4" w:space="0"/>
            </w:tcBorders>
            <w:shd w:val="clear" w:color="auto" w:fill="auto"/>
            <w:noWrap w:val="0"/>
            <w:vAlign w:val="top"/>
          </w:tcPr>
          <w:p w14:paraId="606A2BDE">
            <w:pPr>
              <w:pStyle w:val="217"/>
              <w:spacing w:line="360" w:lineRule="auto"/>
              <w:rPr>
                <w:rFonts w:cs="Times New Roman"/>
                <w:sz w:val="18"/>
                <w:szCs w:val="18"/>
              </w:rPr>
            </w:pPr>
            <w:r>
              <w:rPr>
                <w:rFonts w:cs="Times New Roman"/>
                <w:sz w:val="18"/>
                <w:szCs w:val="18"/>
              </w:rPr>
              <w:t>01.00.01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011A3E0C">
            <w:pPr>
              <w:pStyle w:val="217"/>
              <w:spacing w:line="360" w:lineRule="auto"/>
              <w:rPr>
                <w:sz w:val="18"/>
                <w:szCs w:val="18"/>
              </w:rPr>
            </w:pPr>
            <w:r>
              <w:rPr>
                <w:rFonts w:cs="Times New Roman"/>
                <w:sz w:val="18"/>
                <w:szCs w:val="18"/>
              </w:rPr>
              <w:t>DEPARTAMENTO ADMINISTRATIVO</w:t>
            </w:r>
          </w:p>
        </w:tc>
      </w:tr>
      <w:tr w14:paraId="5EEA03E2">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25A87588">
            <w:pPr>
              <w:pStyle w:val="217"/>
              <w:spacing w:line="360" w:lineRule="auto"/>
              <w:rPr>
                <w:rFonts w:cs="Times New Roman"/>
                <w:sz w:val="18"/>
                <w:szCs w:val="18"/>
              </w:rPr>
            </w:pPr>
            <w:r>
              <w:rPr>
                <w:rFonts w:cs="Times New Roman"/>
                <w:sz w:val="18"/>
                <w:szCs w:val="18"/>
              </w:rPr>
              <w:t>Unidade Executora</w:t>
            </w:r>
          </w:p>
        </w:tc>
        <w:tc>
          <w:tcPr>
            <w:tcW w:w="2657" w:type="dxa"/>
            <w:tcBorders>
              <w:left w:val="single" w:color="000000" w:sz="4" w:space="0"/>
              <w:bottom w:val="single" w:color="000000" w:sz="4" w:space="0"/>
            </w:tcBorders>
            <w:shd w:val="clear" w:color="auto" w:fill="auto"/>
            <w:noWrap w:val="0"/>
            <w:vAlign w:val="top"/>
          </w:tcPr>
          <w:p w14:paraId="46804BE6">
            <w:pPr>
              <w:pStyle w:val="217"/>
              <w:spacing w:line="360" w:lineRule="auto"/>
              <w:rPr>
                <w:rFonts w:cs="Times New Roman"/>
                <w:sz w:val="18"/>
                <w:szCs w:val="18"/>
              </w:rPr>
            </w:pPr>
            <w:r>
              <w:rPr>
                <w:rFonts w:cs="Times New Roman"/>
                <w:sz w:val="18"/>
                <w:szCs w:val="18"/>
              </w:rPr>
              <w:t>01.001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585EE571">
            <w:pPr>
              <w:pStyle w:val="217"/>
              <w:spacing w:line="360" w:lineRule="auto"/>
              <w:rPr>
                <w:sz w:val="18"/>
                <w:szCs w:val="18"/>
              </w:rPr>
            </w:pPr>
            <w:r>
              <w:rPr>
                <w:rFonts w:cs="Times New Roman"/>
                <w:sz w:val="18"/>
                <w:szCs w:val="18"/>
              </w:rPr>
              <w:t>DEPARTAMENTO ADMINISTRATIVO</w:t>
            </w:r>
          </w:p>
        </w:tc>
      </w:tr>
      <w:tr w14:paraId="7FE5466E">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6CCB8118">
            <w:pPr>
              <w:pStyle w:val="217"/>
              <w:spacing w:line="360" w:lineRule="auto"/>
              <w:rPr>
                <w:rFonts w:cs="Times New Roman"/>
                <w:sz w:val="18"/>
                <w:szCs w:val="18"/>
              </w:rPr>
            </w:pPr>
            <w:r>
              <w:rPr>
                <w:rFonts w:cs="Times New Roman"/>
                <w:sz w:val="18"/>
                <w:szCs w:val="18"/>
              </w:rPr>
              <w:t>Função programática</w:t>
            </w:r>
          </w:p>
        </w:tc>
        <w:tc>
          <w:tcPr>
            <w:tcW w:w="2657" w:type="dxa"/>
            <w:tcBorders>
              <w:left w:val="single" w:color="000000" w:sz="4" w:space="0"/>
              <w:bottom w:val="single" w:color="000000" w:sz="4" w:space="0"/>
            </w:tcBorders>
            <w:shd w:val="clear" w:color="auto" w:fill="auto"/>
            <w:noWrap w:val="0"/>
            <w:vAlign w:val="top"/>
          </w:tcPr>
          <w:p w14:paraId="6875DEF8">
            <w:pPr>
              <w:pStyle w:val="217"/>
              <w:spacing w:line="360" w:lineRule="auto"/>
              <w:rPr>
                <w:rFonts w:cs="Times New Roman"/>
                <w:sz w:val="18"/>
                <w:szCs w:val="18"/>
              </w:rPr>
            </w:pPr>
            <w:r>
              <w:rPr>
                <w:rFonts w:cs="Times New Roman"/>
                <w:sz w:val="18"/>
                <w:szCs w:val="18"/>
              </w:rPr>
              <w:t>01.031.0001-2.003</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43AB3C26">
            <w:pPr>
              <w:pStyle w:val="217"/>
              <w:spacing w:line="360" w:lineRule="auto"/>
              <w:rPr>
                <w:sz w:val="18"/>
                <w:szCs w:val="18"/>
              </w:rPr>
            </w:pPr>
            <w:r>
              <w:rPr>
                <w:rFonts w:cs="Times New Roman"/>
                <w:sz w:val="18"/>
                <w:szCs w:val="18"/>
              </w:rPr>
              <w:t>MANUTENÇÃO DA AÇÃO LEGISLATIVA</w:t>
            </w:r>
          </w:p>
        </w:tc>
      </w:tr>
      <w:tr w14:paraId="637A83B0">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4BB8F16B">
            <w:pPr>
              <w:pStyle w:val="217"/>
              <w:spacing w:line="360" w:lineRule="auto"/>
              <w:rPr>
                <w:rFonts w:cs="Times New Roman"/>
                <w:sz w:val="18"/>
                <w:szCs w:val="18"/>
              </w:rPr>
            </w:pPr>
            <w:r>
              <w:rPr>
                <w:rFonts w:cs="Times New Roman"/>
                <w:sz w:val="18"/>
                <w:szCs w:val="18"/>
              </w:rPr>
              <w:t>Elemento</w:t>
            </w:r>
          </w:p>
        </w:tc>
        <w:tc>
          <w:tcPr>
            <w:tcW w:w="2657" w:type="dxa"/>
            <w:tcBorders>
              <w:left w:val="single" w:color="000000" w:sz="4" w:space="0"/>
              <w:bottom w:val="single" w:color="000000" w:sz="4" w:space="0"/>
            </w:tcBorders>
            <w:shd w:val="clear" w:color="auto" w:fill="auto"/>
            <w:noWrap w:val="0"/>
            <w:vAlign w:val="top"/>
          </w:tcPr>
          <w:p w14:paraId="10CE9DCD">
            <w:pPr>
              <w:pStyle w:val="217"/>
              <w:spacing w:line="360" w:lineRule="auto"/>
              <w:rPr>
                <w:rFonts w:cs="Times New Roman"/>
                <w:sz w:val="18"/>
                <w:szCs w:val="18"/>
              </w:rPr>
            </w:pPr>
            <w:r>
              <w:rPr>
                <w:rFonts w:cs="Times New Roman"/>
                <w:sz w:val="18"/>
                <w:szCs w:val="18"/>
              </w:rPr>
              <w:t>4.4.90.52.00</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7720EB05">
            <w:pPr>
              <w:pStyle w:val="217"/>
              <w:spacing w:line="360" w:lineRule="auto"/>
              <w:rPr>
                <w:sz w:val="18"/>
                <w:szCs w:val="18"/>
              </w:rPr>
            </w:pPr>
            <w:r>
              <w:rPr>
                <w:rFonts w:cs="Times New Roman"/>
                <w:sz w:val="18"/>
                <w:szCs w:val="18"/>
              </w:rPr>
              <w:t>EQUIPAMENTO E MATERIAL PERMANENTE</w:t>
            </w:r>
          </w:p>
        </w:tc>
      </w:tr>
    </w:tbl>
    <w:p w14:paraId="17DBB2EC">
      <w:pPr>
        <w:spacing w:line="360" w:lineRule="auto"/>
        <w:jc w:val="both"/>
        <w:rPr>
          <w:rFonts w:eastAsia="Times New Roman" w:cs="Times New Roman"/>
          <w:sz w:val="18"/>
          <w:szCs w:val="18"/>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53E23F7E">
        <w:tblPrEx>
          <w:tblCellMar>
            <w:top w:w="55" w:type="dxa"/>
            <w:left w:w="55" w:type="dxa"/>
            <w:bottom w:w="55" w:type="dxa"/>
            <w:right w:w="55" w:type="dxa"/>
          </w:tblCellMar>
        </w:tblPrEx>
        <w:tc>
          <w:tcPr>
            <w:tcW w:w="2160" w:type="dxa"/>
            <w:tcBorders>
              <w:top w:val="single" w:color="000000" w:sz="4" w:space="0"/>
              <w:left w:val="single" w:color="000000" w:sz="4" w:space="0"/>
              <w:bottom w:val="single" w:color="000000" w:sz="4" w:space="0"/>
            </w:tcBorders>
            <w:shd w:val="clear" w:color="auto" w:fill="auto"/>
            <w:noWrap w:val="0"/>
            <w:vAlign w:val="top"/>
          </w:tcPr>
          <w:p w14:paraId="5C260170">
            <w:pPr>
              <w:pStyle w:val="217"/>
              <w:spacing w:line="360" w:lineRule="auto"/>
              <w:rPr>
                <w:rFonts w:cs="Times New Roman"/>
                <w:sz w:val="18"/>
                <w:szCs w:val="18"/>
              </w:rPr>
            </w:pPr>
            <w:r>
              <w:rPr>
                <w:rFonts w:cs="Times New Roman"/>
                <w:sz w:val="18"/>
                <w:szCs w:val="18"/>
              </w:rPr>
              <w:t>Órgão</w:t>
            </w:r>
          </w:p>
        </w:tc>
        <w:tc>
          <w:tcPr>
            <w:tcW w:w="2657" w:type="dxa"/>
            <w:tcBorders>
              <w:top w:val="single" w:color="000000" w:sz="4" w:space="0"/>
              <w:left w:val="single" w:color="000000" w:sz="4" w:space="0"/>
              <w:bottom w:val="single" w:color="000000" w:sz="4" w:space="0"/>
            </w:tcBorders>
            <w:shd w:val="clear" w:color="auto" w:fill="auto"/>
            <w:noWrap w:val="0"/>
            <w:vAlign w:val="top"/>
          </w:tcPr>
          <w:p w14:paraId="30338CEA">
            <w:pPr>
              <w:pStyle w:val="217"/>
              <w:spacing w:line="360" w:lineRule="auto"/>
              <w:rPr>
                <w:rFonts w:cs="Times New Roman"/>
                <w:sz w:val="18"/>
                <w:szCs w:val="18"/>
              </w:rPr>
            </w:pPr>
            <w:r>
              <w:rPr>
                <w:rFonts w:cs="Times New Roman"/>
                <w:sz w:val="18"/>
                <w:szCs w:val="18"/>
              </w:rPr>
              <w:t>01</w:t>
            </w:r>
          </w:p>
        </w:tc>
        <w:tc>
          <w:tcPr>
            <w:tcW w:w="425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B3261BB">
            <w:pPr>
              <w:pStyle w:val="217"/>
              <w:spacing w:line="360" w:lineRule="auto"/>
              <w:rPr>
                <w:sz w:val="18"/>
                <w:szCs w:val="18"/>
              </w:rPr>
            </w:pPr>
            <w:r>
              <w:rPr>
                <w:rFonts w:cs="Times New Roman"/>
                <w:sz w:val="18"/>
                <w:szCs w:val="18"/>
              </w:rPr>
              <w:t>CÂMARA MUNICIPAL</w:t>
            </w:r>
          </w:p>
        </w:tc>
      </w:tr>
      <w:tr w14:paraId="0BBA9419">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274EEAAF">
            <w:pPr>
              <w:pStyle w:val="217"/>
              <w:spacing w:line="360" w:lineRule="auto"/>
              <w:rPr>
                <w:rFonts w:cs="Times New Roman"/>
                <w:sz w:val="18"/>
                <w:szCs w:val="18"/>
              </w:rPr>
            </w:pPr>
            <w:r>
              <w:rPr>
                <w:rFonts w:cs="Times New Roman"/>
                <w:sz w:val="18"/>
                <w:szCs w:val="18"/>
              </w:rPr>
              <w:t>Unid Orçamentária</w:t>
            </w:r>
          </w:p>
        </w:tc>
        <w:tc>
          <w:tcPr>
            <w:tcW w:w="2657" w:type="dxa"/>
            <w:tcBorders>
              <w:left w:val="single" w:color="000000" w:sz="4" w:space="0"/>
              <w:bottom w:val="single" w:color="000000" w:sz="4" w:space="0"/>
            </w:tcBorders>
            <w:shd w:val="clear" w:color="auto" w:fill="auto"/>
            <w:noWrap w:val="0"/>
            <w:vAlign w:val="top"/>
          </w:tcPr>
          <w:p w14:paraId="4BC4D5B8">
            <w:pPr>
              <w:pStyle w:val="217"/>
              <w:spacing w:line="360" w:lineRule="auto"/>
              <w:rPr>
                <w:rFonts w:cs="Times New Roman"/>
                <w:sz w:val="18"/>
                <w:szCs w:val="18"/>
              </w:rPr>
            </w:pPr>
            <w:r>
              <w:rPr>
                <w:rFonts w:cs="Times New Roman"/>
                <w:sz w:val="18"/>
                <w:szCs w:val="18"/>
              </w:rPr>
              <w:t>01.00.01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53BFFECE">
            <w:pPr>
              <w:pStyle w:val="217"/>
              <w:spacing w:line="360" w:lineRule="auto"/>
              <w:rPr>
                <w:sz w:val="18"/>
                <w:szCs w:val="18"/>
              </w:rPr>
            </w:pPr>
            <w:r>
              <w:rPr>
                <w:rFonts w:cs="Times New Roman"/>
                <w:sz w:val="18"/>
                <w:szCs w:val="18"/>
              </w:rPr>
              <w:t>DEPARTAMENTO ADMINISTRATIVO</w:t>
            </w:r>
          </w:p>
        </w:tc>
      </w:tr>
      <w:tr w14:paraId="2C5204EA">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1DF70982">
            <w:pPr>
              <w:pStyle w:val="217"/>
              <w:spacing w:line="360" w:lineRule="auto"/>
              <w:rPr>
                <w:rFonts w:cs="Times New Roman"/>
                <w:sz w:val="18"/>
                <w:szCs w:val="18"/>
              </w:rPr>
            </w:pPr>
            <w:r>
              <w:rPr>
                <w:rFonts w:cs="Times New Roman"/>
                <w:sz w:val="18"/>
                <w:szCs w:val="18"/>
              </w:rPr>
              <w:t>Unidade Executora</w:t>
            </w:r>
          </w:p>
        </w:tc>
        <w:tc>
          <w:tcPr>
            <w:tcW w:w="2657" w:type="dxa"/>
            <w:tcBorders>
              <w:left w:val="single" w:color="000000" w:sz="4" w:space="0"/>
              <w:bottom w:val="single" w:color="000000" w:sz="4" w:space="0"/>
            </w:tcBorders>
            <w:shd w:val="clear" w:color="auto" w:fill="auto"/>
            <w:noWrap w:val="0"/>
            <w:vAlign w:val="top"/>
          </w:tcPr>
          <w:p w14:paraId="2FAE6CCD">
            <w:pPr>
              <w:pStyle w:val="217"/>
              <w:spacing w:line="360" w:lineRule="auto"/>
              <w:rPr>
                <w:rFonts w:cs="Times New Roman"/>
                <w:sz w:val="18"/>
                <w:szCs w:val="18"/>
              </w:rPr>
            </w:pPr>
            <w:r>
              <w:rPr>
                <w:rFonts w:cs="Times New Roman"/>
                <w:sz w:val="18"/>
                <w:szCs w:val="18"/>
              </w:rPr>
              <w:t>01.001</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6842A813">
            <w:pPr>
              <w:pStyle w:val="217"/>
              <w:spacing w:line="360" w:lineRule="auto"/>
              <w:rPr>
                <w:sz w:val="18"/>
                <w:szCs w:val="18"/>
              </w:rPr>
            </w:pPr>
            <w:r>
              <w:rPr>
                <w:rFonts w:cs="Times New Roman"/>
                <w:sz w:val="18"/>
                <w:szCs w:val="18"/>
              </w:rPr>
              <w:t>DEPARTAMENTO ADMINISTRATIVO</w:t>
            </w:r>
          </w:p>
        </w:tc>
      </w:tr>
      <w:tr w14:paraId="45F22455">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61F18E26">
            <w:pPr>
              <w:pStyle w:val="217"/>
              <w:spacing w:line="360" w:lineRule="auto"/>
              <w:rPr>
                <w:rFonts w:cs="Times New Roman"/>
                <w:sz w:val="18"/>
                <w:szCs w:val="18"/>
              </w:rPr>
            </w:pPr>
            <w:r>
              <w:rPr>
                <w:rFonts w:cs="Times New Roman"/>
                <w:sz w:val="18"/>
                <w:szCs w:val="18"/>
              </w:rPr>
              <w:t>Função programática</w:t>
            </w:r>
          </w:p>
        </w:tc>
        <w:tc>
          <w:tcPr>
            <w:tcW w:w="2657" w:type="dxa"/>
            <w:tcBorders>
              <w:left w:val="single" w:color="000000" w:sz="4" w:space="0"/>
              <w:bottom w:val="single" w:color="000000" w:sz="4" w:space="0"/>
            </w:tcBorders>
            <w:shd w:val="clear" w:color="auto" w:fill="auto"/>
            <w:noWrap w:val="0"/>
            <w:vAlign w:val="top"/>
          </w:tcPr>
          <w:p w14:paraId="6301C4E4">
            <w:pPr>
              <w:pStyle w:val="217"/>
              <w:spacing w:line="360" w:lineRule="auto"/>
              <w:rPr>
                <w:rFonts w:cs="Times New Roman"/>
                <w:sz w:val="18"/>
                <w:szCs w:val="18"/>
              </w:rPr>
            </w:pPr>
            <w:r>
              <w:rPr>
                <w:rFonts w:cs="Times New Roman"/>
                <w:sz w:val="18"/>
                <w:szCs w:val="18"/>
              </w:rPr>
              <w:t>01.031.0001-2.003</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4E7980A9">
            <w:pPr>
              <w:pStyle w:val="217"/>
              <w:spacing w:line="360" w:lineRule="auto"/>
              <w:rPr>
                <w:sz w:val="18"/>
                <w:szCs w:val="18"/>
              </w:rPr>
            </w:pPr>
            <w:r>
              <w:rPr>
                <w:rFonts w:cs="Times New Roman"/>
                <w:sz w:val="18"/>
                <w:szCs w:val="18"/>
              </w:rPr>
              <w:t>MANUTENÇÃO DA AÇÃO LEGISLATIVA</w:t>
            </w:r>
          </w:p>
        </w:tc>
      </w:tr>
      <w:tr w14:paraId="331E34A4">
        <w:tblPrEx>
          <w:tblCellMar>
            <w:top w:w="55" w:type="dxa"/>
            <w:left w:w="55" w:type="dxa"/>
            <w:bottom w:w="55" w:type="dxa"/>
            <w:right w:w="55" w:type="dxa"/>
          </w:tblCellMar>
        </w:tblPrEx>
        <w:tc>
          <w:tcPr>
            <w:tcW w:w="2160" w:type="dxa"/>
            <w:tcBorders>
              <w:left w:val="single" w:color="000000" w:sz="4" w:space="0"/>
              <w:bottom w:val="single" w:color="000000" w:sz="4" w:space="0"/>
            </w:tcBorders>
            <w:shd w:val="clear" w:color="auto" w:fill="auto"/>
            <w:noWrap w:val="0"/>
            <w:vAlign w:val="top"/>
          </w:tcPr>
          <w:p w14:paraId="70AF3477">
            <w:pPr>
              <w:pStyle w:val="217"/>
              <w:spacing w:line="360" w:lineRule="auto"/>
              <w:rPr>
                <w:rFonts w:cs="Times New Roman"/>
                <w:sz w:val="18"/>
                <w:szCs w:val="18"/>
              </w:rPr>
            </w:pPr>
            <w:r>
              <w:rPr>
                <w:rFonts w:cs="Times New Roman"/>
                <w:sz w:val="18"/>
                <w:szCs w:val="18"/>
              </w:rPr>
              <w:t>Elemento</w:t>
            </w:r>
          </w:p>
        </w:tc>
        <w:tc>
          <w:tcPr>
            <w:tcW w:w="2657" w:type="dxa"/>
            <w:tcBorders>
              <w:left w:val="single" w:color="000000" w:sz="4" w:space="0"/>
              <w:bottom w:val="single" w:color="000000" w:sz="4" w:space="0"/>
            </w:tcBorders>
            <w:shd w:val="clear" w:color="auto" w:fill="auto"/>
            <w:noWrap w:val="0"/>
            <w:vAlign w:val="top"/>
          </w:tcPr>
          <w:p w14:paraId="7897CDC1">
            <w:pPr>
              <w:pStyle w:val="217"/>
              <w:spacing w:line="360" w:lineRule="auto"/>
              <w:rPr>
                <w:rFonts w:cs="Times New Roman"/>
                <w:sz w:val="18"/>
                <w:szCs w:val="18"/>
              </w:rPr>
            </w:pPr>
            <w:r>
              <w:rPr>
                <w:rFonts w:cs="Times New Roman"/>
                <w:sz w:val="18"/>
                <w:szCs w:val="18"/>
              </w:rPr>
              <w:t>3.3.90.30.00</w:t>
            </w:r>
          </w:p>
        </w:tc>
        <w:tc>
          <w:tcPr>
            <w:tcW w:w="4256" w:type="dxa"/>
            <w:tcBorders>
              <w:left w:val="single" w:color="000000" w:sz="4" w:space="0"/>
              <w:bottom w:val="single" w:color="000000" w:sz="4" w:space="0"/>
              <w:right w:val="single" w:color="000000" w:sz="4" w:space="0"/>
            </w:tcBorders>
            <w:shd w:val="clear" w:color="auto" w:fill="auto"/>
            <w:noWrap w:val="0"/>
            <w:vAlign w:val="top"/>
          </w:tcPr>
          <w:p w14:paraId="0CAB881F">
            <w:pPr>
              <w:pStyle w:val="217"/>
              <w:spacing w:line="360" w:lineRule="auto"/>
              <w:rPr>
                <w:sz w:val="18"/>
                <w:szCs w:val="18"/>
              </w:rPr>
            </w:pPr>
            <w:r>
              <w:rPr>
                <w:rFonts w:cs="Times New Roman"/>
                <w:sz w:val="18"/>
                <w:szCs w:val="18"/>
              </w:rPr>
              <w:t>MATERIAL DE CONSUMO</w:t>
            </w:r>
          </w:p>
        </w:tc>
      </w:tr>
    </w:tbl>
    <w:p w14:paraId="7ECC9D70">
      <w:pPr>
        <w:pStyle w:val="32"/>
        <w:tabs>
          <w:tab w:val="left" w:pos="993"/>
        </w:tabs>
        <w:spacing w:before="0" w:beforeAutospacing="0" w:after="0" w:afterAutospacing="0"/>
        <w:ind w:left="0" w:firstLine="0"/>
        <w:jc w:val="both"/>
        <w:rPr>
          <w:rFonts w:cs="Arial"/>
          <w:color w:val="000000"/>
          <w:sz w:val="22"/>
          <w:szCs w:val="22"/>
        </w:rPr>
      </w:pPr>
    </w:p>
    <w:p w14:paraId="0C3A5278">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PREÇO </w:t>
      </w:r>
      <w:r>
        <w:rPr>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14:paraId="2D77C78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2"/>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2"/>
          <w:rFonts w:hint="default" w:cs="Times New Roman"/>
          <w:b/>
          <w:bCs/>
          <w:color w:val="000000" w:themeColor="text1"/>
          <w:kern w:val="0"/>
          <w:sz w:val="22"/>
          <w:szCs w:val="22"/>
          <w:shd w:val="clear" w:fill="auto"/>
          <w:lang w:val="pt-BR" w:eastAsia="en-US" w:bidi="ar-SA"/>
          <w14:textFill>
            <w14:solidFill>
              <w14:schemeClr w14:val="tx1"/>
            </w14:solidFill>
          </w14:textFill>
        </w:rPr>
        <w:t>XXXXXXX.</w:t>
      </w:r>
    </w:p>
    <w:p w14:paraId="53268090">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13F91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14:paraId="01864213">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611E6456">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CONDIÇÕES DE PAGAMENTO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14:paraId="5FF0CE5B">
      <w:pPr>
        <w:pStyle w:val="32"/>
        <w:numPr>
          <w:ilvl w:val="1"/>
          <w:numId w:val="14"/>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e o recebimento definitivo por servidor ou comissão designada pela autoridade competente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14:paraId="32CADFE6">
      <w:pPr>
        <w:pStyle w:val="32"/>
        <w:numPr>
          <w:ilvl w:val="0"/>
          <w:numId w:val="0"/>
        </w:numPr>
        <w:tabs>
          <w:tab w:val="left" w:pos="993"/>
        </w:tabs>
        <w:spacing w:before="0" w:beforeAutospacing="0" w:after="0" w:afterAutospacing="0"/>
        <w:ind w:left="567" w:leftChars="0"/>
        <w:jc w:val="both"/>
      </w:pPr>
    </w:p>
    <w:p w14:paraId="21421E49">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LIQUIDAÇÃO E PAGAMENTO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"art143"</w:instrText>
      </w:r>
      <w:r>
        <w:rPr>
          <w:rStyle w:val="61"/>
          <w:sz w:val="22"/>
          <w:szCs w:val="22"/>
        </w:rPr>
        <w:fldChar w:fldCharType="separate"/>
      </w:r>
      <w:r>
        <w:rPr>
          <w:rStyle w:val="61"/>
          <w:sz w:val="22"/>
          <w:szCs w:val="22"/>
        </w:rPr>
        <w:t>art. 143 e 146 da Lei Federal nº 14.133, de 2021</w:t>
      </w:r>
      <w:r>
        <w:rPr>
          <w:rStyle w:val="61"/>
          <w:sz w:val="22"/>
          <w:szCs w:val="22"/>
        </w:rPr>
        <w:fldChar w:fldCharType="end"/>
      </w:r>
      <w:r>
        <w:rPr>
          <w:rStyle w:val="16"/>
          <w:b w:val="0"/>
          <w:bCs w:val="0"/>
          <w:color w:val="000000"/>
          <w:sz w:val="22"/>
          <w:szCs w:val="22"/>
        </w:rPr>
        <w:t xml:space="preserve"> e Resolução 50 de 2023.)</w:t>
      </w:r>
    </w:p>
    <w:p w14:paraId="696D3785">
      <w:pPr>
        <w:pStyle w:val="32"/>
        <w:numPr>
          <w:ilvl w:val="1"/>
          <w:numId w:val="14"/>
        </w:numPr>
        <w:tabs>
          <w:tab w:val="left" w:pos="993"/>
        </w:tabs>
        <w:spacing w:before="0" w:beforeAutospacing="0" w:after="0" w:afterAutospacing="0"/>
        <w:ind w:left="0" w:firstLine="567"/>
        <w:jc w:val="both"/>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2"/>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 da Lei Federal nº 14.133, de 2021</w:t>
      </w:r>
      <w:r>
        <w:rPr>
          <w:rStyle w:val="61"/>
          <w:sz w:val="22"/>
          <w:szCs w:val="22"/>
        </w:rPr>
        <w:fldChar w:fldCharType="end"/>
      </w:r>
      <w:r>
        <w:rPr>
          <w:color w:val="000000" w:themeColor="text1"/>
          <w:sz w:val="22"/>
          <w:szCs w:val="22"/>
          <w14:textFill>
            <w14:solidFill>
              <w14:schemeClr w14:val="tx1"/>
            </w14:solidFill>
          </w14:textFill>
        </w:rPr>
        <w:t>.</w:t>
      </w:r>
    </w:p>
    <w:p w14:paraId="34244ED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14:paraId="28A2A629">
      <w:pPr>
        <w:pStyle w:val="32"/>
        <w:numPr>
          <w:ilvl w:val="1"/>
          <w:numId w:val="14"/>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61"/>
          <w:sz w:val="22"/>
          <w:szCs w:val="22"/>
        </w:rPr>
        <w:instrText xml:space="preserve"> HYPERLINK "https://www.planalto.gov.br/ccivil_03/_ato2019-2022/2021/lei/l14133.htm" \l "art141"</w:instrText>
      </w:r>
      <w:r>
        <w:rPr>
          <w:rStyle w:val="61"/>
          <w:sz w:val="22"/>
          <w:szCs w:val="22"/>
        </w:rPr>
        <w:fldChar w:fldCharType="separate"/>
      </w:r>
      <w:r>
        <w:rPr>
          <w:rStyle w:val="61"/>
          <w:sz w:val="22"/>
          <w:szCs w:val="22"/>
        </w:rPr>
        <w:t>art. 141 da Lei Federal nº 14.133, de 2021</w:t>
      </w:r>
      <w:r>
        <w:rPr>
          <w:rStyle w:val="61"/>
          <w:sz w:val="22"/>
          <w:szCs w:val="22"/>
        </w:rPr>
        <w:fldChar w:fldCharType="end"/>
      </w:r>
      <w:r>
        <w:rPr>
          <w:rStyle w:val="61"/>
          <w:sz w:val="22"/>
          <w:szCs w:val="22"/>
        </w:rPr>
        <w:t>.</w:t>
      </w:r>
    </w:p>
    <w:p w14:paraId="1B178BB4">
      <w:pPr>
        <w:pStyle w:val="32"/>
        <w:numPr>
          <w:ilvl w:val="1"/>
          <w:numId w:val="14"/>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61"/>
          <w:sz w:val="22"/>
          <w:szCs w:val="22"/>
        </w:rPr>
        <w:instrText xml:space="preserve"> HYPERLINK "http://www.planalto.gov.br/ccivil_03/_ato2019-2022/2021/lei/L14133.htm" \l "art143"</w:instrText>
      </w:r>
      <w:r>
        <w:rPr>
          <w:rStyle w:val="61"/>
          <w:sz w:val="22"/>
          <w:szCs w:val="22"/>
        </w:rPr>
        <w:fldChar w:fldCharType="separate"/>
      </w:r>
      <w:r>
        <w:rPr>
          <w:rStyle w:val="61"/>
          <w:sz w:val="22"/>
          <w:szCs w:val="22"/>
        </w:rPr>
        <w:t>art. 143 da Lei Federal nº 14.133, de 2021</w:t>
      </w:r>
      <w:r>
        <w:rPr>
          <w:rStyle w:val="61"/>
          <w:sz w:val="22"/>
          <w:szCs w:val="22"/>
        </w:rPr>
        <w:fldChar w:fldCharType="end"/>
      </w:r>
      <w:r>
        <w:rPr>
          <w:color w:val="000000"/>
          <w:sz w:val="22"/>
          <w:szCs w:val="22"/>
        </w:rPr>
        <w:t>)</w:t>
      </w:r>
    </w:p>
    <w:p w14:paraId="29BB072A">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14:paraId="69891ACC">
      <w:pPr>
        <w:pStyle w:val="32"/>
        <w:numPr>
          <w:ilvl w:val="1"/>
          <w:numId w:val="14"/>
        </w:numPr>
        <w:tabs>
          <w:tab w:val="left" w:pos="993"/>
        </w:tabs>
        <w:spacing w:before="0" w:beforeAutospacing="0" w:after="120" w:afterAutospacing="0"/>
        <w:ind w:left="0" w:firstLine="567"/>
        <w:jc w:val="both"/>
      </w:pPr>
      <w:r>
        <w:rPr>
          <w:color w:val="000000" w:themeColor="text1"/>
          <w:sz w:val="22"/>
          <w:szCs w:val="22"/>
          <w14:textFill>
            <w14:solidFill>
              <w14:schemeClr w14:val="tx1"/>
            </w14:solidFill>
          </w14:textFill>
        </w:rPr>
        <w:t xml:space="preserve">Nos termos do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V, da Lei Federal nº 14.133, de 2021</w:t>
      </w:r>
      <w:r>
        <w:rPr>
          <w:rStyle w:val="61"/>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14:paraId="4117E47C">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14:paraId="4FD70F90">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14:paraId="61EDEAEA">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14:paraId="1EB66BAB">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14:paraId="0C154DF6">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14:paraId="465F591E">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14:paraId="441B8A25">
      <w:pPr>
        <w:pStyle w:val="32"/>
        <w:numPr>
          <w:ilvl w:val="0"/>
          <w:numId w:val="14"/>
        </w:numPr>
        <w:pBdr>
          <w:bottom w:val="single" w:color="000000" w:themeColor="dark1" w:sz="4" w:space="1"/>
        </w:pBdr>
        <w:shd w:val="clear" w:color="auto" w:fill="BEBEBE" w:themeFill="background1" w:themeFillShade="BF"/>
        <w:spacing w:before="360" w:beforeAutospacing="0" w:after="0" w:afterAutospacing="0"/>
        <w:jc w:val="both"/>
      </w:pPr>
      <w:bookmarkStart w:id="85" w:name="_REAJUSTE_(art._92,"/>
      <w:bookmarkEnd w:id="85"/>
      <w:r>
        <w:rPr>
          <w:rStyle w:val="16"/>
          <w:color w:val="000000"/>
          <w:sz w:val="22"/>
          <w:szCs w:val="22"/>
        </w:rPr>
        <w:t>GARANTIA DE EXECUÇÃO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XII</w:t>
      </w:r>
      <w:r>
        <w:rPr>
          <w:rStyle w:val="61"/>
          <w:sz w:val="22"/>
          <w:szCs w:val="22"/>
        </w:rPr>
        <w:fldChar w:fldCharType="end"/>
      </w:r>
      <w:r>
        <w:rPr>
          <w:rStyle w:val="61"/>
          <w:sz w:val="22"/>
          <w:szCs w:val="22"/>
        </w:rPr>
        <w:t xml:space="preserve"> e XIII, da Lei Federal nº 14.133, de 2021</w:t>
      </w:r>
      <w:r>
        <w:rPr>
          <w:sz w:val="22"/>
          <w:szCs w:val="22"/>
        </w:rPr>
        <w:t>)</w:t>
      </w:r>
    </w:p>
    <w:p w14:paraId="43AC7E4D">
      <w:pPr>
        <w:pStyle w:val="32"/>
        <w:numPr>
          <w:ilvl w:val="1"/>
          <w:numId w:val="14"/>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61"/>
          <w:sz w:val="22"/>
          <w:szCs w:val="22"/>
        </w:rPr>
        <w:instrText xml:space="preserve"> HYPERLINK "https://www.planalto.gov.br/ccivil_03/leis/l8078compilado.htm" \l "art24"</w:instrText>
      </w:r>
      <w:r>
        <w:rPr>
          <w:rStyle w:val="61"/>
          <w:sz w:val="22"/>
          <w:szCs w:val="22"/>
        </w:rPr>
        <w:fldChar w:fldCharType="separate"/>
      </w:r>
      <w:r>
        <w:rPr>
          <w:rStyle w:val="61"/>
          <w:sz w:val="22"/>
          <w:szCs w:val="22"/>
        </w:rPr>
        <w:t>art. 24 da Lei Federal nº 8.078, de 1990</w:t>
      </w:r>
      <w:r>
        <w:rPr>
          <w:rStyle w:val="61"/>
          <w:sz w:val="22"/>
          <w:szCs w:val="22"/>
        </w:rPr>
        <w:fldChar w:fldCharType="end"/>
      </w:r>
      <w:r>
        <w:rPr>
          <w:color w:val="000000"/>
          <w:sz w:val="22"/>
          <w:szCs w:val="22"/>
        </w:rPr>
        <w:t>)</w:t>
      </w:r>
    </w:p>
    <w:p w14:paraId="7392F74C">
      <w:pPr>
        <w:pStyle w:val="32"/>
        <w:numPr>
          <w:ilvl w:val="1"/>
          <w:numId w:val="14"/>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61"/>
          <w:sz w:val="22"/>
          <w:szCs w:val="22"/>
        </w:rPr>
        <w:instrText xml:space="preserve"> HYPERLINK "https://www.planalto.gov.br/ccivil_03/leis/l8078compilado.htm" \l "art50"</w:instrText>
      </w:r>
      <w:r>
        <w:rPr>
          <w:rStyle w:val="61"/>
          <w:sz w:val="22"/>
          <w:szCs w:val="22"/>
        </w:rPr>
        <w:fldChar w:fldCharType="separate"/>
      </w:r>
      <w:r>
        <w:rPr>
          <w:rStyle w:val="61"/>
          <w:sz w:val="22"/>
          <w:szCs w:val="22"/>
        </w:rPr>
        <w:t>art. 50 da Lei Federal nº 8.078, de 1990</w:t>
      </w:r>
      <w:r>
        <w:rPr>
          <w:rStyle w:val="61"/>
          <w:sz w:val="22"/>
          <w:szCs w:val="22"/>
        </w:rPr>
        <w:fldChar w:fldCharType="end"/>
      </w:r>
      <w:r>
        <w:rPr>
          <w:color w:val="000000"/>
          <w:sz w:val="22"/>
          <w:szCs w:val="22"/>
        </w:rPr>
        <w:t>)</w:t>
      </w:r>
      <w:r>
        <w:rPr>
          <w:rFonts w:hint="default"/>
          <w:color w:val="000000"/>
          <w:sz w:val="22"/>
          <w:szCs w:val="22"/>
          <w:lang w:val="pt-BR"/>
        </w:rPr>
        <w:t>.</w:t>
      </w:r>
    </w:p>
    <w:p w14:paraId="011CD1F6">
      <w:pPr>
        <w:pStyle w:val="32"/>
        <w:numPr>
          <w:ilvl w:val="0"/>
          <w:numId w:val="0"/>
        </w:numPr>
        <w:tabs>
          <w:tab w:val="left" w:pos="993"/>
        </w:tabs>
        <w:spacing w:before="0" w:beforeAutospacing="0" w:after="0" w:afterAutospacing="0"/>
        <w:ind w:left="567" w:leftChars="0"/>
        <w:jc w:val="both"/>
      </w:pPr>
    </w:p>
    <w:p w14:paraId="6C19D7C3">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REAJUSTE</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 3º, da Lei Federal nº 14.133, de 2021</w:t>
      </w:r>
      <w:r>
        <w:rPr>
          <w:rStyle w:val="61"/>
          <w:sz w:val="22"/>
          <w:szCs w:val="22"/>
        </w:rPr>
        <w:fldChar w:fldCharType="end"/>
      </w:r>
      <w:r>
        <w:rPr>
          <w:sz w:val="22"/>
          <w:szCs w:val="22"/>
        </w:rPr>
        <w:t>)</w:t>
      </w:r>
    </w:p>
    <w:p w14:paraId="6AA513FE">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14:paraId="6C2D1563">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14:paraId="020B99E9">
      <w:pPr>
        <w:pStyle w:val="32"/>
        <w:numPr>
          <w:ilvl w:val="1"/>
          <w:numId w:val="14"/>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3A2F678F">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47EB9CA6">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21926D92">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14:paraId="6A6F9F4B">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14:paraId="098B266B">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192AAF29">
      <w:pPr>
        <w:pStyle w:val="32"/>
        <w:numPr>
          <w:ilvl w:val="1"/>
          <w:numId w:val="14"/>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14:paraId="1CCD7DC0">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14:paraId="6D95F28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14:paraId="147CF3C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14:paraId="473A0BC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3E43AFAB">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14:paraId="367CD065">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14:paraId="3C83B5B1">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9D6EF1F">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SANÇÕES ADMINISTRATIVAS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w:t>
      </w:r>
      <w:r>
        <w:rPr>
          <w:rStyle w:val="61"/>
          <w:sz w:val="22"/>
          <w:szCs w:val="22"/>
        </w:rPr>
        <w:fldChar w:fldCharType="end"/>
      </w:r>
      <w:r>
        <w:rPr>
          <w:rStyle w:val="61"/>
          <w:sz w:val="22"/>
          <w:szCs w:val="22"/>
        </w:rPr>
        <w:t>, da Lei Federal nº 14.133, de 2021</w:t>
      </w:r>
      <w:r>
        <w:rPr>
          <w:sz w:val="22"/>
          <w:szCs w:val="22"/>
        </w:rPr>
        <w:t>)</w:t>
      </w:r>
    </w:p>
    <w:p w14:paraId="773AC992">
      <w:pPr>
        <w:pStyle w:val="32"/>
        <w:numPr>
          <w:ilvl w:val="1"/>
          <w:numId w:val="14"/>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14:paraId="110B663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198BDC83">
      <w:pPr>
        <w:pStyle w:val="32"/>
        <w:numPr>
          <w:ilvl w:val="1"/>
          <w:numId w:val="14"/>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14:paraId="4D98FE6A">
      <w:pPr>
        <w:pStyle w:val="49"/>
        <w:numPr>
          <w:ilvl w:val="2"/>
          <w:numId w:val="14"/>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14:paraId="5379A46E">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14:paraId="74846197">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14:paraId="7E83719E">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14:paraId="781BD413">
      <w:pPr>
        <w:pStyle w:val="49"/>
        <w:numPr>
          <w:ilvl w:val="2"/>
          <w:numId w:val="14"/>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14:paraId="5CBC8D80">
      <w:pPr>
        <w:pStyle w:val="32"/>
        <w:numPr>
          <w:ilvl w:val="1"/>
          <w:numId w:val="14"/>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 da Lei Federal nº 14.133, de 2021</w:t>
      </w:r>
      <w:r>
        <w:rPr>
          <w:rStyle w:val="61"/>
          <w:sz w:val="22"/>
          <w:szCs w:val="22"/>
        </w:rPr>
        <w:fldChar w:fldCharType="end"/>
      </w:r>
      <w:r>
        <w:rPr>
          <w:sz w:val="22"/>
          <w:szCs w:val="22"/>
        </w:rPr>
        <w:t>), impedimento de licitar e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III, da Lei Federal nº 14.133, de 2021</w:t>
      </w:r>
      <w:r>
        <w:rPr>
          <w:rStyle w:val="61"/>
          <w:sz w:val="22"/>
          <w:szCs w:val="22"/>
        </w:rPr>
        <w:fldChar w:fldCharType="end"/>
      </w:r>
      <w:r>
        <w:rPr>
          <w:sz w:val="22"/>
          <w:szCs w:val="22"/>
        </w:rPr>
        <w:t>) e declaração de inidoneidade para licitar ou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sz w:val="22"/>
          <w:szCs w:val="22"/>
        </w:rPr>
        <w:t>) poderão ser aplicadas, cumulativamente ou não, à penalidade de multa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 da Lei Federal nº 14.133, de 2021</w:t>
      </w:r>
      <w:r>
        <w:rPr>
          <w:rStyle w:val="61"/>
          <w:sz w:val="22"/>
          <w:szCs w:val="22"/>
        </w:rPr>
        <w:fldChar w:fldCharType="end"/>
      </w:r>
      <w:r>
        <w:rPr>
          <w:sz w:val="22"/>
          <w:szCs w:val="22"/>
        </w:rPr>
        <w:t>).</w:t>
      </w:r>
    </w:p>
    <w:p w14:paraId="6DFEE2C6">
      <w:pPr>
        <w:pStyle w:val="32"/>
        <w:numPr>
          <w:ilvl w:val="1"/>
          <w:numId w:val="14"/>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w:t>
      </w:r>
    </w:p>
    <w:p w14:paraId="037EF4B9">
      <w:pPr>
        <w:pStyle w:val="32"/>
        <w:numPr>
          <w:ilvl w:val="1"/>
          <w:numId w:val="14"/>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61"/>
          <w:sz w:val="22"/>
          <w:szCs w:val="22"/>
        </w:rPr>
        <w:instrText xml:space="preserve"> HYPERLINK "http://www.planalto.gov.br/ccivil_03/_ato2019-2022/2021/lei/L14133.htm" \l "art156§9"</w:instrText>
      </w:r>
      <w:r>
        <w:rPr>
          <w:rStyle w:val="61"/>
          <w:sz w:val="22"/>
          <w:szCs w:val="22"/>
        </w:rPr>
        <w:fldChar w:fldCharType="separate"/>
      </w:r>
      <w:r>
        <w:rPr>
          <w:rStyle w:val="61"/>
          <w:sz w:val="22"/>
          <w:szCs w:val="22"/>
        </w:rPr>
        <w:t>art. 156, §9º, da Lei Federal nº 14.133, de 2021</w:t>
      </w:r>
      <w:r>
        <w:rPr>
          <w:rStyle w:val="61"/>
          <w:sz w:val="22"/>
          <w:szCs w:val="22"/>
        </w:rPr>
        <w:fldChar w:fldCharType="end"/>
      </w:r>
      <w:r>
        <w:rPr>
          <w:sz w:val="22"/>
          <w:szCs w:val="22"/>
        </w:rPr>
        <w:t>)</w:t>
      </w:r>
    </w:p>
    <w:p w14:paraId="1FB67240">
      <w:pPr>
        <w:pStyle w:val="32"/>
        <w:numPr>
          <w:ilvl w:val="1"/>
          <w:numId w:val="14"/>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61"/>
          <w:sz w:val="22"/>
          <w:szCs w:val="22"/>
        </w:rPr>
        <w:instrText xml:space="preserve"> HYPERLINK "http://www.planalto.gov.br/ccivil_03/_ato2019-2022/2021/lei/L14133.htm" \l "art156§8"</w:instrText>
      </w:r>
      <w:r>
        <w:rPr>
          <w:rStyle w:val="61"/>
          <w:sz w:val="22"/>
          <w:szCs w:val="22"/>
        </w:rPr>
        <w:fldChar w:fldCharType="separate"/>
      </w:r>
      <w:r>
        <w:rPr>
          <w:rStyle w:val="61"/>
          <w:sz w:val="22"/>
          <w:szCs w:val="22"/>
        </w:rPr>
        <w:t>art. 156, §8º, da Lei Federal nº 14.133, de 2021</w:t>
      </w:r>
      <w:r>
        <w:rPr>
          <w:rStyle w:val="61"/>
          <w:sz w:val="22"/>
          <w:szCs w:val="22"/>
        </w:rPr>
        <w:fldChar w:fldCharType="end"/>
      </w:r>
      <w:r>
        <w:rPr>
          <w:sz w:val="22"/>
          <w:szCs w:val="22"/>
        </w:rPr>
        <w:t>).</w:t>
      </w:r>
    </w:p>
    <w:p w14:paraId="17D7DB3A">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86" w:name="_Hlk78351618"/>
      <w:bookmarkEnd w:id="86"/>
    </w:p>
    <w:p w14:paraId="33B709A4">
      <w:pPr>
        <w:pStyle w:val="32"/>
        <w:numPr>
          <w:ilvl w:val="1"/>
          <w:numId w:val="14"/>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14:paraId="0E4E83A7">
      <w:pPr>
        <w:pStyle w:val="32"/>
        <w:numPr>
          <w:ilvl w:val="1"/>
          <w:numId w:val="14"/>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61"/>
          <w:sz w:val="22"/>
          <w:szCs w:val="22"/>
        </w:rPr>
        <w:instrText xml:space="preserve"> HYPERLINK "http://www.planalto.gov.br/ccivil_03/_ato2019-2022/2021/lei/L14133.htm" \l "art159"</w:instrText>
      </w:r>
      <w:r>
        <w:rPr>
          <w:rStyle w:val="61"/>
          <w:sz w:val="22"/>
          <w:szCs w:val="22"/>
        </w:rPr>
        <w:fldChar w:fldCharType="separate"/>
      </w:r>
      <w:r>
        <w:rPr>
          <w:rStyle w:val="61"/>
          <w:sz w:val="22"/>
          <w:szCs w:val="22"/>
        </w:rPr>
        <w:t>art. 159 da Lei Federal nº 14.133, de 2021</w:t>
      </w:r>
      <w:r>
        <w:rPr>
          <w:rStyle w:val="61"/>
          <w:sz w:val="22"/>
          <w:szCs w:val="22"/>
        </w:rPr>
        <w:fldChar w:fldCharType="end"/>
      </w:r>
      <w:r>
        <w:rPr>
          <w:sz w:val="22"/>
          <w:szCs w:val="22"/>
        </w:rPr>
        <w:t>).</w:t>
      </w:r>
    </w:p>
    <w:p w14:paraId="739FA989">
      <w:pPr>
        <w:pStyle w:val="32"/>
        <w:numPr>
          <w:ilvl w:val="1"/>
          <w:numId w:val="14"/>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61"/>
          <w:sz w:val="22"/>
          <w:szCs w:val="22"/>
        </w:rPr>
        <w:instrText xml:space="preserve"> HYPERLINK "http://www.planalto.gov.br/ccivil_03/_ato2019-2022/2021/lei/L14133.htm" \l "art160"</w:instrText>
      </w:r>
      <w:r>
        <w:rPr>
          <w:rStyle w:val="61"/>
          <w:sz w:val="22"/>
          <w:szCs w:val="22"/>
        </w:rPr>
        <w:fldChar w:fldCharType="separate"/>
      </w:r>
      <w:r>
        <w:rPr>
          <w:rStyle w:val="61"/>
          <w:sz w:val="22"/>
          <w:szCs w:val="22"/>
        </w:rPr>
        <w:t>art. 160, da Lei Federal nº 14.133, de 2021</w:t>
      </w:r>
      <w:r>
        <w:rPr>
          <w:rStyle w:val="61"/>
          <w:sz w:val="22"/>
          <w:szCs w:val="22"/>
        </w:rPr>
        <w:fldChar w:fldCharType="end"/>
      </w:r>
      <w:r>
        <w:rPr>
          <w:sz w:val="22"/>
          <w:szCs w:val="22"/>
        </w:rPr>
        <w:t>)</w:t>
      </w:r>
    </w:p>
    <w:p w14:paraId="4803DD3D">
      <w:pPr>
        <w:pStyle w:val="32"/>
        <w:numPr>
          <w:ilvl w:val="1"/>
          <w:numId w:val="14"/>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163 da Lei Federal nº 14.133, de 2021.</w:t>
      </w:r>
      <w:r>
        <w:rPr>
          <w:rStyle w:val="61"/>
          <w:sz w:val="22"/>
          <w:szCs w:val="22"/>
        </w:rPr>
        <w:fldChar w:fldCharType="end"/>
      </w:r>
    </w:p>
    <w:p w14:paraId="12D9FB62">
      <w:pPr>
        <w:pStyle w:val="32"/>
        <w:numPr>
          <w:ilvl w:val="1"/>
          <w:numId w:val="14"/>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61"/>
          <w:sz w:val="22"/>
          <w:szCs w:val="22"/>
        </w:rPr>
        <w:t>Instrução Normativa SEGES/ME nº 26, de 13 de abril de 2022</w:t>
      </w:r>
      <w:r>
        <w:rPr>
          <w:rStyle w:val="61"/>
          <w:sz w:val="22"/>
          <w:szCs w:val="22"/>
        </w:rPr>
        <w:fldChar w:fldCharType="end"/>
      </w:r>
      <w:r>
        <w:rPr>
          <w:sz w:val="22"/>
          <w:szCs w:val="22"/>
        </w:rPr>
        <w:t xml:space="preserve">. </w:t>
      </w:r>
    </w:p>
    <w:p w14:paraId="6FCFB32E">
      <w:pPr>
        <w:pStyle w:val="32"/>
        <w:numPr>
          <w:ilvl w:val="1"/>
          <w:numId w:val="14"/>
        </w:numPr>
        <w:tabs>
          <w:tab w:val="left" w:pos="993"/>
        </w:tabs>
        <w:spacing w:before="0" w:beforeAutospacing="0" w:after="0" w:afterAutospacing="0"/>
        <w:ind w:left="0" w:firstLine="567"/>
        <w:jc w:val="both"/>
      </w:pPr>
    </w:p>
    <w:p w14:paraId="52072B19">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ALTERAÇÕES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rStyle w:val="16"/>
          <w:b w:val="0"/>
          <w:bCs w:val="0"/>
          <w:color w:val="000000"/>
          <w:sz w:val="22"/>
          <w:szCs w:val="22"/>
        </w:rPr>
        <w:t>)</w:t>
      </w:r>
    </w:p>
    <w:p w14:paraId="6DD330AD">
      <w:pPr>
        <w:pStyle w:val="32"/>
        <w:numPr>
          <w:ilvl w:val="1"/>
          <w:numId w:val="14"/>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sz w:val="22"/>
          <w:szCs w:val="22"/>
        </w:rPr>
        <w:t>.</w:t>
      </w:r>
    </w:p>
    <w:p w14:paraId="1B2838D6">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14:paraId="689DB1A3">
      <w:pPr>
        <w:pStyle w:val="32"/>
        <w:numPr>
          <w:ilvl w:val="1"/>
          <w:numId w:val="14"/>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61"/>
          <w:sz w:val="22"/>
          <w:szCs w:val="22"/>
        </w:rPr>
        <w:instrText xml:space="preserve"> HYPERLINK "http://www.planalto.gov.br/ccivil_03/_ato2019-2022/2021/lei/L14133.htm" \l "art132"</w:instrText>
      </w:r>
      <w:r>
        <w:rPr>
          <w:rStyle w:val="61"/>
          <w:sz w:val="22"/>
          <w:szCs w:val="22"/>
        </w:rPr>
        <w:fldChar w:fldCharType="separate"/>
      </w:r>
      <w:r>
        <w:rPr>
          <w:rStyle w:val="61"/>
          <w:sz w:val="22"/>
          <w:szCs w:val="22"/>
        </w:rPr>
        <w:t>art. 132 da Lei Federal nº 14.133, de 2021</w:t>
      </w:r>
      <w:r>
        <w:rPr>
          <w:rStyle w:val="61"/>
          <w:sz w:val="22"/>
          <w:szCs w:val="22"/>
        </w:rPr>
        <w:fldChar w:fldCharType="end"/>
      </w:r>
      <w:r>
        <w:rPr>
          <w:sz w:val="22"/>
          <w:szCs w:val="22"/>
        </w:rPr>
        <w:t>).</w:t>
      </w:r>
    </w:p>
    <w:p w14:paraId="41F377DE">
      <w:pPr>
        <w:pStyle w:val="32"/>
        <w:numPr>
          <w:ilvl w:val="1"/>
          <w:numId w:val="14"/>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61"/>
          <w:sz w:val="22"/>
          <w:szCs w:val="22"/>
        </w:rPr>
        <w:instrText xml:space="preserve"> HYPERLINK "http://www.planalto.gov.br/ccivil_03/_ato2019-2022/2021/lei/L14133.htm" \l "art136"</w:instrText>
      </w:r>
      <w:r>
        <w:rPr>
          <w:rStyle w:val="61"/>
          <w:sz w:val="22"/>
          <w:szCs w:val="22"/>
        </w:rPr>
        <w:fldChar w:fldCharType="separate"/>
      </w:r>
      <w:r>
        <w:rPr>
          <w:rStyle w:val="61"/>
          <w:sz w:val="22"/>
          <w:szCs w:val="22"/>
        </w:rPr>
        <w:t>art. 136 da Lei Federal nº 14.133, de 2021</w:t>
      </w:r>
      <w:r>
        <w:rPr>
          <w:rStyle w:val="61"/>
          <w:sz w:val="22"/>
          <w:szCs w:val="22"/>
        </w:rPr>
        <w:fldChar w:fldCharType="end"/>
      </w:r>
      <w:r>
        <w:rPr>
          <w:sz w:val="22"/>
          <w:szCs w:val="22"/>
        </w:rPr>
        <w:t>.</w:t>
      </w:r>
    </w:p>
    <w:p w14:paraId="73EA0A94">
      <w:pPr>
        <w:pStyle w:val="32"/>
        <w:numPr>
          <w:ilvl w:val="1"/>
          <w:numId w:val="14"/>
        </w:numPr>
        <w:tabs>
          <w:tab w:val="left" w:pos="993"/>
        </w:tabs>
        <w:spacing w:before="0" w:beforeAutospacing="0" w:after="0" w:afterAutospacing="0"/>
        <w:ind w:left="0" w:firstLine="567"/>
        <w:jc w:val="both"/>
      </w:pPr>
    </w:p>
    <w:p w14:paraId="3F0C0E30">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DA EXTINÇÃO CONTRATUAL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XIX</w:t>
      </w:r>
      <w:r>
        <w:rPr>
          <w:rStyle w:val="61"/>
          <w:sz w:val="22"/>
          <w:szCs w:val="22"/>
        </w:rPr>
        <w:fldChar w:fldCharType="end"/>
      </w:r>
      <w:r>
        <w:rPr>
          <w:rStyle w:val="61"/>
          <w:sz w:val="22"/>
          <w:szCs w:val="22"/>
        </w:rPr>
        <w:t>, da Lei Federal nº 14.133, de 2021</w:t>
      </w:r>
      <w:r>
        <w:rPr>
          <w:sz w:val="22"/>
          <w:szCs w:val="22"/>
        </w:rPr>
        <w:t>)</w:t>
      </w:r>
    </w:p>
    <w:p w14:paraId="057673BC">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14:paraId="60D714D9">
      <w:pPr>
        <w:pStyle w:val="32"/>
        <w:numPr>
          <w:ilvl w:val="1"/>
          <w:numId w:val="14"/>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w:t>
      </w:r>
    </w:p>
    <w:p w14:paraId="70CC472D">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14:paraId="56A71B6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14:paraId="70682622">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14:paraId="1C5BEA2E">
      <w:pPr>
        <w:pStyle w:val="32"/>
        <w:numPr>
          <w:ilvl w:val="1"/>
          <w:numId w:val="14"/>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artigo 137 da Lei Federal nº 14.133/21</w:t>
      </w:r>
      <w:r>
        <w:rPr>
          <w:rStyle w:val="61"/>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rStyle w:val="61"/>
          <w:sz w:val="22"/>
          <w:szCs w:val="22"/>
        </w:rPr>
        <w:instrText xml:space="preserve"> HYPERLINK "http://www.planalto.gov.br/ccivil_03/_ato2019-2022/2021/lei/L14133.htm" \l "art138"</w:instrText>
      </w:r>
      <w:r>
        <w:rPr>
          <w:rStyle w:val="61"/>
          <w:sz w:val="22"/>
          <w:szCs w:val="22"/>
        </w:rPr>
        <w:fldChar w:fldCharType="separate"/>
      </w:r>
      <w:r>
        <w:rPr>
          <w:rStyle w:val="61"/>
          <w:sz w:val="22"/>
          <w:szCs w:val="22"/>
        </w:rPr>
        <w:t>artigos 138 e 139</w:t>
      </w:r>
      <w:r>
        <w:rPr>
          <w:rStyle w:val="61"/>
          <w:sz w:val="22"/>
          <w:szCs w:val="22"/>
        </w:rPr>
        <w:fldChar w:fldCharType="end"/>
      </w:r>
      <w:r>
        <w:rPr>
          <w:rStyle w:val="61"/>
          <w:sz w:val="22"/>
          <w:szCs w:val="22"/>
        </w:rPr>
        <w:t xml:space="preserve"> da Lei Federal nº 14.133, de 2021</w:t>
      </w:r>
      <w:r>
        <w:rPr>
          <w:sz w:val="22"/>
          <w:szCs w:val="22"/>
        </w:rPr>
        <w:t>.</w:t>
      </w:r>
    </w:p>
    <w:p w14:paraId="1D600F1A">
      <w:pPr>
        <w:pStyle w:val="32"/>
        <w:numPr>
          <w:ilvl w:val="1"/>
          <w:numId w:val="14"/>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III, da Lei Federal nº 14.133, de 2021</w:t>
      </w:r>
      <w:r>
        <w:rPr>
          <w:rStyle w:val="61"/>
          <w:sz w:val="22"/>
          <w:szCs w:val="22"/>
        </w:rPr>
        <w:fldChar w:fldCharType="end"/>
      </w:r>
      <w:r>
        <w:rPr>
          <w:sz w:val="22"/>
          <w:szCs w:val="22"/>
        </w:rPr>
        <w:t>)</w:t>
      </w:r>
    </w:p>
    <w:p w14:paraId="5A354912">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14:paraId="52E834A8">
      <w:pPr>
        <w:pStyle w:val="32"/>
        <w:numPr>
          <w:ilvl w:val="1"/>
          <w:numId w:val="14"/>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14:paraId="64316CF6">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14:paraId="2880E111">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14:paraId="53B3493D">
      <w:pPr>
        <w:pStyle w:val="32"/>
        <w:numPr>
          <w:ilvl w:val="2"/>
          <w:numId w:val="14"/>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14:paraId="35ECEF9B">
      <w:pPr>
        <w:pStyle w:val="32"/>
        <w:numPr>
          <w:ilvl w:val="1"/>
          <w:numId w:val="14"/>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61"/>
          <w:sz w:val="22"/>
          <w:szCs w:val="22"/>
        </w:rPr>
        <w:instrText xml:space="preserve"> HYPERLINK "http://www.planalto.gov.br/ccivil_03/_ato2019-2022/2021/lei/L14133.htm" \l "art131"</w:instrText>
      </w:r>
      <w:r>
        <w:rPr>
          <w:rStyle w:val="61"/>
          <w:sz w:val="22"/>
          <w:szCs w:val="22"/>
        </w:rPr>
        <w:fldChar w:fldCharType="separate"/>
      </w:r>
      <w:r>
        <w:rPr>
          <w:rStyle w:val="61"/>
          <w:sz w:val="22"/>
          <w:szCs w:val="22"/>
        </w:rPr>
        <w:t xml:space="preserve">art. 131, </w:t>
      </w:r>
      <w:r>
        <w:rPr>
          <w:rStyle w:val="61"/>
          <w:sz w:val="22"/>
          <w:szCs w:val="22"/>
        </w:rPr>
        <w:fldChar w:fldCharType="end"/>
      </w:r>
      <w:r>
        <w:rPr>
          <w:rStyle w:val="61"/>
          <w:i/>
          <w:iCs/>
          <w:sz w:val="22"/>
          <w:szCs w:val="22"/>
        </w:rPr>
        <w:t xml:space="preserve">caput, </w:t>
      </w:r>
      <w:r>
        <w:rPr>
          <w:rStyle w:val="61"/>
          <w:sz w:val="22"/>
          <w:szCs w:val="22"/>
        </w:rPr>
        <w:t>da Lei Federal nº 14.133, de 2021).</w:t>
      </w:r>
      <w:r>
        <w:rPr>
          <w:sz w:val="22"/>
          <w:szCs w:val="22"/>
        </w:rPr>
        <w:t xml:space="preserve"> </w:t>
      </w:r>
    </w:p>
    <w:p w14:paraId="064044E9">
      <w:pPr>
        <w:pStyle w:val="32"/>
        <w:numPr>
          <w:ilvl w:val="1"/>
          <w:numId w:val="14"/>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61"/>
          <w:sz w:val="22"/>
          <w:szCs w:val="22"/>
        </w:rPr>
        <w:instrText xml:space="preserve"> HYPERLINK "http://www.planalto.gov.br/ccivil_03/_ato2019-2022/2021/lei/L14133.htm" \l "art14"</w:instrText>
      </w:r>
      <w:r>
        <w:rPr>
          <w:rStyle w:val="61"/>
          <w:sz w:val="22"/>
          <w:szCs w:val="22"/>
        </w:rPr>
        <w:fldChar w:fldCharType="separate"/>
      </w:r>
      <w:r>
        <w:rPr>
          <w:rStyle w:val="61"/>
          <w:sz w:val="22"/>
          <w:szCs w:val="22"/>
        </w:rPr>
        <w:t>art. 14, inciso IV, da Lei Federal nº 14.133, de 2021</w:t>
      </w:r>
      <w:r>
        <w:rPr>
          <w:rStyle w:val="61"/>
          <w:sz w:val="22"/>
          <w:szCs w:val="22"/>
        </w:rPr>
        <w:fldChar w:fldCharType="end"/>
      </w:r>
      <w:r>
        <w:rPr>
          <w:sz w:val="22"/>
          <w:szCs w:val="22"/>
        </w:rPr>
        <w:t>).</w:t>
      </w:r>
    </w:p>
    <w:p w14:paraId="7EFC410A">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1C21C510">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DOS CASOS OMISSOS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w:t>
      </w:r>
      <w:r>
        <w:rPr>
          <w:rStyle w:val="61"/>
          <w:sz w:val="22"/>
          <w:szCs w:val="22"/>
        </w:rPr>
        <w:fldChar w:fldCharType="end"/>
      </w:r>
      <w:r>
        <w:rPr>
          <w:rStyle w:val="61"/>
          <w:sz w:val="22"/>
          <w:szCs w:val="22"/>
        </w:rPr>
        <w:t>, da Lei Federal nº 14.133, de 2021</w:t>
      </w:r>
      <w:r>
        <w:rPr>
          <w:sz w:val="22"/>
          <w:szCs w:val="22"/>
        </w:rPr>
        <w:t>)</w:t>
      </w:r>
    </w:p>
    <w:p w14:paraId="4EF3FDF2">
      <w:pPr>
        <w:pStyle w:val="32"/>
        <w:numPr>
          <w:ilvl w:val="1"/>
          <w:numId w:val="14"/>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61"/>
          <w:sz w:val="22"/>
          <w:szCs w:val="22"/>
        </w:rPr>
        <w:t>Lei Federal nº 8.078, de 1990 - Código de Defesa do Consumidor</w:t>
      </w:r>
      <w:r>
        <w:rPr>
          <w:rStyle w:val="61"/>
          <w:sz w:val="22"/>
          <w:szCs w:val="22"/>
        </w:rPr>
        <w:fldChar w:fldCharType="end"/>
      </w:r>
      <w:r>
        <w:rPr>
          <w:sz w:val="22"/>
          <w:szCs w:val="22"/>
        </w:rPr>
        <w:t xml:space="preserve"> - e normas e princípios gerais dos contratos.</w:t>
      </w:r>
    </w:p>
    <w:p w14:paraId="5EC34B9A">
      <w:pPr>
        <w:pStyle w:val="32"/>
        <w:numPr>
          <w:ilvl w:val="1"/>
          <w:numId w:val="14"/>
        </w:numPr>
        <w:tabs>
          <w:tab w:val="left" w:pos="993"/>
        </w:tabs>
        <w:spacing w:before="0" w:beforeAutospacing="0" w:after="0" w:afterAutospacing="0"/>
        <w:ind w:left="0" w:firstLine="567"/>
        <w:jc w:val="both"/>
      </w:pPr>
    </w:p>
    <w:p w14:paraId="5D7BC23C">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PUBLICAÇÃO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rStyle w:val="16"/>
          <w:b w:val="0"/>
          <w:bCs w:val="0"/>
          <w:color w:val="000000"/>
          <w:sz w:val="22"/>
          <w:szCs w:val="22"/>
        </w:rPr>
        <w:t>)</w:t>
      </w:r>
    </w:p>
    <w:p w14:paraId="031291F9">
      <w:pPr>
        <w:pStyle w:val="32"/>
        <w:numPr>
          <w:ilvl w:val="1"/>
          <w:numId w:val="14"/>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61"/>
          <w:sz w:val="22"/>
          <w:szCs w:val="22"/>
        </w:rPr>
        <w:t>https://pncp.gov.br/</w:t>
      </w:r>
      <w:r>
        <w:rPr>
          <w:rStyle w:val="61"/>
          <w:sz w:val="22"/>
          <w:szCs w:val="22"/>
        </w:rPr>
        <w:fldChar w:fldCharType="end"/>
      </w:r>
      <w:r>
        <w:rPr>
          <w:sz w:val="22"/>
          <w:szCs w:val="22"/>
        </w:rPr>
        <w:t xml:space="preserve">), na forma prevista no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sz w:val="22"/>
          <w:szCs w:val="22"/>
        </w:rPr>
        <w:t xml:space="preserve">, bem como no respectivo sítio oficial na Internet, em atenção ao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 xml:space="preserve">art. 91, </w:t>
      </w:r>
      <w:r>
        <w:rPr>
          <w:rStyle w:val="61"/>
          <w:sz w:val="22"/>
          <w:szCs w:val="22"/>
        </w:rPr>
        <w:fldChar w:fldCharType="end"/>
      </w:r>
      <w:r>
        <w:rPr>
          <w:rStyle w:val="61"/>
          <w:i/>
          <w:iCs/>
          <w:sz w:val="22"/>
          <w:szCs w:val="22"/>
        </w:rPr>
        <w:t>caput</w:t>
      </w:r>
      <w:r>
        <w:rPr>
          <w:rStyle w:val="61"/>
          <w:sz w:val="22"/>
          <w:szCs w:val="22"/>
        </w:rPr>
        <w:t>, da Lei Federal nº 14.133, de 2021</w:t>
      </w:r>
      <w:r>
        <w:rPr>
          <w:sz w:val="22"/>
          <w:szCs w:val="22"/>
        </w:rPr>
        <w:t xml:space="preserve">, e ao </w:t>
      </w:r>
      <w:r>
        <w:fldChar w:fldCharType="begin"/>
      </w:r>
      <w:r>
        <w:rPr>
          <w:rStyle w:val="61"/>
          <w:sz w:val="22"/>
          <w:szCs w:val="22"/>
        </w:rPr>
        <w:instrText xml:space="preserve"> HYPERLINK "https://www.planalto.gov.br/ccivil_03/_ato2011-2014/2011/lei/l12527.htm" \l "art8§2"</w:instrText>
      </w:r>
      <w:r>
        <w:rPr>
          <w:rStyle w:val="61"/>
          <w:sz w:val="22"/>
          <w:szCs w:val="22"/>
        </w:rPr>
        <w:fldChar w:fldCharType="separate"/>
      </w:r>
      <w:r>
        <w:rPr>
          <w:rStyle w:val="61"/>
          <w:sz w:val="22"/>
          <w:szCs w:val="22"/>
        </w:rPr>
        <w:t>art. 8º, §2º, da Lei Federal nº 12.527, de 2011</w:t>
      </w:r>
      <w:r>
        <w:rPr>
          <w:rStyle w:val="61"/>
          <w:sz w:val="22"/>
          <w:szCs w:val="22"/>
        </w:rPr>
        <w:fldChar w:fldCharType="end"/>
      </w:r>
      <w:r>
        <w:rPr>
          <w:sz w:val="22"/>
          <w:szCs w:val="22"/>
        </w:rPr>
        <w:t>.</w:t>
      </w:r>
    </w:p>
    <w:p w14:paraId="1F1E2A55">
      <w:pPr>
        <w:pStyle w:val="32"/>
        <w:numPr>
          <w:ilvl w:val="1"/>
          <w:numId w:val="14"/>
        </w:numPr>
        <w:tabs>
          <w:tab w:val="left" w:pos="993"/>
        </w:tabs>
        <w:spacing w:before="0" w:beforeAutospacing="0" w:after="0" w:afterAutospacing="0"/>
        <w:ind w:left="0" w:firstLine="567"/>
        <w:jc w:val="both"/>
      </w:pPr>
    </w:p>
    <w:p w14:paraId="5A0588D5">
      <w:pPr>
        <w:pStyle w:val="32"/>
        <w:numPr>
          <w:ilvl w:val="0"/>
          <w:numId w:val="14"/>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FORO</w:t>
      </w:r>
      <w:r>
        <w:rPr>
          <w:sz w:val="22"/>
          <w:szCs w:val="22"/>
        </w:rPr>
        <w:t xml:space="preserv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w:t>
      </w:r>
      <w:r>
        <w:rPr>
          <w:rStyle w:val="61"/>
          <w:sz w:val="22"/>
          <w:szCs w:val="22"/>
        </w:rPr>
        <w:fldChar w:fldCharType="end"/>
      </w:r>
      <w:r>
        <w:rPr>
          <w:rStyle w:val="61"/>
          <w:sz w:val="22"/>
          <w:szCs w:val="22"/>
        </w:rPr>
        <w:t>, da Lei Federal nº 14.133, de 2021</w:t>
      </w:r>
      <w:r>
        <w:rPr>
          <w:sz w:val="22"/>
          <w:szCs w:val="22"/>
        </w:rPr>
        <w:t>)</w:t>
      </w:r>
    </w:p>
    <w:p w14:paraId="727D3A84">
      <w:pPr>
        <w:pStyle w:val="32"/>
        <w:numPr>
          <w:ilvl w:val="1"/>
          <w:numId w:val="14"/>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 da Lei Federal nº 14.133, de 2021.</w:t>
      </w:r>
      <w:r>
        <w:rPr>
          <w:rStyle w:val="61"/>
          <w:sz w:val="22"/>
          <w:szCs w:val="22"/>
        </w:rPr>
        <w:fldChar w:fldCharType="end"/>
      </w:r>
    </w:p>
    <w:p w14:paraId="10CB99E8">
      <w:pPr>
        <w:pStyle w:val="32"/>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14:paraId="613038B2">
      <w:pPr>
        <w:pStyle w:val="32"/>
        <w:tabs>
          <w:tab w:val="left" w:pos="993"/>
        </w:tabs>
        <w:spacing w:before="120" w:beforeAutospacing="0" w:after="120" w:afterAutospacing="0"/>
        <w:ind w:firstLine="567"/>
        <w:jc w:val="right"/>
        <w:rPr>
          <w:sz w:val="22"/>
          <w:szCs w:val="22"/>
        </w:rPr>
      </w:pPr>
    </w:p>
    <w:p w14:paraId="3CC036CB">
      <w:pPr>
        <w:pStyle w:val="32"/>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14:paraId="190591BE">
      <w:pPr>
        <w:pStyle w:val="32"/>
        <w:tabs>
          <w:tab w:val="left" w:pos="993"/>
        </w:tabs>
        <w:spacing w:before="120" w:beforeAutospacing="0" w:after="120" w:afterAutospacing="0"/>
        <w:jc w:val="right"/>
        <w:rPr>
          <w:rFonts w:ascii="Times New Roman" w:hAnsi="Times New Roman"/>
          <w:sz w:val="22"/>
          <w:szCs w:val="22"/>
        </w:rPr>
      </w:pPr>
    </w:p>
    <w:p w14:paraId="349C928C">
      <w:pPr>
        <w:pStyle w:val="32"/>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14:paraId="68F8681C">
      <w:pPr>
        <w:pStyle w:val="32"/>
        <w:tabs>
          <w:tab w:val="left" w:pos="993"/>
        </w:tabs>
        <w:spacing w:before="120" w:beforeAutospacing="0" w:after="120" w:afterAutospacing="0"/>
        <w:jc w:val="both"/>
        <w:rPr>
          <w:sz w:val="22"/>
          <w:szCs w:val="22"/>
          <w:highlight w:val="none"/>
        </w:rPr>
      </w:pPr>
    </w:p>
    <w:p w14:paraId="433AC8F3">
      <w:pPr>
        <w:pStyle w:val="32"/>
        <w:tabs>
          <w:tab w:val="left" w:pos="993"/>
        </w:tabs>
        <w:spacing w:before="120" w:beforeAutospacing="0" w:after="120" w:afterAutospacing="0"/>
        <w:jc w:val="both"/>
        <w:rPr>
          <w:rFonts w:ascii="Times New Roman" w:hAnsi="Times New Roman"/>
          <w:sz w:val="22"/>
          <w:szCs w:val="22"/>
          <w:highlight w:val="none"/>
        </w:rPr>
      </w:pPr>
    </w:p>
    <w:tbl>
      <w:tblPr>
        <w:tblStyle w:val="4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14:paraId="492F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14:paraId="4281DF51">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14:paraId="39D65A7F">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14:paraId="0EB9BB80">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14:paraId="4D0B36E6">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14:paraId="3FA7A47D">
      <w:pPr>
        <w:pStyle w:val="32"/>
        <w:tabs>
          <w:tab w:val="left" w:pos="993"/>
        </w:tabs>
        <w:spacing w:before="120" w:beforeAutospacing="0" w:after="120" w:afterAutospacing="0"/>
        <w:jc w:val="both"/>
        <w:rPr>
          <w:rFonts w:ascii="Times New Roman" w:hAnsi="Times New Roman"/>
          <w:sz w:val="22"/>
          <w:szCs w:val="22"/>
          <w:highlight w:val="none"/>
        </w:rPr>
      </w:pPr>
    </w:p>
    <w:p w14:paraId="28802CE0">
      <w:pPr>
        <w:pStyle w:val="32"/>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C264">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14:paraId="5E86F8D0">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1"/>
        <w:rFonts w:ascii="Times New Roman" w:hAnsi="Times New Roman" w:cs="Arial"/>
        <w:sz w:val="20"/>
        <w:szCs w:val="20"/>
      </w:rPr>
      <w:t>https://www.primaveradoleste.mt.leg.br/</w:t>
    </w:r>
    <w:r>
      <w:rPr>
        <w:rStyle w:val="61"/>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DCBD">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E8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6E775E9">
      <w:pPr>
        <w:pStyle w:val="45"/>
      </w:pPr>
      <w:r>
        <w:rPr>
          <w:rStyle w:val="51"/>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3CA7">
    <w:pPr>
      <w:pStyle w:val="37"/>
      <w:jc w:val="center"/>
      <w:rPr>
        <w:rFonts w:eastAsia="Liberation Serif"/>
        <w:sz w:val="18"/>
        <w:szCs w:val="18"/>
        <w:lang w:eastAsia="hi-IN"/>
      </w:rPr>
    </w:pP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5B0A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65A0F847">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14:paraId="4B03BF53">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2EDC9BEB">
          <w:pPr>
            <w:pStyle w:val="37"/>
            <w:spacing w:after="60"/>
            <w:rPr>
              <w:rFonts w:ascii="Arial" w:hAnsi="Arial" w:cs="Arial"/>
              <w:b/>
              <w:bCs/>
              <w:sz w:val="24"/>
              <w:szCs w:val="24"/>
            </w:rPr>
          </w:pPr>
          <w:r>
            <w:rPr>
              <w:rFonts w:ascii="Arial" w:hAnsi="Arial" w:cs="Arial"/>
              <w:b/>
              <w:bCs/>
              <w:sz w:val="24"/>
              <w:szCs w:val="24"/>
            </w:rPr>
            <w:t>CÂMARA MUNICIPAL DE PRIMAVERA DO LESTE</w:t>
          </w:r>
        </w:p>
        <w:p w14:paraId="48C61E72">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49D0974E">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4736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7110E7E0">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14:paraId="2B85B707">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7576C51E">
          <w:pPr>
            <w:pStyle w:val="37"/>
            <w:spacing w:after="60"/>
            <w:rPr>
              <w:rFonts w:ascii="Arial" w:hAnsi="Arial" w:cs="Arial"/>
              <w:b/>
              <w:bCs/>
              <w:sz w:val="24"/>
              <w:szCs w:val="24"/>
            </w:rPr>
          </w:pPr>
          <w:r>
            <w:rPr>
              <w:rFonts w:ascii="Arial" w:hAnsi="Arial" w:cs="Arial"/>
              <w:b/>
              <w:bCs/>
              <w:sz w:val="24"/>
              <w:szCs w:val="24"/>
            </w:rPr>
            <w:t>CÂMARA MUNICIPAL DE PRIMAVERA DO LESTE</w:t>
          </w:r>
        </w:p>
        <w:p w14:paraId="3A291411">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2E02CC5B">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0A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6"/>
      <w:lvlText w:val=""/>
      <w:lvlJc w:val="left"/>
      <w:pPr>
        <w:tabs>
          <w:tab w:val="left" w:pos="720"/>
        </w:tabs>
        <w:ind w:left="720" w:hanging="360"/>
      </w:pPr>
      <w:rPr>
        <w:rFonts w:hint="default" w:ascii="Symbol" w:hAnsi="Symbol" w:cs="Symbol"/>
        <w:sz w:val="20"/>
      </w:rPr>
    </w:lvl>
    <w:lvl w:ilvl="1" w:tentative="0">
      <w:start w:val="1"/>
      <w:numFmt w:val="bullet"/>
      <w:pStyle w:val="74"/>
      <w:lvlText w:val=""/>
      <w:lvlJc w:val="left"/>
      <w:pPr>
        <w:tabs>
          <w:tab w:val="left" w:pos="1440"/>
        </w:tabs>
        <w:ind w:left="1440" w:hanging="360"/>
      </w:pPr>
      <w:rPr>
        <w:rFonts w:hint="default" w:ascii="Symbol" w:hAnsi="Symbol" w:cs="Symbol"/>
        <w:sz w:val="20"/>
      </w:rPr>
    </w:lvl>
    <w:lvl w:ilvl="2" w:tentative="0">
      <w:start w:val="1"/>
      <w:numFmt w:val="bullet"/>
      <w:pStyle w:val="82"/>
      <w:lvlText w:val=""/>
      <w:lvlJc w:val="left"/>
      <w:pPr>
        <w:tabs>
          <w:tab w:val="left" w:pos="2160"/>
        </w:tabs>
        <w:ind w:left="2160" w:hanging="360"/>
      </w:pPr>
      <w:rPr>
        <w:rFonts w:hint="default" w:ascii="Symbol" w:hAnsi="Symbol" w:cs="Symbol"/>
        <w:sz w:val="20"/>
      </w:rPr>
    </w:lvl>
    <w:lvl w:ilvl="3" w:tentative="0">
      <w:start w:val="1"/>
      <w:numFmt w:val="bullet"/>
      <w:pStyle w:val="127"/>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31"/>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2"/>
    <w:multiLevelType w:val="multilevel"/>
    <w:tmpl w:val="00000002"/>
    <w:lvl w:ilvl="0" w:tentative="0">
      <w:start w:val="1"/>
      <w:numFmt w:val="decimal"/>
      <w:pStyle w:val="247"/>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6">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05"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7">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1">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59ADCABA"/>
    <w:multiLevelType w:val="multilevel"/>
    <w:tmpl w:val="59ADCABA"/>
    <w:lvl w:ilvl="0" w:tentative="0">
      <w:start w:val="1"/>
      <w:numFmt w:val="decimal"/>
      <w:pStyle w:val="104"/>
      <w:lvlText w:val="%1."/>
      <w:lvlJc w:val="left"/>
      <w:pPr>
        <w:tabs>
          <w:tab w:val="left" w:pos="0"/>
        </w:tabs>
        <w:ind w:left="360" w:hanging="360"/>
      </w:pPr>
      <w:rPr>
        <w:b/>
        <w:color w:val="auto"/>
      </w:rPr>
    </w:lvl>
    <w:lvl w:ilvl="1" w:tentative="0">
      <w:start w:val="1"/>
      <w:numFmt w:val="decimal"/>
      <w:pStyle w:val="72"/>
      <w:lvlText w:val="%1.%2."/>
      <w:lvlJc w:val="left"/>
      <w:pPr>
        <w:tabs>
          <w:tab w:val="left" w:pos="0"/>
        </w:tabs>
        <w:ind w:left="1283" w:hanging="432"/>
      </w:pPr>
      <w:rPr>
        <w:sz w:val="20"/>
        <w:szCs w:val="20"/>
      </w:rPr>
    </w:lvl>
    <w:lvl w:ilvl="2" w:tentative="0">
      <w:start w:val="1"/>
      <w:numFmt w:val="decimal"/>
      <w:pStyle w:val="78"/>
      <w:lvlText w:val="%1.%2.%3."/>
      <w:lvlJc w:val="left"/>
      <w:pPr>
        <w:tabs>
          <w:tab w:val="left" w:pos="0"/>
        </w:tabs>
        <w:ind w:left="1497" w:hanging="504"/>
      </w:pPr>
    </w:lvl>
    <w:lvl w:ilvl="3" w:tentative="0">
      <w:start w:val="1"/>
      <w:numFmt w:val="decimal"/>
      <w:pStyle w:val="84"/>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6"/>
  </w:num>
  <w:num w:numId="2">
    <w:abstractNumId w:val="4"/>
  </w:num>
  <w:num w:numId="3">
    <w:abstractNumId w:val="3"/>
  </w:num>
  <w:num w:numId="4">
    <w:abstractNumId w:val="12"/>
  </w:num>
  <w:num w:numId="5">
    <w:abstractNumId w:val="2"/>
  </w:num>
  <w:num w:numId="6">
    <w:abstractNumId w:val="5"/>
  </w:num>
  <w:num w:numId="7">
    <w:abstractNumId w:val="1"/>
  </w:num>
  <w:num w:numId="8">
    <w:abstractNumId w:val="8"/>
  </w:num>
  <w:num w:numId="9">
    <w:abstractNumId w:val="11"/>
  </w:num>
  <w:num w:numId="10">
    <w:abstractNumId w:val="14"/>
  </w:num>
  <w:num w:numId="11">
    <w:abstractNumId w:val="7"/>
  </w:num>
  <w:num w:numId="12">
    <w:abstractNumId w:val="0"/>
  </w:num>
  <w:num w:numId="13">
    <w:abstractNumId w:val="10"/>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334867"/>
    <w:rsid w:val="04EA5D2B"/>
    <w:rsid w:val="09B26B28"/>
    <w:rsid w:val="0EEE4CA6"/>
    <w:rsid w:val="12263E31"/>
    <w:rsid w:val="13493EDA"/>
    <w:rsid w:val="14457D92"/>
    <w:rsid w:val="14BA590D"/>
    <w:rsid w:val="1E9D2342"/>
    <w:rsid w:val="22FE2E7E"/>
    <w:rsid w:val="23324076"/>
    <w:rsid w:val="271F167F"/>
    <w:rsid w:val="28806BFD"/>
    <w:rsid w:val="2A576E58"/>
    <w:rsid w:val="2AE423E9"/>
    <w:rsid w:val="2B7A2A8C"/>
    <w:rsid w:val="2BCB2D44"/>
    <w:rsid w:val="2CF00542"/>
    <w:rsid w:val="327E09A5"/>
    <w:rsid w:val="337C22D9"/>
    <w:rsid w:val="36F67098"/>
    <w:rsid w:val="38036639"/>
    <w:rsid w:val="393500E5"/>
    <w:rsid w:val="3B0C3693"/>
    <w:rsid w:val="3D943C43"/>
    <w:rsid w:val="467459A6"/>
    <w:rsid w:val="4C876303"/>
    <w:rsid w:val="4D4A3F97"/>
    <w:rsid w:val="55D01AD9"/>
    <w:rsid w:val="56247F21"/>
    <w:rsid w:val="59D416FF"/>
    <w:rsid w:val="62295DFA"/>
    <w:rsid w:val="6620029B"/>
    <w:rsid w:val="68892034"/>
    <w:rsid w:val="6A606019"/>
    <w:rsid w:val="710A10CC"/>
    <w:rsid w:val="71351917"/>
    <w:rsid w:val="71D17224"/>
    <w:rsid w:val="72280756"/>
    <w:rsid w:val="72CD12E4"/>
    <w:rsid w:val="73997C01"/>
    <w:rsid w:val="75CF21B9"/>
    <w:rsid w:val="75D22C7C"/>
    <w:rsid w:val="77DE529E"/>
    <w:rsid w:val="7A8E32A9"/>
    <w:rsid w:val="7AF57124"/>
    <w:rsid w:val="7D0F0FB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next w:val="3"/>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3"/>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5"/>
    <w:next w:val="3"/>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8"/>
    <w:semiHidden/>
    <w:unhideWhenUsed/>
    <w:qFormat/>
    <w:uiPriority w:val="99"/>
    <w:pPr>
      <w:spacing w:before="0" w:after="120"/>
    </w:pPr>
  </w:style>
  <w:style w:type="paragraph" w:customStyle="1" w:styleId="5">
    <w:name w:val="Heading"/>
    <w:basedOn w:val="1"/>
    <w:next w:val="3"/>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character" w:styleId="15">
    <w:name w:val="endnote reference"/>
    <w:semiHidden/>
    <w:unhideWhenUsed/>
    <w:qFormat/>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qFormat/>
    <w:uiPriority w:val="99"/>
    <w:rPr>
      <w:sz w:val="16"/>
      <w:szCs w:val="16"/>
    </w:rPr>
  </w:style>
  <w:style w:type="character" w:styleId="18">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9">
    <w:name w:val="Emphasis"/>
    <w:qFormat/>
    <w:uiPriority w:val="20"/>
    <w:rPr>
      <w:rFonts w:cs="Times New Roman"/>
      <w:i/>
      <w:iCs/>
    </w:rPr>
  </w:style>
  <w:style w:type="character" w:styleId="20">
    <w:name w:val="footnote reference"/>
    <w:semiHidden/>
    <w:unhideWhenUsed/>
    <w:qFormat/>
    <w:uiPriority w:val="99"/>
    <w:rPr>
      <w:vertAlign w:val="superscript"/>
    </w:rPr>
  </w:style>
  <w:style w:type="character" w:styleId="21">
    <w:name w:val="Hyperlink"/>
    <w:basedOn w:val="13"/>
    <w:semiHidden/>
    <w:unhideWhenUsed/>
    <w:qFormat/>
    <w:uiPriority w:val="99"/>
    <w:rPr>
      <w:color w:val="000080"/>
      <w:u w:val="single"/>
    </w:rPr>
  </w:style>
  <w:style w:type="paragraph" w:styleId="22">
    <w:name w:val="toc 2"/>
    <w:basedOn w:val="23"/>
    <w:semiHidden/>
    <w:unhideWhenUsed/>
    <w:qFormat/>
    <w:uiPriority w:val="39"/>
  </w:style>
  <w:style w:type="paragraph" w:customStyle="1" w:styleId="23">
    <w:name w:val="Índice"/>
    <w:basedOn w:val="1"/>
    <w:qFormat/>
    <w:uiPriority w:val="0"/>
    <w:pPr>
      <w:suppressLineNumbers/>
    </w:pPr>
    <w:rPr>
      <w:rFonts w:cs="Arial"/>
    </w:rPr>
  </w:style>
  <w:style w:type="paragraph" w:styleId="24">
    <w:name w:val="List"/>
    <w:basedOn w:val="3"/>
    <w:semiHidden/>
    <w:unhideWhenUsed/>
    <w:qFormat/>
    <w:uiPriority w:val="99"/>
    <w:rPr>
      <w:rFonts w:cs="Arial"/>
    </w:rPr>
  </w:style>
  <w:style w:type="paragraph" w:styleId="25">
    <w:name w:val="toc 9"/>
    <w:basedOn w:val="23"/>
    <w:semiHidden/>
    <w:unhideWhenUsed/>
    <w:qFormat/>
    <w:uiPriority w:val="39"/>
  </w:style>
  <w:style w:type="paragraph" w:styleId="26">
    <w:name w:val="toc 6"/>
    <w:basedOn w:val="23"/>
    <w:semiHidden/>
    <w:unhideWhenUsed/>
    <w:qFormat/>
    <w:uiPriority w:val="39"/>
  </w:style>
  <w:style w:type="paragraph" w:styleId="27">
    <w:name w:val="annotation text"/>
    <w:basedOn w:val="1"/>
    <w:link w:val="56"/>
    <w:unhideWhenUsed/>
    <w:qFormat/>
    <w:uiPriority w:val="99"/>
    <w:pPr>
      <w:spacing w:line="240" w:lineRule="auto"/>
    </w:pPr>
    <w:rPr>
      <w:sz w:val="20"/>
      <w:szCs w:val="20"/>
    </w:rPr>
  </w:style>
  <w:style w:type="paragraph" w:styleId="28">
    <w:name w:val="toc 5"/>
    <w:basedOn w:val="23"/>
    <w:semiHidden/>
    <w:unhideWhenUsed/>
    <w:qFormat/>
    <w:uiPriority w:val="39"/>
  </w:style>
  <w:style w:type="paragraph" w:styleId="29">
    <w:name w:val="Body Text Indent 2"/>
    <w:basedOn w:val="1"/>
    <w:link w:val="87"/>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0">
    <w:name w:val="Title"/>
    <w:basedOn w:val="1"/>
    <w:next w:val="3"/>
    <w:link w:val="102"/>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1">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2">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3">
    <w:name w:val="toc 4"/>
    <w:basedOn w:val="23"/>
    <w:semiHidden/>
    <w:unhideWhenUsed/>
    <w:qFormat/>
    <w:uiPriority w:val="39"/>
  </w:style>
  <w:style w:type="paragraph" w:styleId="34">
    <w:name w:val="toc 8"/>
    <w:basedOn w:val="23"/>
    <w:semiHidden/>
    <w:unhideWhenUsed/>
    <w:qFormat/>
    <w:uiPriority w:val="39"/>
  </w:style>
  <w:style w:type="paragraph" w:styleId="35">
    <w:name w:val="index heading"/>
    <w:basedOn w:val="36"/>
    <w:semiHidden/>
    <w:unhideWhenUsed/>
    <w:qFormat/>
    <w:uiPriority w:val="99"/>
  </w:style>
  <w:style w:type="paragraph" w:customStyle="1" w:styleId="36">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7">
    <w:name w:val="header"/>
    <w:basedOn w:val="1"/>
    <w:link w:val="59"/>
    <w:semiHidden/>
    <w:unhideWhenUsed/>
    <w:qFormat/>
    <w:uiPriority w:val="0"/>
    <w:pPr>
      <w:tabs>
        <w:tab w:val="center" w:pos="4252"/>
        <w:tab w:val="right" w:pos="8504"/>
      </w:tabs>
      <w:spacing w:before="0" w:after="0" w:line="240" w:lineRule="auto"/>
    </w:pPr>
  </w:style>
  <w:style w:type="paragraph" w:styleId="38">
    <w:name w:val="annotation subject"/>
    <w:basedOn w:val="27"/>
    <w:next w:val="27"/>
    <w:link w:val="57"/>
    <w:semiHidden/>
    <w:unhideWhenUsed/>
    <w:qFormat/>
    <w:uiPriority w:val="99"/>
    <w:rPr>
      <w:b/>
      <w:bCs/>
    </w:rPr>
  </w:style>
  <w:style w:type="paragraph" w:styleId="39">
    <w:name w:val="footer"/>
    <w:basedOn w:val="1"/>
    <w:link w:val="60"/>
    <w:semiHidden/>
    <w:unhideWhenUsed/>
    <w:qFormat/>
    <w:uiPriority w:val="99"/>
    <w:pPr>
      <w:tabs>
        <w:tab w:val="center" w:pos="4252"/>
        <w:tab w:val="right" w:pos="8504"/>
      </w:tabs>
      <w:spacing w:before="0" w:after="0" w:line="240" w:lineRule="auto"/>
    </w:pPr>
  </w:style>
  <w:style w:type="paragraph" w:styleId="40">
    <w:name w:val="caption"/>
    <w:basedOn w:val="1"/>
    <w:semiHidden/>
    <w:unhideWhenUsed/>
    <w:qFormat/>
    <w:uiPriority w:val="35"/>
    <w:pPr>
      <w:suppressLineNumbers/>
      <w:spacing w:before="120" w:after="120"/>
    </w:pPr>
    <w:rPr>
      <w:rFonts w:cs="Arial"/>
      <w:i/>
      <w:iCs/>
      <w:sz w:val="24"/>
      <w:szCs w:val="24"/>
    </w:rPr>
  </w:style>
  <w:style w:type="paragraph" w:styleId="41">
    <w:name w:val="toc 7"/>
    <w:basedOn w:val="23"/>
    <w:semiHidden/>
    <w:unhideWhenUsed/>
    <w:qFormat/>
    <w:uiPriority w:val="39"/>
  </w:style>
  <w:style w:type="paragraph" w:styleId="42">
    <w:name w:val="toc 3"/>
    <w:basedOn w:val="23"/>
    <w:semiHidden/>
    <w:unhideWhenUsed/>
    <w:qFormat/>
    <w:uiPriority w:val="39"/>
  </w:style>
  <w:style w:type="paragraph" w:styleId="43">
    <w:name w:val="Balloon Text"/>
    <w:basedOn w:val="1"/>
    <w:link w:val="58"/>
    <w:semiHidden/>
    <w:unhideWhenUsed/>
    <w:qFormat/>
    <w:uiPriority w:val="99"/>
    <w:pPr>
      <w:spacing w:before="0" w:after="0" w:line="240" w:lineRule="auto"/>
    </w:pPr>
    <w:rPr>
      <w:rFonts w:ascii="Tahoma" w:hAnsi="Tahoma" w:cs="Tahoma"/>
      <w:sz w:val="16"/>
      <w:szCs w:val="16"/>
    </w:rPr>
  </w:style>
  <w:style w:type="paragraph" w:styleId="44">
    <w:name w:val="Subtitle"/>
    <w:basedOn w:val="1"/>
    <w:next w:val="1"/>
    <w:link w:val="224"/>
    <w:qFormat/>
    <w:uiPriority w:val="11"/>
    <w:pPr>
      <w:suppressAutoHyphens/>
      <w:jc w:val="center"/>
    </w:pPr>
    <w:rPr>
      <w:i/>
      <w:iCs/>
    </w:rPr>
  </w:style>
  <w:style w:type="paragraph" w:styleId="45">
    <w:name w:val="footnote text"/>
    <w:basedOn w:val="1"/>
    <w:link w:val="63"/>
    <w:semiHidden/>
    <w:unhideWhenUsed/>
    <w:qFormat/>
    <w:uiPriority w:val="99"/>
    <w:pPr>
      <w:spacing w:before="0" w:after="0" w:line="240" w:lineRule="auto"/>
    </w:pPr>
    <w:rPr>
      <w:sz w:val="20"/>
      <w:szCs w:val="20"/>
    </w:rPr>
  </w:style>
  <w:style w:type="paragraph" w:styleId="46">
    <w:name w:val="toc 1"/>
    <w:basedOn w:val="1"/>
    <w:next w:val="1"/>
    <w:semiHidden/>
    <w:unhideWhenUsed/>
    <w:qFormat/>
    <w:uiPriority w:val="39"/>
    <w:pPr>
      <w:spacing w:before="0" w:after="100"/>
    </w:pPr>
  </w:style>
  <w:style w:type="table" w:styleId="47">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nte parág. padrão1"/>
    <w:qFormat/>
    <w:uiPriority w:val="0"/>
  </w:style>
  <w:style w:type="paragraph" w:customStyle="1" w:styleId="49">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0">
    <w:name w:val="Caracteres de nota de fim"/>
    <w:qFormat/>
    <w:uiPriority w:val="0"/>
    <w:rPr>
      <w:vertAlign w:val="superscript"/>
    </w:rPr>
  </w:style>
  <w:style w:type="character" w:customStyle="1" w:styleId="51">
    <w:name w:val="Caracteres de nota de rodapé"/>
    <w:semiHidden/>
    <w:unhideWhenUsed/>
    <w:qFormat/>
    <w:uiPriority w:val="99"/>
    <w:rPr>
      <w:vertAlign w:val="superscript"/>
    </w:rPr>
  </w:style>
  <w:style w:type="character" w:customStyle="1" w:styleId="52">
    <w:name w:val="normaltextrun"/>
    <w:basedOn w:val="13"/>
    <w:qFormat/>
    <w:uiPriority w:val="0"/>
  </w:style>
  <w:style w:type="character" w:customStyle="1" w:styleId="53">
    <w:name w:val="scxw155697705"/>
    <w:basedOn w:val="13"/>
    <w:qFormat/>
    <w:uiPriority w:val="0"/>
  </w:style>
  <w:style w:type="character" w:customStyle="1" w:styleId="54">
    <w:name w:val="eop"/>
    <w:basedOn w:val="13"/>
    <w:qFormat/>
    <w:uiPriority w:val="0"/>
  </w:style>
  <w:style w:type="character" w:customStyle="1" w:styleId="55">
    <w:name w:val="tabchar"/>
    <w:basedOn w:val="13"/>
    <w:qFormat/>
    <w:uiPriority w:val="0"/>
  </w:style>
  <w:style w:type="character" w:customStyle="1" w:styleId="56">
    <w:name w:val="Texto de comentário Char"/>
    <w:basedOn w:val="13"/>
    <w:link w:val="27"/>
    <w:qFormat/>
    <w:uiPriority w:val="99"/>
    <w:rPr>
      <w:sz w:val="20"/>
      <w:szCs w:val="20"/>
    </w:rPr>
  </w:style>
  <w:style w:type="character" w:customStyle="1" w:styleId="57">
    <w:name w:val="Assunto do comentário Char"/>
    <w:basedOn w:val="56"/>
    <w:link w:val="38"/>
    <w:semiHidden/>
    <w:qFormat/>
    <w:uiPriority w:val="99"/>
    <w:rPr>
      <w:b/>
      <w:bCs/>
      <w:sz w:val="20"/>
      <w:szCs w:val="20"/>
    </w:rPr>
  </w:style>
  <w:style w:type="character" w:customStyle="1" w:styleId="58">
    <w:name w:val="Texto de balão Char"/>
    <w:basedOn w:val="13"/>
    <w:link w:val="43"/>
    <w:qFormat/>
    <w:uiPriority w:val="99"/>
    <w:rPr>
      <w:rFonts w:ascii="Tahoma" w:hAnsi="Tahoma" w:cs="Tahoma"/>
      <w:sz w:val="16"/>
      <w:szCs w:val="16"/>
    </w:rPr>
  </w:style>
  <w:style w:type="character" w:customStyle="1" w:styleId="59">
    <w:name w:val="Cabeçalho Char"/>
    <w:basedOn w:val="13"/>
    <w:link w:val="37"/>
    <w:qFormat/>
    <w:uiPriority w:val="99"/>
  </w:style>
  <w:style w:type="character" w:customStyle="1" w:styleId="60">
    <w:name w:val="Rodapé Char"/>
    <w:basedOn w:val="13"/>
    <w:link w:val="39"/>
    <w:qFormat/>
    <w:uiPriority w:val="99"/>
  </w:style>
  <w:style w:type="character" w:customStyle="1" w:styleId="61">
    <w:name w:val="Hyperlink1"/>
    <w:basedOn w:val="13"/>
    <w:unhideWhenUsed/>
    <w:qFormat/>
    <w:uiPriority w:val="99"/>
    <w:rPr>
      <w:color w:val="0000FF" w:themeColor="hyperlink"/>
      <w:u w:val="single"/>
      <w14:textFill>
        <w14:solidFill>
          <w14:schemeClr w14:val="hlink"/>
        </w14:solidFill>
      </w14:textFill>
    </w:rPr>
  </w:style>
  <w:style w:type="character" w:customStyle="1" w:styleId="62">
    <w:name w:val="Unresolved Mention"/>
    <w:basedOn w:val="13"/>
    <w:semiHidden/>
    <w:unhideWhenUsed/>
    <w:qFormat/>
    <w:uiPriority w:val="99"/>
    <w:rPr>
      <w:color w:val="605E5C"/>
      <w:shd w:val="clear" w:fill="E1DFDD"/>
    </w:rPr>
  </w:style>
  <w:style w:type="character" w:customStyle="1" w:styleId="63">
    <w:name w:val="Texto de nota de rodapé Char"/>
    <w:basedOn w:val="13"/>
    <w:link w:val="45"/>
    <w:semiHidden/>
    <w:qFormat/>
    <w:uiPriority w:val="99"/>
    <w:rPr>
      <w:sz w:val="20"/>
      <w:szCs w:val="20"/>
    </w:rPr>
  </w:style>
  <w:style w:type="character" w:customStyle="1" w:styleId="64">
    <w:name w:val="Título 2 Char"/>
    <w:basedOn w:val="13"/>
    <w:qFormat/>
    <w:uiPriority w:val="0"/>
    <w:rPr>
      <w:rFonts w:ascii="Times New Roman" w:hAnsi="Times New Roman" w:eastAsia="Times New Roman" w:cs="Times New Roman"/>
      <w:b/>
      <w:bCs/>
      <w:sz w:val="36"/>
      <w:szCs w:val="36"/>
      <w:lang w:eastAsia="pt-BR"/>
    </w:rPr>
  </w:style>
  <w:style w:type="character" w:customStyle="1" w:styleId="65">
    <w:name w:val="producttitle"/>
    <w:basedOn w:val="13"/>
    <w:qFormat/>
    <w:uiPriority w:val="0"/>
  </w:style>
  <w:style w:type="character" w:customStyle="1" w:styleId="66">
    <w:name w:val="Parágrafo da Lista Char"/>
    <w:link w:val="67"/>
    <w:qFormat/>
    <w:locked/>
    <w:uiPriority w:val="34"/>
  </w:style>
  <w:style w:type="paragraph" w:styleId="67">
    <w:name w:val="List Paragraph"/>
    <w:basedOn w:val="1"/>
    <w:link w:val="66"/>
    <w:qFormat/>
    <w:uiPriority w:val="34"/>
    <w:pPr>
      <w:spacing w:before="0" w:after="200"/>
      <w:ind w:left="720"/>
      <w:contextualSpacing/>
    </w:pPr>
  </w:style>
  <w:style w:type="character" w:customStyle="1" w:styleId="68">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69">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0">
    <w:name w:val="apple-converted-space"/>
    <w:qFormat/>
    <w:uiPriority w:val="0"/>
  </w:style>
  <w:style w:type="character" w:customStyle="1" w:styleId="71">
    <w:name w:val="Nivel 2 Char"/>
    <w:basedOn w:val="13"/>
    <w:link w:val="72"/>
    <w:qFormat/>
    <w:locked/>
    <w:uiPriority w:val="0"/>
    <w:rPr>
      <w:rFonts w:ascii="Arial" w:hAnsi="Arial" w:eastAsia="Times New Roman" w:cs="Arial"/>
      <w:sz w:val="20"/>
      <w:szCs w:val="20"/>
      <w:lang w:eastAsia="pt-BR"/>
    </w:rPr>
  </w:style>
  <w:style w:type="paragraph" w:customStyle="1" w:styleId="72">
    <w:name w:val="Nivel 2"/>
    <w:basedOn w:val="1"/>
    <w:link w:val="71"/>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3">
    <w:name w:val="Nível 2 -Red Char"/>
    <w:basedOn w:val="71"/>
    <w:link w:val="74"/>
    <w:qFormat/>
    <w:uiPriority w:val="0"/>
    <w:rPr>
      <w:rFonts w:ascii="Arial" w:hAnsi="Arial" w:eastAsia="Times New Roman" w:cs="Arial"/>
      <w:i/>
      <w:iCs/>
      <w:color w:val="FF0000"/>
      <w:sz w:val="20"/>
      <w:szCs w:val="20"/>
      <w:lang w:eastAsia="pt-BR"/>
    </w:rPr>
  </w:style>
  <w:style w:type="paragraph" w:customStyle="1" w:styleId="74">
    <w:name w:val="Nível 2 -Red"/>
    <w:basedOn w:val="72"/>
    <w:link w:val="73"/>
    <w:qFormat/>
    <w:uiPriority w:val="0"/>
    <w:pPr>
      <w:numPr>
        <w:ilvl w:val="1"/>
        <w:numId w:val="5"/>
      </w:numPr>
      <w:ind w:left="0" w:firstLine="0"/>
    </w:pPr>
    <w:rPr>
      <w:i/>
      <w:iCs/>
      <w:color w:val="FF0000"/>
    </w:rPr>
  </w:style>
  <w:style w:type="character" w:customStyle="1" w:styleId="75">
    <w:name w:val="ou Char"/>
    <w:basedOn w:val="13"/>
    <w:link w:val="76"/>
    <w:qFormat/>
    <w:uiPriority w:val="0"/>
    <w:rPr>
      <w:rFonts w:ascii="Arial" w:hAnsi="Arial" w:cs="Arial"/>
      <w:b/>
      <w:bCs/>
      <w:i/>
      <w:iCs/>
      <w:color w:val="FF0000"/>
      <w:sz w:val="20"/>
      <w:szCs w:val="24"/>
      <w:u w:val="single"/>
      <w:lang w:eastAsia="pt-BR"/>
    </w:rPr>
  </w:style>
  <w:style w:type="paragraph" w:customStyle="1" w:styleId="76">
    <w:name w:val="ou"/>
    <w:basedOn w:val="67"/>
    <w:link w:val="75"/>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7">
    <w:name w:val="Nível 3-R Char"/>
    <w:basedOn w:val="13"/>
    <w:link w:val="78"/>
    <w:qFormat/>
    <w:uiPriority w:val="0"/>
    <w:rPr>
      <w:rFonts w:ascii="Arial" w:hAnsi="Arial" w:cs="Arial" w:eastAsiaTheme="minorEastAsia"/>
      <w:i/>
      <w:iCs/>
      <w:color w:val="FF0000"/>
      <w:sz w:val="20"/>
      <w:szCs w:val="20"/>
      <w:lang w:eastAsia="pt-BR"/>
    </w:rPr>
  </w:style>
  <w:style w:type="paragraph" w:customStyle="1" w:styleId="78">
    <w:name w:val="Nível 3-R"/>
    <w:basedOn w:val="1"/>
    <w:link w:val="77"/>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9">
    <w:name w:val="SubTitNN Char"/>
    <w:basedOn w:val="13"/>
    <w:link w:val="80"/>
    <w:qFormat/>
    <w:uiPriority w:val="0"/>
    <w:rPr>
      <w:rFonts w:ascii="Arial" w:hAnsi="Arial" w:eastAsia="Times New Roman" w:cs="Arial"/>
      <w:b/>
      <w:bCs/>
      <w:iCs/>
      <w:sz w:val="20"/>
      <w:szCs w:val="20"/>
      <w:lang w:eastAsia="pt-BR"/>
    </w:rPr>
  </w:style>
  <w:style w:type="paragraph" w:customStyle="1" w:styleId="80">
    <w:name w:val="SubTitNN"/>
    <w:basedOn w:val="1"/>
    <w:link w:val="79"/>
    <w:qFormat/>
    <w:uiPriority w:val="0"/>
    <w:pPr>
      <w:spacing w:before="240" w:after="120"/>
      <w:jc w:val="both"/>
    </w:pPr>
    <w:rPr>
      <w:rFonts w:ascii="Arial" w:hAnsi="Arial" w:eastAsia="Times New Roman" w:cs="Arial"/>
      <w:b/>
      <w:bCs/>
      <w:iCs/>
      <w:sz w:val="20"/>
      <w:szCs w:val="20"/>
      <w:lang w:eastAsia="pt-BR"/>
    </w:rPr>
  </w:style>
  <w:style w:type="character" w:customStyle="1" w:styleId="81">
    <w:name w:val="Nível 3 Char"/>
    <w:basedOn w:val="77"/>
    <w:link w:val="82"/>
    <w:qFormat/>
    <w:uiPriority w:val="0"/>
    <w:rPr>
      <w:rFonts w:ascii="Arial" w:hAnsi="Arial" w:eastAsia="Times New Roman" w:cs="Arial"/>
      <w:i w:val="0"/>
      <w:iCs w:val="0"/>
      <w:color w:val="FF0000"/>
      <w:sz w:val="20"/>
      <w:szCs w:val="20"/>
      <w:lang w:eastAsia="pt-BR"/>
    </w:rPr>
  </w:style>
  <w:style w:type="paragraph" w:customStyle="1" w:styleId="82">
    <w:name w:val="Nível 3"/>
    <w:basedOn w:val="78"/>
    <w:link w:val="81"/>
    <w:qFormat/>
    <w:uiPriority w:val="0"/>
    <w:pPr>
      <w:numPr>
        <w:ilvl w:val="2"/>
        <w:numId w:val="5"/>
      </w:numPr>
      <w:ind w:left="284" w:firstLine="0"/>
    </w:pPr>
    <w:rPr>
      <w:rFonts w:eastAsia="Times New Roman"/>
      <w:i w:val="0"/>
      <w:iCs w:val="0"/>
    </w:rPr>
  </w:style>
  <w:style w:type="character" w:customStyle="1" w:styleId="83">
    <w:name w:val="Nível 4 Char"/>
    <w:basedOn w:val="81"/>
    <w:link w:val="84"/>
    <w:qFormat/>
    <w:uiPriority w:val="0"/>
    <w:rPr>
      <w:rFonts w:ascii="Arial" w:hAnsi="Arial" w:eastAsia="Times New Roman" w:cs="Arial"/>
      <w:color w:val="FF0000"/>
      <w:sz w:val="20"/>
      <w:szCs w:val="20"/>
      <w:lang w:eastAsia="pt-BR"/>
    </w:rPr>
  </w:style>
  <w:style w:type="paragraph" w:customStyle="1" w:styleId="84">
    <w:name w:val="Nível 4"/>
    <w:basedOn w:val="1"/>
    <w:link w:val="83"/>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5">
    <w:name w:val="markedcontent"/>
    <w:basedOn w:val="13"/>
    <w:qFormat/>
    <w:uiPriority w:val="0"/>
  </w:style>
  <w:style w:type="character" w:customStyle="1" w:styleId="86">
    <w:name w:val="highlight"/>
    <w:basedOn w:val="13"/>
    <w:qFormat/>
    <w:uiPriority w:val="0"/>
  </w:style>
  <w:style w:type="character" w:customStyle="1" w:styleId="87">
    <w:name w:val="Recuo de corpo de texto 2 Char"/>
    <w:basedOn w:val="13"/>
    <w:link w:val="29"/>
    <w:qFormat/>
    <w:uiPriority w:val="0"/>
    <w:rPr>
      <w:rFonts w:ascii="Arial Narrow" w:hAnsi="Arial Narrow" w:eastAsia="Times New Roman" w:cs="Times New Roman"/>
      <w:sz w:val="24"/>
      <w:szCs w:val="20"/>
      <w:lang w:eastAsia="pt-BR"/>
    </w:rPr>
  </w:style>
  <w:style w:type="character" w:customStyle="1" w:styleId="88">
    <w:name w:val="Corpo de texto Char"/>
    <w:basedOn w:val="13"/>
    <w:link w:val="3"/>
    <w:qFormat/>
    <w:uiPriority w:val="99"/>
  </w:style>
  <w:style w:type="character" w:customStyle="1" w:styleId="89">
    <w:name w:val="Nivel 3 Char"/>
    <w:basedOn w:val="13"/>
    <w:link w:val="90"/>
    <w:qFormat/>
    <w:uiPriority w:val="0"/>
    <w:rPr>
      <w:rFonts w:ascii="Arial" w:hAnsi="Arial" w:cs="Arial" w:eastAsiaTheme="minorEastAsia"/>
      <w:color w:val="000000"/>
      <w:sz w:val="20"/>
      <w:szCs w:val="20"/>
      <w:lang w:eastAsia="pt-BR"/>
    </w:rPr>
  </w:style>
  <w:style w:type="paragraph" w:customStyle="1" w:styleId="90">
    <w:name w:val="Nivel 3"/>
    <w:basedOn w:val="1"/>
    <w:link w:val="89"/>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1">
    <w:name w:val="Nivel 4 Char"/>
    <w:basedOn w:val="13"/>
    <w:link w:val="92"/>
    <w:qFormat/>
    <w:uiPriority w:val="0"/>
    <w:rPr>
      <w:rFonts w:ascii="Arial" w:hAnsi="Arial" w:cs="Arial" w:eastAsiaTheme="minorEastAsia"/>
      <w:sz w:val="20"/>
      <w:szCs w:val="20"/>
      <w:lang w:eastAsia="pt-BR"/>
    </w:rPr>
  </w:style>
  <w:style w:type="paragraph" w:customStyle="1" w:styleId="92">
    <w:name w:val="Nivel 4"/>
    <w:basedOn w:val="90"/>
    <w:link w:val="91"/>
    <w:qFormat/>
    <w:uiPriority w:val="0"/>
    <w:pPr>
      <w:ind w:left="567"/>
    </w:pPr>
    <w:rPr>
      <w:color w:val="auto"/>
    </w:rPr>
  </w:style>
  <w:style w:type="character" w:customStyle="1" w:styleId="93">
    <w:name w:val="cf01"/>
    <w:basedOn w:val="13"/>
    <w:qFormat/>
    <w:uiPriority w:val="0"/>
    <w:rPr>
      <w:rFonts w:ascii="Segoe UI" w:hAnsi="Segoe UI" w:cs="Segoe UI"/>
      <w:sz w:val="18"/>
      <w:szCs w:val="18"/>
    </w:rPr>
  </w:style>
  <w:style w:type="character" w:customStyle="1" w:styleId="94">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5">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6">
    <w:name w:val="normal__char1"/>
    <w:qFormat/>
    <w:uiPriority w:val="0"/>
    <w:rPr>
      <w:rFonts w:ascii="Arial" w:hAnsi="Arial" w:cs="Arial"/>
      <w:sz w:val="24"/>
      <w:szCs w:val="24"/>
      <w:u w:val="none"/>
    </w:rPr>
  </w:style>
  <w:style w:type="character" w:customStyle="1" w:styleId="97">
    <w:name w:val="apple-style-span"/>
    <w:basedOn w:val="13"/>
    <w:qFormat/>
    <w:uiPriority w:val="0"/>
  </w:style>
  <w:style w:type="character" w:customStyle="1" w:styleId="98">
    <w:name w:val="Citação Char"/>
    <w:basedOn w:val="13"/>
    <w:link w:val="99"/>
    <w:qFormat/>
    <w:uiPriority w:val="0"/>
    <w:rPr>
      <w:rFonts w:ascii="Arial" w:hAnsi="Arial" w:eastAsia="Calibri" w:cs="Tahoma"/>
      <w:i/>
      <w:iCs/>
      <w:color w:val="000000"/>
      <w:sz w:val="20"/>
      <w:szCs w:val="24"/>
      <w:shd w:val="clear" w:fill="FFFFCC"/>
    </w:rPr>
  </w:style>
  <w:style w:type="paragraph" w:styleId="99">
    <w:name w:val="Quote"/>
    <w:basedOn w:val="1"/>
    <w:next w:val="1"/>
    <w:link w:val="9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0">
    <w:name w:val="Nota explicativa Char"/>
    <w:basedOn w:val="98"/>
    <w:link w:val="101"/>
    <w:qFormat/>
    <w:uiPriority w:val="0"/>
    <w:rPr>
      <w:rFonts w:ascii="Arial" w:hAnsi="Arial" w:eastAsia="Calibri" w:cs="Tahoma"/>
      <w:color w:val="000000"/>
      <w:sz w:val="20"/>
      <w:szCs w:val="20"/>
      <w:shd w:val="clear" w:fill="FFFFCC"/>
    </w:rPr>
  </w:style>
  <w:style w:type="paragraph" w:customStyle="1" w:styleId="101">
    <w:name w:val="Nota explicativa"/>
    <w:basedOn w:val="99"/>
    <w:link w:val="100"/>
    <w:qFormat/>
    <w:uiPriority w:val="0"/>
    <w:rPr>
      <w:szCs w:val="20"/>
    </w:rPr>
  </w:style>
  <w:style w:type="character" w:customStyle="1" w:styleId="102">
    <w:name w:val="Título Char"/>
    <w:basedOn w:val="13"/>
    <w:link w:val="30"/>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3">
    <w:name w:val="Nivel 01 Char"/>
    <w:basedOn w:val="102"/>
    <w:link w:val="104"/>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4">
    <w:name w:val="Nivel 01"/>
    <w:basedOn w:val="2"/>
    <w:next w:val="1"/>
    <w:link w:val="103"/>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5">
    <w:name w:val="Nivel_01_Titulo Char"/>
    <w:basedOn w:val="103"/>
    <w:link w:val="106"/>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6">
    <w:name w:val="Nivel_01_Titulo"/>
    <w:basedOn w:val="104"/>
    <w:link w:val="105"/>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7">
    <w:name w:val="Quote Char"/>
    <w:basedOn w:val="13"/>
    <w:link w:val="108"/>
    <w:qFormat/>
    <w:uiPriority w:val="0"/>
    <w:rPr>
      <w:rFonts w:ascii="Ecofont_Spranq_eco_Sans" w:hAnsi="Ecofont_Spranq_eco_Sans" w:eastAsia="Calibri" w:cs="Tahoma"/>
      <w:i/>
      <w:iCs/>
      <w:color w:val="000000"/>
      <w:shd w:val="clear" w:fill="FFFFCC"/>
    </w:rPr>
  </w:style>
  <w:style w:type="paragraph" w:customStyle="1" w:styleId="108">
    <w:name w:val="Citação1"/>
    <w:basedOn w:val="1"/>
    <w:next w:val="1"/>
    <w:link w:val="107"/>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9">
    <w:name w:val="spellingerror"/>
    <w:basedOn w:val="13"/>
    <w:qFormat/>
    <w:uiPriority w:val="0"/>
  </w:style>
  <w:style w:type="character" w:customStyle="1" w:styleId="110">
    <w:name w:val="Nivel1 Char"/>
    <w:basedOn w:val="69"/>
    <w:link w:val="111"/>
    <w:qFormat/>
    <w:uiPriority w:val="0"/>
    <w:rPr>
      <w:rFonts w:ascii="Arial" w:hAnsi="Arial" w:cs="Arial" w:eastAsiaTheme="majorEastAsia"/>
      <w:bCs w:val="0"/>
      <w:color w:val="000000"/>
      <w:sz w:val="28"/>
      <w:szCs w:val="28"/>
      <w:shd w:val="clear" w:fill="BFBFBF"/>
      <w:lang w:eastAsia="pt-BR"/>
    </w:rPr>
  </w:style>
  <w:style w:type="paragraph" w:customStyle="1" w:styleId="111">
    <w:name w:val="Nivel1"/>
    <w:basedOn w:val="2"/>
    <w:link w:val="110"/>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2">
    <w:name w:val="cp_0020corpodespacho__char1"/>
    <w:qFormat/>
    <w:uiPriority w:val="0"/>
    <w:rPr>
      <w:rFonts w:ascii="Times New Roman" w:hAnsi="Times New Roman" w:cs="Times New Roman"/>
      <w:sz w:val="26"/>
      <w:szCs w:val="26"/>
      <w:u w:val="none"/>
    </w:rPr>
  </w:style>
  <w:style w:type="character" w:customStyle="1" w:styleId="113">
    <w:name w:val="em_0020ementa__char1"/>
    <w:qFormat/>
    <w:uiPriority w:val="0"/>
    <w:rPr>
      <w:rFonts w:ascii="Times New Roman" w:hAnsi="Times New Roman" w:cs="Times New Roman"/>
      <w:sz w:val="28"/>
      <w:szCs w:val="28"/>
      <w:u w:val="none"/>
    </w:rPr>
  </w:style>
  <w:style w:type="character" w:customStyle="1" w:styleId="114">
    <w:name w:val="Manoel"/>
    <w:qFormat/>
    <w:uiPriority w:val="0"/>
    <w:rPr>
      <w:rFonts w:ascii="Arial" w:hAnsi="Arial" w:cs="Arial"/>
      <w:color w:val="7030A0"/>
      <w:sz w:val="20"/>
    </w:rPr>
  </w:style>
  <w:style w:type="character" w:customStyle="1" w:styleId="115">
    <w:name w:val="Grade Colorida - Ênfase 1 Char"/>
    <w:link w:val="116"/>
    <w:qFormat/>
    <w:uiPriority w:val="29"/>
    <w:rPr>
      <w:rFonts w:ascii="Arial" w:hAnsi="Arial" w:eastAsia="Calibri" w:cs="Times New Roman"/>
      <w:i/>
      <w:iCs/>
      <w:color w:val="000000"/>
      <w:sz w:val="20"/>
      <w:szCs w:val="24"/>
      <w:shd w:val="clear" w:fill="FFFFCC"/>
    </w:rPr>
  </w:style>
  <w:style w:type="paragraph" w:customStyle="1" w:styleId="116">
    <w:name w:val="Grade Colorida - Ênfase 11"/>
    <w:basedOn w:val="1"/>
    <w:next w:val="1"/>
    <w:link w:val="11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7">
    <w:name w:val="Menção Pendente1"/>
    <w:basedOn w:val="13"/>
    <w:semiHidden/>
    <w:unhideWhenUsed/>
    <w:qFormat/>
    <w:uiPriority w:val="99"/>
    <w:rPr>
      <w:color w:val="605E5C"/>
      <w:shd w:val="clear" w:fill="E1DFDD"/>
    </w:rPr>
  </w:style>
  <w:style w:type="character" w:customStyle="1" w:styleId="118">
    <w:name w:val="Menção Pendente2"/>
    <w:basedOn w:val="13"/>
    <w:semiHidden/>
    <w:unhideWhenUsed/>
    <w:qFormat/>
    <w:uiPriority w:val="99"/>
    <w:rPr>
      <w:color w:val="605E5C"/>
      <w:shd w:val="clear" w:fill="E1DFDD"/>
    </w:rPr>
  </w:style>
  <w:style w:type="character" w:customStyle="1" w:styleId="119">
    <w:name w:val="Nível 2 Opcional Char"/>
    <w:basedOn w:val="13"/>
    <w:link w:val="120"/>
    <w:qFormat/>
    <w:uiPriority w:val="0"/>
    <w:rPr>
      <w:rFonts w:ascii="Arial" w:hAnsi="Arial" w:eastAsia="Times New Roman" w:cs="Arial"/>
      <w:i/>
      <w:color w:val="FF0000"/>
      <w:sz w:val="20"/>
      <w:szCs w:val="20"/>
      <w:lang w:eastAsia="pt-BR"/>
    </w:rPr>
  </w:style>
  <w:style w:type="paragraph" w:customStyle="1" w:styleId="120">
    <w:name w:val="Nível 2 Opcional"/>
    <w:basedOn w:val="72"/>
    <w:link w:val="119"/>
    <w:qFormat/>
    <w:uiPriority w:val="0"/>
    <w:pPr>
      <w:numPr>
        <w:ilvl w:val="0"/>
        <w:numId w:val="0"/>
      </w:numPr>
      <w:ind w:left="432" w:hanging="432"/>
    </w:pPr>
    <w:rPr>
      <w:i/>
      <w:color w:val="FF0000"/>
    </w:rPr>
  </w:style>
  <w:style w:type="character" w:customStyle="1" w:styleId="121">
    <w:name w:val="Nível 3 Opcional Char"/>
    <w:basedOn w:val="13"/>
    <w:link w:val="122"/>
    <w:qFormat/>
    <w:uiPriority w:val="0"/>
    <w:rPr>
      <w:rFonts w:ascii="Arial" w:hAnsi="Arial" w:eastAsia="Times New Roman" w:cs="Arial"/>
      <w:i/>
      <w:iCs/>
      <w:color w:val="FF0000"/>
      <w:sz w:val="20"/>
      <w:szCs w:val="20"/>
      <w:lang w:eastAsia="pt-BR"/>
    </w:rPr>
  </w:style>
  <w:style w:type="paragraph" w:customStyle="1" w:styleId="122">
    <w:name w:val="Nível 3 Opcional"/>
    <w:basedOn w:val="90"/>
    <w:link w:val="121"/>
    <w:qFormat/>
    <w:uiPriority w:val="0"/>
    <w:pPr>
      <w:ind w:left="1072" w:hanging="504"/>
    </w:pPr>
    <w:rPr>
      <w:rFonts w:eastAsia="Times New Roman"/>
      <w:i/>
      <w:iCs/>
      <w:color w:val="FF0000"/>
    </w:rPr>
  </w:style>
  <w:style w:type="character" w:styleId="123">
    <w:name w:val="Placeholder Text"/>
    <w:basedOn w:val="13"/>
    <w:semiHidden/>
    <w:qFormat/>
    <w:uiPriority w:val="67"/>
    <w:rPr>
      <w:color w:val="808080"/>
    </w:rPr>
  </w:style>
  <w:style w:type="character" w:customStyle="1" w:styleId="124">
    <w:name w:val="Menção Pendente3"/>
    <w:basedOn w:val="13"/>
    <w:semiHidden/>
    <w:unhideWhenUsed/>
    <w:qFormat/>
    <w:uiPriority w:val="99"/>
    <w:rPr>
      <w:color w:val="605E5C"/>
      <w:shd w:val="clear" w:fill="E1DFDD"/>
    </w:rPr>
  </w:style>
  <w:style w:type="character" w:customStyle="1" w:styleId="125">
    <w:name w:val="Menção Pendente4"/>
    <w:basedOn w:val="13"/>
    <w:semiHidden/>
    <w:unhideWhenUsed/>
    <w:qFormat/>
    <w:uiPriority w:val="99"/>
    <w:rPr>
      <w:color w:val="605E5C"/>
      <w:shd w:val="clear" w:fill="E1DFDD"/>
    </w:rPr>
  </w:style>
  <w:style w:type="character" w:customStyle="1" w:styleId="126">
    <w:name w:val="Nível 4-R Char"/>
    <w:basedOn w:val="91"/>
    <w:link w:val="127"/>
    <w:qFormat/>
    <w:uiPriority w:val="0"/>
    <w:rPr>
      <w:rFonts w:ascii="Arial" w:hAnsi="Arial" w:cs="Arial" w:eastAsiaTheme="minorEastAsia"/>
      <w:i/>
      <w:iCs/>
      <w:color w:val="FF0000"/>
      <w:sz w:val="20"/>
      <w:szCs w:val="20"/>
      <w:lang w:eastAsia="pt-BR"/>
    </w:rPr>
  </w:style>
  <w:style w:type="paragraph" w:customStyle="1" w:styleId="127">
    <w:name w:val="Nível 4-R"/>
    <w:basedOn w:val="92"/>
    <w:link w:val="126"/>
    <w:qFormat/>
    <w:uiPriority w:val="0"/>
    <w:pPr>
      <w:numPr>
        <w:ilvl w:val="3"/>
        <w:numId w:val="5"/>
      </w:numPr>
      <w:ind w:left="567" w:firstLine="0"/>
    </w:pPr>
    <w:rPr>
      <w:i/>
      <w:iCs/>
      <w:color w:val="FF0000"/>
    </w:rPr>
  </w:style>
  <w:style w:type="character" w:customStyle="1" w:styleId="128">
    <w:name w:val="Nível 1-Sem Num Char"/>
    <w:basedOn w:val="103"/>
    <w:link w:val="129"/>
    <w:qFormat/>
    <w:uiPriority w:val="0"/>
    <w:rPr>
      <w:rFonts w:ascii="Arial" w:hAnsi="Arial" w:cs="Arial" w:eastAsiaTheme="majorEastAsia"/>
      <w:color w:val="17375E" w:themeColor="text2" w:themeShade="BF"/>
      <w:spacing w:val="5"/>
      <w:kern w:val="2"/>
      <w:sz w:val="20"/>
      <w:szCs w:val="20"/>
      <w:lang w:eastAsia="pt-BR"/>
    </w:rPr>
  </w:style>
  <w:style w:type="paragraph" w:customStyle="1" w:styleId="129">
    <w:name w:val="Nível 1-Sem Num"/>
    <w:basedOn w:val="104"/>
    <w:link w:val="128"/>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0">
    <w:name w:val="Preâmbulo Char"/>
    <w:basedOn w:val="13"/>
    <w:link w:val="131"/>
    <w:qFormat/>
    <w:uiPriority w:val="0"/>
    <w:rPr>
      <w:rFonts w:ascii="Arial" w:hAnsi="Arial" w:eastAsia="Arial" w:cs="Arial"/>
      <w:bCs/>
      <w:sz w:val="20"/>
      <w:szCs w:val="20"/>
      <w:lang w:eastAsia="pt-BR"/>
    </w:rPr>
  </w:style>
  <w:style w:type="paragraph" w:customStyle="1" w:styleId="131">
    <w:name w:val="Preâmbulo"/>
    <w:basedOn w:val="1"/>
    <w:link w:val="130"/>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2">
    <w:name w:val="Menção Pendente5"/>
    <w:basedOn w:val="13"/>
    <w:semiHidden/>
    <w:unhideWhenUsed/>
    <w:qFormat/>
    <w:uiPriority w:val="99"/>
    <w:rPr>
      <w:color w:val="605E5C"/>
      <w:shd w:val="clear" w:fill="E1DFDD"/>
    </w:rPr>
  </w:style>
  <w:style w:type="character" w:customStyle="1" w:styleId="133">
    <w:name w:val="Vínculo de índice"/>
    <w:qFormat/>
    <w:uiPriority w:val="0"/>
  </w:style>
  <w:style w:type="character" w:customStyle="1" w:styleId="134">
    <w:name w:val="WW8Num4z0"/>
    <w:qFormat/>
    <w:uiPriority w:val="0"/>
    <w:rPr>
      <w:rFonts w:ascii="Arial" w:hAnsi="Arial" w:eastAsia="Arial" w:cs="Arial"/>
      <w:b/>
      <w:bCs/>
      <w:color w:val="000000"/>
      <w:kern w:val="2"/>
      <w:sz w:val="30"/>
      <w:szCs w:val="28"/>
      <w:lang w:val="pt-BR" w:eastAsia="ar-SA"/>
    </w:rPr>
  </w:style>
  <w:style w:type="character" w:customStyle="1" w:styleId="135">
    <w:name w:val="Fonte parág. padrão2"/>
    <w:qFormat/>
    <w:uiPriority w:val="0"/>
  </w:style>
  <w:style w:type="character" w:customStyle="1" w:styleId="136">
    <w:name w:val="Símbolos de numeração"/>
    <w:qFormat/>
    <w:uiPriority w:val="0"/>
  </w:style>
  <w:style w:type="character" w:customStyle="1" w:styleId="137">
    <w:name w:val="Marcadores"/>
    <w:qFormat/>
    <w:uiPriority w:val="0"/>
    <w:rPr>
      <w:rFonts w:ascii="OpenSymbol" w:hAnsi="OpenSymbol" w:eastAsia="OpenSymbol" w:cs="OpenSymbol"/>
    </w:rPr>
  </w:style>
  <w:style w:type="paragraph" w:customStyle="1" w:styleId="138">
    <w:name w:val="index heading1"/>
    <w:basedOn w:val="139"/>
    <w:qFormat/>
    <w:uiPriority w:val="0"/>
  </w:style>
  <w:style w:type="paragraph" w:customStyle="1" w:styleId="139">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40">
    <w:name w:val="Cabeçalho e Rodapé"/>
    <w:basedOn w:val="1"/>
    <w:qFormat/>
    <w:uiPriority w:val="0"/>
  </w:style>
  <w:style w:type="paragraph" w:customStyle="1" w:styleId="141">
    <w:name w:val="caption1"/>
    <w:basedOn w:val="1"/>
    <w:qFormat/>
    <w:uiPriority w:val="0"/>
    <w:pPr>
      <w:suppressLineNumbers/>
      <w:spacing w:before="120" w:after="120"/>
    </w:pPr>
    <w:rPr>
      <w:rFonts w:cs="Arial"/>
      <w:i/>
      <w:iCs/>
      <w:sz w:val="24"/>
      <w:szCs w:val="24"/>
    </w:rPr>
  </w:style>
  <w:style w:type="paragraph" w:customStyle="1" w:styleId="142">
    <w:name w:val="index heading11"/>
    <w:basedOn w:val="143"/>
    <w:qFormat/>
    <w:uiPriority w:val="0"/>
  </w:style>
  <w:style w:type="paragraph" w:customStyle="1" w:styleId="143">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44">
    <w:name w:val="caption11"/>
    <w:basedOn w:val="1"/>
    <w:qFormat/>
    <w:uiPriority w:val="0"/>
    <w:pPr>
      <w:suppressLineNumbers/>
      <w:spacing w:before="120" w:after="120"/>
    </w:pPr>
    <w:rPr>
      <w:rFonts w:cs="Arial"/>
      <w:i/>
      <w:iCs/>
      <w:sz w:val="24"/>
      <w:szCs w:val="24"/>
    </w:rPr>
  </w:style>
  <w:style w:type="paragraph" w:customStyle="1" w:styleId="145">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6">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7">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8">
    <w:name w:val="Nivel 5"/>
    <w:basedOn w:val="92"/>
    <w:qFormat/>
    <w:uiPriority w:val="0"/>
    <w:pPr>
      <w:ind w:left="1276"/>
    </w:pPr>
  </w:style>
  <w:style w:type="paragraph" w:customStyle="1" w:styleId="149">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0">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1">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2">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3">
    <w:name w:val="Nivel 1"/>
    <w:basedOn w:val="72"/>
    <w:next w:val="72"/>
    <w:qFormat/>
    <w:uiPriority w:val="0"/>
    <w:pPr>
      <w:numPr>
        <w:ilvl w:val="0"/>
        <w:numId w:val="0"/>
      </w:numPr>
      <w:ind w:left="360" w:hanging="360"/>
    </w:pPr>
    <w:rPr>
      <w:rFonts w:eastAsiaTheme="minorEastAsia"/>
      <w:b/>
      <w:color w:val="000000"/>
    </w:rPr>
  </w:style>
  <w:style w:type="paragraph" w:customStyle="1" w:styleId="154">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6">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7">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0">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1">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5">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0">
    <w:name w:val="Text body"/>
    <w:basedOn w:val="169"/>
    <w:qFormat/>
    <w:uiPriority w:val="0"/>
    <w:pPr>
      <w:spacing w:before="0" w:after="140" w:line="276" w:lineRule="auto"/>
    </w:pPr>
  </w:style>
  <w:style w:type="paragraph" w:customStyle="1" w:styleId="171">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2">
    <w:name w:val="citação 2"/>
    <w:basedOn w:val="99"/>
    <w:qFormat/>
    <w:uiPriority w:val="0"/>
    <w:pPr>
      <w:overflowPunct w:val="0"/>
    </w:pPr>
    <w:rPr>
      <w:szCs w:val="20"/>
    </w:rPr>
  </w:style>
  <w:style w:type="paragraph" w:customStyle="1" w:styleId="173">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4">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Conteúdo da tabela"/>
    <w:basedOn w:val="1"/>
    <w:qFormat/>
    <w:uiPriority w:val="0"/>
    <w:pPr>
      <w:suppressAutoHyphens/>
    </w:pPr>
    <w:rPr>
      <w:lang w:eastAsia="ar-SA"/>
    </w:rPr>
  </w:style>
  <w:style w:type="paragraph" w:customStyle="1" w:styleId="178">
    <w:name w:val="Título de tabela"/>
    <w:basedOn w:val="177"/>
    <w:qFormat/>
    <w:uiPriority w:val="0"/>
    <w:pPr>
      <w:suppressLineNumbers/>
      <w:jc w:val="center"/>
    </w:pPr>
    <w:rPr>
      <w:b/>
      <w:bCs/>
    </w:rPr>
  </w:style>
  <w:style w:type="paragraph" w:customStyle="1" w:styleId="179">
    <w:name w:val="Table Paragraph"/>
    <w:basedOn w:val="1"/>
    <w:qFormat/>
    <w:uiPriority w:val="0"/>
  </w:style>
  <w:style w:type="paragraph" w:styleId="180">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1">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2">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3">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4">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5">
    <w:name w:val="WW8Num1z0"/>
    <w:qFormat/>
    <w:uiPriority w:val="3"/>
    <w:rPr>
      <w:rFonts w:ascii="Times New Roman" w:hAnsi="Times New Roman" w:eastAsia="Times New Roman" w:cstheme="minorBidi"/>
    </w:rPr>
  </w:style>
  <w:style w:type="character" w:customStyle="1" w:styleId="186">
    <w:name w:val="WW8Num1z1"/>
    <w:qFormat/>
    <w:uiPriority w:val="3"/>
    <w:rPr>
      <w:rFonts w:ascii="Times New Roman" w:hAnsi="Times New Roman" w:eastAsia="Times New Roman" w:cstheme="minorBidi"/>
    </w:rPr>
  </w:style>
  <w:style w:type="character" w:customStyle="1" w:styleId="187">
    <w:name w:val="WW8Num1z2"/>
    <w:qFormat/>
    <w:uiPriority w:val="3"/>
    <w:rPr>
      <w:rFonts w:ascii="Times New Roman" w:hAnsi="Times New Roman" w:eastAsia="Times New Roman" w:cstheme="minorBidi"/>
    </w:rPr>
  </w:style>
  <w:style w:type="character" w:customStyle="1" w:styleId="188">
    <w:name w:val="WW8Num1z3"/>
    <w:qFormat/>
    <w:uiPriority w:val="3"/>
    <w:rPr>
      <w:rFonts w:ascii="Times New Roman" w:hAnsi="Times New Roman" w:eastAsia="Times New Roman" w:cstheme="minorBidi"/>
    </w:rPr>
  </w:style>
  <w:style w:type="character" w:customStyle="1" w:styleId="189">
    <w:name w:val="WW8Num1z4"/>
    <w:qFormat/>
    <w:uiPriority w:val="3"/>
    <w:rPr>
      <w:rFonts w:ascii="Times New Roman" w:hAnsi="Times New Roman" w:eastAsia="Times New Roman" w:cstheme="minorBidi"/>
    </w:rPr>
  </w:style>
  <w:style w:type="character" w:customStyle="1" w:styleId="190">
    <w:name w:val="WW8Num1z5"/>
    <w:qFormat/>
    <w:uiPriority w:val="3"/>
    <w:rPr>
      <w:rFonts w:ascii="Times New Roman" w:hAnsi="Times New Roman" w:eastAsia="Times New Roman" w:cstheme="minorBidi"/>
    </w:rPr>
  </w:style>
  <w:style w:type="character" w:customStyle="1" w:styleId="191">
    <w:name w:val="WW8Num1z6"/>
    <w:qFormat/>
    <w:uiPriority w:val="3"/>
    <w:rPr>
      <w:rFonts w:ascii="Times New Roman" w:hAnsi="Times New Roman" w:eastAsia="Times New Roman" w:cstheme="minorBidi"/>
    </w:rPr>
  </w:style>
  <w:style w:type="character" w:customStyle="1" w:styleId="192">
    <w:name w:val="WW8Num1z7"/>
    <w:qFormat/>
    <w:uiPriority w:val="3"/>
    <w:rPr>
      <w:rFonts w:ascii="Times New Roman" w:hAnsi="Times New Roman" w:eastAsia="Times New Roman" w:cstheme="minorBidi"/>
    </w:rPr>
  </w:style>
  <w:style w:type="character" w:customStyle="1" w:styleId="193">
    <w:name w:val="WW8Num1z8"/>
    <w:qFormat/>
    <w:uiPriority w:val="3"/>
    <w:rPr>
      <w:rFonts w:ascii="Times New Roman" w:hAnsi="Times New Roman" w:eastAsia="Times New Roman" w:cstheme="minorBidi"/>
    </w:rPr>
  </w:style>
  <w:style w:type="character" w:customStyle="1" w:styleId="194">
    <w:name w:val="WW8Num2z0"/>
    <w:qFormat/>
    <w:uiPriority w:val="3"/>
    <w:rPr>
      <w:rFonts w:ascii="Times New Roman" w:hAnsi="Times New Roman" w:eastAsia="Times New Roman" w:cstheme="minorBidi"/>
      <w:b/>
      <w:bCs/>
      <w:sz w:val="24"/>
      <w:szCs w:val="24"/>
      <w:lang w:eastAsia="en-US"/>
    </w:rPr>
  </w:style>
  <w:style w:type="character" w:customStyle="1" w:styleId="195">
    <w:name w:val="WW8Num2z1"/>
    <w:qFormat/>
    <w:uiPriority w:val="3"/>
    <w:rPr>
      <w:rFonts w:ascii="Times New Roman" w:hAnsi="Times New Roman" w:eastAsia="Times New Roman" w:cstheme="minorBidi"/>
    </w:rPr>
  </w:style>
  <w:style w:type="character" w:customStyle="1" w:styleId="196">
    <w:name w:val="WW8Num2z2"/>
    <w:qFormat/>
    <w:uiPriority w:val="3"/>
    <w:rPr>
      <w:rFonts w:ascii="Times New Roman" w:hAnsi="Times New Roman" w:eastAsia="Times New Roman" w:cstheme="minorBidi"/>
    </w:rPr>
  </w:style>
  <w:style w:type="character" w:customStyle="1" w:styleId="197">
    <w:name w:val="WW8Num2z3"/>
    <w:qFormat/>
    <w:uiPriority w:val="3"/>
    <w:rPr>
      <w:rFonts w:ascii="Times New Roman" w:hAnsi="Times New Roman" w:eastAsia="Times New Roman" w:cstheme="minorBidi"/>
    </w:rPr>
  </w:style>
  <w:style w:type="character" w:customStyle="1" w:styleId="198">
    <w:name w:val="WW8Num2z4"/>
    <w:qFormat/>
    <w:uiPriority w:val="3"/>
    <w:rPr>
      <w:rFonts w:ascii="Times New Roman" w:hAnsi="Times New Roman" w:eastAsia="Times New Roman" w:cstheme="minorBidi"/>
    </w:rPr>
  </w:style>
  <w:style w:type="character" w:customStyle="1" w:styleId="199">
    <w:name w:val="WW8Num2z5"/>
    <w:qFormat/>
    <w:uiPriority w:val="3"/>
    <w:rPr>
      <w:rFonts w:ascii="Times New Roman" w:hAnsi="Times New Roman" w:eastAsia="Times New Roman" w:cstheme="minorBidi"/>
    </w:rPr>
  </w:style>
  <w:style w:type="character" w:customStyle="1" w:styleId="200">
    <w:name w:val="WW8Num2z6"/>
    <w:qFormat/>
    <w:uiPriority w:val="3"/>
    <w:rPr>
      <w:rFonts w:ascii="Times New Roman" w:hAnsi="Times New Roman" w:eastAsia="Times New Roman" w:cstheme="minorBidi"/>
    </w:rPr>
  </w:style>
  <w:style w:type="character" w:customStyle="1" w:styleId="201">
    <w:name w:val="WW8Num2z7"/>
    <w:qFormat/>
    <w:uiPriority w:val="3"/>
    <w:rPr>
      <w:rFonts w:ascii="Times New Roman" w:hAnsi="Times New Roman" w:eastAsia="Times New Roman" w:cstheme="minorBidi"/>
    </w:rPr>
  </w:style>
  <w:style w:type="character" w:customStyle="1" w:styleId="202">
    <w:name w:val="WW8Num2z8"/>
    <w:qFormat/>
    <w:uiPriority w:val="3"/>
    <w:rPr>
      <w:rFonts w:ascii="Times New Roman" w:hAnsi="Times New Roman" w:eastAsia="Times New Roman" w:cstheme="minorBidi"/>
    </w:rPr>
  </w:style>
  <w:style w:type="character" w:customStyle="1" w:styleId="203">
    <w:name w:val="Cabeçalho Char1"/>
    <w:basedOn w:val="13"/>
    <w:qFormat/>
    <w:uiPriority w:val="6"/>
    <w:rPr>
      <w:rFonts w:ascii="Times New Roman" w:hAnsi="Times New Roman" w:eastAsia="Times New Roman" w:cstheme="minorBidi"/>
      <w:lang w:eastAsia="pt-BR"/>
    </w:rPr>
  </w:style>
  <w:style w:type="character" w:customStyle="1" w:styleId="204">
    <w:name w:val="Rodapé Char1"/>
    <w:basedOn w:val="13"/>
    <w:qFormat/>
    <w:uiPriority w:val="6"/>
    <w:rPr>
      <w:rFonts w:ascii="Times New Roman" w:hAnsi="Times New Roman" w:eastAsia="Times New Roman" w:cstheme="minorBidi"/>
      <w:lang w:eastAsia="pt-BR"/>
    </w:rPr>
  </w:style>
  <w:style w:type="character" w:customStyle="1" w:styleId="205">
    <w:name w:val="Forte1"/>
    <w:basedOn w:val="48"/>
    <w:qFormat/>
    <w:uiPriority w:val="7"/>
    <w:rPr>
      <w:rFonts w:ascii="Times New Roman" w:hAnsi="Times New Roman" w:eastAsia="Times New Roman" w:cstheme="minorBidi"/>
      <w:b/>
    </w:rPr>
  </w:style>
  <w:style w:type="character" w:customStyle="1" w:styleId="206">
    <w:name w:val="ListLabel 1"/>
    <w:qFormat/>
    <w:uiPriority w:val="7"/>
    <w:rPr>
      <w:rFonts w:ascii="Times New Roman" w:hAnsi="Times New Roman" w:eastAsia="Times New Roman" w:cstheme="minorBidi"/>
      <w:b/>
    </w:rPr>
  </w:style>
  <w:style w:type="character" w:customStyle="1" w:styleId="207">
    <w:name w:val="ListLabel 2"/>
    <w:qFormat/>
    <w:uiPriority w:val="7"/>
    <w:rPr>
      <w:rFonts w:ascii="Times New Roman" w:hAnsi="Times New Roman" w:eastAsia="Times New Roman" w:cstheme="minorBidi"/>
      <w:b/>
    </w:rPr>
  </w:style>
  <w:style w:type="character" w:customStyle="1" w:styleId="208">
    <w:name w:val="ListLabel 3"/>
    <w:qFormat/>
    <w:uiPriority w:val="7"/>
    <w:rPr>
      <w:rFonts w:ascii="Times New Roman" w:hAnsi="Times New Roman" w:eastAsia="Times New Roman" w:cstheme="minorBidi"/>
      <w:b/>
    </w:rPr>
  </w:style>
  <w:style w:type="character" w:customStyle="1" w:styleId="209">
    <w:name w:val="WW_CharLFO2LVL1"/>
    <w:qFormat/>
    <w:uiPriority w:val="5"/>
    <w:rPr>
      <w:rFonts w:ascii="Times New Roman" w:hAnsi="Times New Roman" w:eastAsia="Times New Roman" w:cstheme="minorBidi"/>
      <w:b/>
      <w:bCs/>
      <w:sz w:val="24"/>
      <w:szCs w:val="24"/>
      <w:lang w:eastAsia="en-US"/>
    </w:rPr>
  </w:style>
  <w:style w:type="paragraph" w:customStyle="1" w:styleId="210">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1">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2">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3">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4">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5">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6">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8">
    <w:name w:val="Table Heading"/>
    <w:basedOn w:val="217"/>
    <w:qFormat/>
    <w:uiPriority w:val="6"/>
    <w:pPr>
      <w:suppressAutoHyphens/>
      <w:jc w:val="center"/>
    </w:pPr>
    <w:rPr>
      <w:b/>
      <w:bCs/>
    </w:rPr>
  </w:style>
  <w:style w:type="paragraph" w:customStyle="1" w:styleId="219">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0">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1">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2">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3">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Subtítulo Char"/>
    <w:basedOn w:val="13"/>
    <w:link w:val="44"/>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5">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6">
    <w:name w:val="Citação Intensa Char"/>
    <w:basedOn w:val="13"/>
    <w:link w:val="227"/>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7">
    <w:name w:val="Intense Quote"/>
    <w:basedOn w:val="1"/>
    <w:next w:val="1"/>
    <w:link w:val="226"/>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8">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29">
    <w:name w:val="MSG_EN_FONT_STYLE_NAME_TEMPLATE_ROLE MSG_EN_FONT_STYLE_NAME_BY_ROLE_TABLE_CAPTION_"/>
    <w:basedOn w:val="13"/>
    <w:link w:val="230"/>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0">
    <w:name w:val="MSG_EN_FONT_STYLE_NAME_TEMPLATE_ROLE MSG_EN_FONT_STYLE_NAME_BY_ROLE_TABLE_CAPTION"/>
    <w:basedOn w:val="1"/>
    <w:link w:val="229"/>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1">
    <w:name w:val="MSG_EN_FONT_STYLE_NAME_TEMPLATE_ROLE_NUMBER MSG_EN_FONT_STYLE_NAME_BY_ROLE_TEXT 3_"/>
    <w:basedOn w:val="13"/>
    <w:link w:val="232"/>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2">
    <w:name w:val="MSG_EN_FONT_STYLE_NAME_TEMPLATE_ROLE_NUMBER MSG_EN_FONT_STYLE_NAME_BY_ROLE_TEXT 3"/>
    <w:basedOn w:val="1"/>
    <w:link w:val="231"/>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3">
    <w:name w:val="MSG_EN_FONT_STYLE_NAME_TEMPLATE_ROLE_NUMBER MSG_EN_FONT_STYLE_NAME_BY_ROLE_TEXT 2_"/>
    <w:basedOn w:val="13"/>
    <w:link w:val="234"/>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4">
    <w:name w:val="MSG_EN_FONT_STYLE_NAME_TEMPLATE_ROLE_NUMBER MSG_EN_FONT_STYLE_NAME_BY_ROLE_TEXT 2"/>
    <w:basedOn w:val="1"/>
    <w:link w:val="233"/>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5">
    <w:name w:val="MSG_EN_FONT_STYLE_NAME_TEMPLATE_ROLE_NUMBER MSG_EN_FONT_STYLE_NAME_BY_ROLE_TEXT 2 + MSG_EN_FONT_STYLE_MODIFER_BOLD"/>
    <w:basedOn w:val="233"/>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6">
    <w:name w:val="MSG_EN_FONT_STYLE_NAME_TEMPLATE_ROLE_NUMBER MSG_EN_FONT_STYLE_NAME_BY_ROLE_TEXT 3 + MSG_EN_FONT_STYLE_MODIFER_NOT_BOLD"/>
    <w:basedOn w:val="231"/>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7">
    <w:name w:val="MSG_EN_FONT_STYLE_NAME_TEMPLATE_ROLE_LEVEL MSG_EN_FONT_STYLE_NAME_BY_ROLE_HEADING 2_"/>
    <w:basedOn w:val="13"/>
    <w:link w:val="238"/>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8">
    <w:name w:val="MSG_EN_FONT_STYLE_NAME_TEMPLATE_ROLE_LEVEL MSG_EN_FONT_STYLE_NAME_BY_ROLE_HEADING 2"/>
    <w:basedOn w:val="1"/>
    <w:link w:val="237"/>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39">
    <w:name w:val="MSG_EN_FONT_STYLE_NAME_TEMPLATE_ROLE_NUMBER MSG_EN_FONT_STYLE_NAME_BY_ROLE_TEXT 2 + MSG_EN_FONT_STYLE_MODIFER_NAME Arial;MSG_EN_FONT_STYLE_MODIFER_SIZE 11"/>
    <w:basedOn w:val="233"/>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0">
    <w:name w:val="MSG_EN_FONT_STYLE_NAME_TEMPLATE_ROLE_NUMBER MSG_EN_FONT_STYLE_NAME_BY_ROLE_TEXT 2 + MSG_EN_FONT_STYLE_MODIFER_SIZE 6.5;MSG_EN_FONT_STYLE_MODIFER_BOLD"/>
    <w:basedOn w:val="233"/>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1">
    <w:name w:val="Numbering Symbols"/>
    <w:uiPriority w:val="6"/>
    <w:rPr>
      <w:rFonts w:ascii="Times New Roman" w:hAnsi="Times New Roman" w:eastAsia="Times New Roman"/>
    </w:rPr>
  </w:style>
  <w:style w:type="paragraph" w:customStyle="1" w:styleId="242">
    <w:name w:val="Parágrafo da Lista2"/>
    <w:basedOn w:val="1"/>
    <w:qFormat/>
    <w:uiPriority w:val="7"/>
    <w:pPr>
      <w:ind w:left="720" w:right="0" w:firstLine="0"/>
    </w:pPr>
  </w:style>
  <w:style w:type="character" w:customStyle="1" w:styleId="243">
    <w:name w:val="Fonte parág. padrão11"/>
    <w:qFormat/>
    <w:uiPriority w:val="6"/>
  </w:style>
  <w:style w:type="paragraph" w:customStyle="1" w:styleId="244">
    <w:name w:val="Normal2"/>
    <w:qFormat/>
    <w:uiPriority w:val="7"/>
    <w:pPr>
      <w:widowControl/>
      <w:suppressAutoHyphens/>
      <w:kinsoku/>
      <w:overflowPunct/>
      <w:autoSpaceDE/>
      <w:bidi w:val="0"/>
    </w:pPr>
    <w:rPr>
      <w:rFonts w:ascii="Liberation Serif" w:hAnsi="Liberation Serif" w:eastAsia="NSimSun" w:cs="Arial"/>
      <w:color w:val="auto"/>
      <w:sz w:val="24"/>
      <w:szCs w:val="24"/>
      <w:lang w:val="pt-BR" w:eastAsia="hi-IN" w:bidi="hi-IN"/>
    </w:rPr>
  </w:style>
  <w:style w:type="paragraph" w:customStyle="1" w:styleId="245">
    <w:name w:val="Sem Espaçamento1"/>
    <w:qFormat/>
    <w:uiPriority w:val="6"/>
    <w:pPr>
      <w:widowControl/>
      <w:suppressAutoHyphens/>
      <w:kinsoku/>
      <w:overflowPunct/>
      <w:autoSpaceDE/>
      <w:bidi w:val="0"/>
      <w:spacing w:line="100" w:lineRule="atLeast"/>
    </w:pPr>
    <w:rPr>
      <w:rFonts w:ascii="Times New Roman" w:hAnsi="Times New Roman" w:eastAsia="Liberation Serif" w:cs="Liberation Serif"/>
      <w:color w:val="auto"/>
      <w:sz w:val="22"/>
      <w:szCs w:val="22"/>
      <w:lang w:val="pt-BR" w:eastAsia="ar-SA" w:bidi="ar-SA"/>
    </w:rPr>
  </w:style>
  <w:style w:type="paragraph" w:customStyle="1" w:styleId="246">
    <w:name w:val="Cabeçalho1"/>
    <w:basedOn w:val="1"/>
    <w:qFormat/>
    <w:uiPriority w:val="6"/>
    <w:pPr>
      <w:tabs>
        <w:tab w:val="center" w:pos="4252"/>
        <w:tab w:val="right" w:pos="8504"/>
      </w:tabs>
      <w:suppressAutoHyphens/>
    </w:pPr>
  </w:style>
  <w:style w:type="paragraph" w:customStyle="1" w:styleId="247">
    <w:name w:val="Título 11"/>
    <w:basedOn w:val="1"/>
    <w:next w:val="3"/>
    <w:qFormat/>
    <w:uiPriority w:val="7"/>
    <w:pPr>
      <w:numPr>
        <w:ilvl w:val="0"/>
        <w:numId w:val="6"/>
      </w:numPr>
      <w:suppressAutoHyphens/>
      <w:spacing w:before="280" w:after="280"/>
    </w:pPr>
    <w:rPr>
      <w:b/>
      <w:bCs/>
      <w:kern w:val="1"/>
      <w:sz w:val="48"/>
      <w:szCs w:val="48"/>
    </w:rPr>
  </w:style>
  <w:style w:type="paragraph" w:customStyle="1" w:styleId="248">
    <w:name w:val="western1"/>
    <w:uiPriority w:val="0"/>
    <w:pPr>
      <w:jc w:val="left"/>
    </w:pPr>
    <w:rPr>
      <w:rFonts w:ascii="Times New Roman" w:hAnsi="Times New Roman" w:eastAsia="SimSun" w:cs="Times New Roman"/>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NUL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5C72-3651-4138-9965-9B0CE3CCB50E}">
  <ds:schemaRefs/>
</ds:datastoreItem>
</file>

<file path=customXml/itemProps2.xml><?xml version="1.0" encoding="utf-8"?>
<ds:datastoreItem xmlns:ds="http://schemas.openxmlformats.org/officeDocument/2006/customXml" ds:itemID="{7E0CCFE8-B119-41DE-8C8E-2F3073DA7E25}">
  <ds:schemaRefs/>
</ds:datastoreItem>
</file>

<file path=customXml/itemProps3.xml><?xml version="1.0" encoding="utf-8"?>
<ds:datastoreItem xmlns:ds="http://schemas.openxmlformats.org/officeDocument/2006/customXml" ds:itemID="{89AF43AB-258F-46AE-84B1-DCEC811B5169}">
  <ds:schemaRefs/>
</ds:datastoreItem>
</file>

<file path=customXml/itemProps4.xml><?xml version="1.0" encoding="utf-8"?>
<ds:datastoreItem xmlns:ds="http://schemas.openxmlformats.org/officeDocument/2006/customXml" ds:itemID="{CBC04C24-93FC-4DC4-AA5D-F86104CE1FE2}">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41972</Words>
  <Characters>238598</Characters>
  <Paragraphs>147</Paragraphs>
  <TotalTime>1</TotalTime>
  <ScaleCrop>false</ScaleCrop>
  <LinksUpToDate>false</LinksUpToDate>
  <CharactersWithSpaces>279092</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wender.barros</cp:lastModifiedBy>
  <cp:lastPrinted>2024-07-02T17:13:58Z</cp:lastPrinted>
  <dcterms:modified xsi:type="dcterms:W3CDTF">2024-07-02T18:28:55Z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71B5AD292F2C480593601A475FD707AE_13</vt:lpwstr>
  </property>
  <property fmtid="{D5CDD505-2E9C-101B-9397-08002B2CF9AE}" pid="4" name="KSOProductBuildVer">
    <vt:lpwstr>1046-12.2.0.17119</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